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F4F" w:rsidRDefault="00A47F4F" w:rsidP="002633BC">
      <w:pPr>
        <w:pStyle w:val="Heading1noTOC"/>
        <w:spacing w:after="0"/>
        <w:jc w:val="left"/>
        <w:rPr>
          <w:rFonts w:ascii="Times New Roman" w:hAnsi="Times New Roman"/>
          <w:sz w:val="48"/>
          <w:szCs w:val="22"/>
        </w:rPr>
      </w:pPr>
      <w:bookmarkStart w:id="0" w:name="_Toc463440694"/>
      <w:bookmarkStart w:id="1" w:name="_Toc464726268"/>
      <w:bookmarkStart w:id="2" w:name="_Toc464726550"/>
      <w:bookmarkStart w:id="3" w:name="_Toc464726604"/>
      <w:bookmarkStart w:id="4" w:name="_GoBack"/>
      <w:bookmarkEnd w:id="4"/>
      <w:r w:rsidRPr="00C94244">
        <w:rPr>
          <w:rFonts w:ascii="Times New Roman" w:hAnsi="Times New Roman"/>
          <w:sz w:val="48"/>
          <w:szCs w:val="22"/>
        </w:rPr>
        <w:t>Department of Education and Training</w:t>
      </w:r>
      <w:r w:rsidR="00C94244" w:rsidRPr="00C94244">
        <w:rPr>
          <w:rFonts w:ascii="Times New Roman" w:hAnsi="Times New Roman"/>
          <w:sz w:val="48"/>
          <w:szCs w:val="22"/>
        </w:rPr>
        <w:br/>
      </w:r>
      <w:r w:rsidRPr="00C94244">
        <w:rPr>
          <w:rFonts w:ascii="Times New Roman" w:hAnsi="Times New Roman"/>
          <w:sz w:val="48"/>
          <w:szCs w:val="22"/>
        </w:rPr>
        <w:t>Financial Statements 2015–16</w:t>
      </w:r>
      <w:bookmarkEnd w:id="0"/>
      <w:bookmarkEnd w:id="1"/>
      <w:bookmarkEnd w:id="2"/>
      <w:bookmarkEnd w:id="3"/>
    </w:p>
    <w:p w:rsidR="00E011FB" w:rsidRPr="00E011FB" w:rsidRDefault="00E011FB">
      <w:pPr>
        <w:pStyle w:val="TOC1"/>
        <w:tabs>
          <w:tab w:val="right" w:pos="9628"/>
        </w:tabs>
        <w:rPr>
          <w:rFonts w:eastAsiaTheme="minorEastAsia" w:cstheme="minorBidi"/>
          <w:b w:val="0"/>
          <w:bCs w:val="0"/>
          <w:noProof/>
          <w:sz w:val="22"/>
          <w:szCs w:val="22"/>
          <w:lang w:eastAsia="en-AU"/>
        </w:rPr>
      </w:pPr>
      <w:r>
        <w:fldChar w:fldCharType="begin"/>
      </w:r>
      <w:r>
        <w:instrText xml:space="preserve"> TOC \o "1-1" \u </w:instrText>
      </w:r>
      <w:r>
        <w:fldChar w:fldCharType="separate"/>
      </w:r>
      <w:r w:rsidRPr="00E011FB">
        <w:rPr>
          <w:rFonts w:ascii="Times New Roman" w:hAnsi="Times New Roman"/>
          <w:b w:val="0"/>
          <w:noProof/>
        </w:rPr>
        <w:t>Department of Education and Training Financial Statements 2015–16</w:t>
      </w:r>
      <w:r w:rsidRPr="00E011FB">
        <w:rPr>
          <w:b w:val="0"/>
          <w:noProof/>
        </w:rPr>
        <w:tab/>
      </w:r>
      <w:r w:rsidRPr="00E011FB">
        <w:rPr>
          <w:b w:val="0"/>
          <w:noProof/>
        </w:rPr>
        <w:fldChar w:fldCharType="begin"/>
      </w:r>
      <w:r w:rsidRPr="00E011FB">
        <w:rPr>
          <w:b w:val="0"/>
          <w:noProof/>
        </w:rPr>
        <w:instrText xml:space="preserve"> PAGEREF _Toc464726268 \h </w:instrText>
      </w:r>
      <w:r w:rsidRPr="00E011FB">
        <w:rPr>
          <w:b w:val="0"/>
          <w:noProof/>
        </w:rPr>
      </w:r>
      <w:r w:rsidRPr="00E011FB">
        <w:rPr>
          <w:b w:val="0"/>
          <w:noProof/>
        </w:rPr>
        <w:fldChar w:fldCharType="separate"/>
      </w:r>
      <w:r w:rsidRPr="00E011FB">
        <w:rPr>
          <w:b w:val="0"/>
          <w:noProof/>
        </w:rPr>
        <w:t>1</w:t>
      </w:r>
      <w:r w:rsidRPr="00E011FB">
        <w:rPr>
          <w:b w:val="0"/>
          <w:noProof/>
        </w:rPr>
        <w:fldChar w:fldCharType="end"/>
      </w:r>
    </w:p>
    <w:p w:rsidR="00E011FB" w:rsidRPr="00E011FB" w:rsidRDefault="00E011FB">
      <w:pPr>
        <w:pStyle w:val="TOC1"/>
        <w:tabs>
          <w:tab w:val="right" w:pos="9628"/>
        </w:tabs>
        <w:rPr>
          <w:rFonts w:eastAsiaTheme="minorEastAsia" w:cstheme="minorBidi"/>
          <w:b w:val="0"/>
          <w:bCs w:val="0"/>
          <w:noProof/>
          <w:sz w:val="22"/>
          <w:szCs w:val="22"/>
          <w:lang w:eastAsia="en-AU"/>
        </w:rPr>
      </w:pPr>
      <w:r w:rsidRPr="00E011FB">
        <w:rPr>
          <w:rFonts w:ascii="Times New Roman" w:hAnsi="Times New Roman"/>
          <w:b w:val="0"/>
          <w:noProof/>
        </w:rPr>
        <w:t>INDEPENDENT AUDITOR'S REPORT</w:t>
      </w:r>
      <w:r w:rsidRPr="00E011FB">
        <w:rPr>
          <w:b w:val="0"/>
          <w:noProof/>
        </w:rPr>
        <w:tab/>
      </w:r>
      <w:r w:rsidRPr="00E011FB">
        <w:rPr>
          <w:b w:val="0"/>
          <w:noProof/>
        </w:rPr>
        <w:fldChar w:fldCharType="begin"/>
      </w:r>
      <w:r w:rsidRPr="00E011FB">
        <w:rPr>
          <w:b w:val="0"/>
          <w:noProof/>
        </w:rPr>
        <w:instrText xml:space="preserve"> PAGEREF _Toc464726269 \h </w:instrText>
      </w:r>
      <w:r w:rsidRPr="00E011FB">
        <w:rPr>
          <w:b w:val="0"/>
          <w:noProof/>
        </w:rPr>
      </w:r>
      <w:r w:rsidRPr="00E011FB">
        <w:rPr>
          <w:b w:val="0"/>
          <w:noProof/>
        </w:rPr>
        <w:fldChar w:fldCharType="separate"/>
      </w:r>
      <w:r w:rsidRPr="00E011FB">
        <w:rPr>
          <w:b w:val="0"/>
          <w:noProof/>
        </w:rPr>
        <w:t>3</w:t>
      </w:r>
      <w:r w:rsidRPr="00E011FB">
        <w:rPr>
          <w:b w:val="0"/>
          <w:noProof/>
        </w:rPr>
        <w:fldChar w:fldCharType="end"/>
      </w:r>
    </w:p>
    <w:p w:rsidR="00E011FB" w:rsidRPr="00E011FB" w:rsidRDefault="00E011FB">
      <w:pPr>
        <w:pStyle w:val="TOC1"/>
        <w:tabs>
          <w:tab w:val="right" w:pos="9628"/>
        </w:tabs>
        <w:rPr>
          <w:rFonts w:eastAsiaTheme="minorEastAsia" w:cstheme="minorBidi"/>
          <w:b w:val="0"/>
          <w:bCs w:val="0"/>
          <w:noProof/>
          <w:sz w:val="22"/>
          <w:szCs w:val="22"/>
          <w:lang w:eastAsia="en-AU"/>
        </w:rPr>
      </w:pPr>
      <w:r w:rsidRPr="00E011FB">
        <w:rPr>
          <w:b w:val="0"/>
          <w:noProof/>
        </w:rPr>
        <w:t>STATEMENT BY THE ACCOUNTABLE AUTHORITY AND CHIEF FINANCE OFFICER</w:t>
      </w:r>
      <w:r w:rsidRPr="00E011FB">
        <w:rPr>
          <w:b w:val="0"/>
          <w:noProof/>
        </w:rPr>
        <w:tab/>
      </w:r>
      <w:r w:rsidRPr="00E011FB">
        <w:rPr>
          <w:b w:val="0"/>
          <w:noProof/>
        </w:rPr>
        <w:fldChar w:fldCharType="begin"/>
      </w:r>
      <w:r w:rsidRPr="00E011FB">
        <w:rPr>
          <w:b w:val="0"/>
          <w:noProof/>
        </w:rPr>
        <w:instrText xml:space="preserve"> PAGEREF _Toc464726270 \h </w:instrText>
      </w:r>
      <w:r w:rsidRPr="00E011FB">
        <w:rPr>
          <w:b w:val="0"/>
          <w:noProof/>
        </w:rPr>
      </w:r>
      <w:r w:rsidRPr="00E011FB">
        <w:rPr>
          <w:b w:val="0"/>
          <w:noProof/>
        </w:rPr>
        <w:fldChar w:fldCharType="separate"/>
      </w:r>
      <w:r w:rsidRPr="00E011FB">
        <w:rPr>
          <w:b w:val="0"/>
          <w:noProof/>
        </w:rPr>
        <w:t>5</w:t>
      </w:r>
      <w:r w:rsidRPr="00E011FB">
        <w:rPr>
          <w:b w:val="0"/>
          <w:noProof/>
        </w:rPr>
        <w:fldChar w:fldCharType="end"/>
      </w:r>
    </w:p>
    <w:p w:rsidR="00E011FB" w:rsidRPr="00E011FB" w:rsidRDefault="00E011FB">
      <w:pPr>
        <w:pStyle w:val="TOC1"/>
        <w:tabs>
          <w:tab w:val="right" w:pos="9628"/>
        </w:tabs>
        <w:rPr>
          <w:rFonts w:eastAsiaTheme="minorEastAsia" w:cstheme="minorBidi"/>
          <w:b w:val="0"/>
          <w:bCs w:val="0"/>
          <w:noProof/>
          <w:sz w:val="22"/>
          <w:szCs w:val="22"/>
          <w:lang w:eastAsia="en-AU"/>
        </w:rPr>
      </w:pPr>
      <w:r w:rsidRPr="00E011FB">
        <w:rPr>
          <w:b w:val="0"/>
          <w:noProof/>
        </w:rPr>
        <w:t>Overview</w:t>
      </w:r>
      <w:r w:rsidRPr="00E011FB">
        <w:rPr>
          <w:b w:val="0"/>
          <w:noProof/>
        </w:rPr>
        <w:tab/>
      </w:r>
      <w:r w:rsidRPr="00E011FB">
        <w:rPr>
          <w:b w:val="0"/>
          <w:noProof/>
        </w:rPr>
        <w:fldChar w:fldCharType="begin"/>
      </w:r>
      <w:r w:rsidRPr="00E011FB">
        <w:rPr>
          <w:b w:val="0"/>
          <w:noProof/>
        </w:rPr>
        <w:instrText xml:space="preserve"> PAGEREF _Toc464726282 \h </w:instrText>
      </w:r>
      <w:r w:rsidRPr="00E011FB">
        <w:rPr>
          <w:b w:val="0"/>
          <w:noProof/>
        </w:rPr>
      </w:r>
      <w:r w:rsidRPr="00E011FB">
        <w:rPr>
          <w:b w:val="0"/>
          <w:noProof/>
        </w:rPr>
        <w:fldChar w:fldCharType="separate"/>
      </w:r>
      <w:r w:rsidRPr="00E011FB">
        <w:rPr>
          <w:b w:val="0"/>
          <w:noProof/>
        </w:rPr>
        <w:t>18</w:t>
      </w:r>
      <w:r w:rsidRPr="00E011FB">
        <w:rPr>
          <w:b w:val="0"/>
          <w:noProof/>
        </w:rPr>
        <w:fldChar w:fldCharType="end"/>
      </w:r>
    </w:p>
    <w:p w:rsidR="00E011FB" w:rsidRPr="00E011FB" w:rsidRDefault="00E011FB">
      <w:pPr>
        <w:pStyle w:val="TOC1"/>
        <w:tabs>
          <w:tab w:val="left" w:pos="540"/>
          <w:tab w:val="right" w:pos="9628"/>
        </w:tabs>
        <w:rPr>
          <w:rFonts w:eastAsiaTheme="minorEastAsia" w:cstheme="minorBidi"/>
          <w:b w:val="0"/>
          <w:bCs w:val="0"/>
          <w:noProof/>
          <w:sz w:val="22"/>
          <w:szCs w:val="22"/>
          <w:lang w:eastAsia="en-AU"/>
        </w:rPr>
      </w:pPr>
      <w:r w:rsidRPr="00E011FB">
        <w:rPr>
          <w:b w:val="0"/>
          <w:noProof/>
        </w:rPr>
        <w:t>1.</w:t>
      </w:r>
      <w:r w:rsidRPr="00E011FB">
        <w:rPr>
          <w:rFonts w:eastAsiaTheme="minorEastAsia" w:cstheme="minorBidi"/>
          <w:b w:val="0"/>
          <w:bCs w:val="0"/>
          <w:noProof/>
          <w:sz w:val="22"/>
          <w:szCs w:val="22"/>
          <w:lang w:eastAsia="en-AU"/>
        </w:rPr>
        <w:tab/>
      </w:r>
      <w:r w:rsidRPr="00E011FB">
        <w:rPr>
          <w:b w:val="0"/>
          <w:noProof/>
        </w:rPr>
        <w:t>Financial Performance</w:t>
      </w:r>
      <w:r w:rsidRPr="00E011FB">
        <w:rPr>
          <w:b w:val="0"/>
          <w:noProof/>
        </w:rPr>
        <w:tab/>
      </w:r>
      <w:r w:rsidRPr="00E011FB">
        <w:rPr>
          <w:b w:val="0"/>
          <w:noProof/>
        </w:rPr>
        <w:fldChar w:fldCharType="begin"/>
      </w:r>
      <w:r w:rsidRPr="00E011FB">
        <w:rPr>
          <w:b w:val="0"/>
          <w:noProof/>
        </w:rPr>
        <w:instrText xml:space="preserve"> PAGEREF _Toc464726283 \h </w:instrText>
      </w:r>
      <w:r w:rsidRPr="00E011FB">
        <w:rPr>
          <w:b w:val="0"/>
          <w:noProof/>
        </w:rPr>
      </w:r>
      <w:r w:rsidRPr="00E011FB">
        <w:rPr>
          <w:b w:val="0"/>
          <w:noProof/>
        </w:rPr>
        <w:fldChar w:fldCharType="separate"/>
      </w:r>
      <w:r w:rsidRPr="00E011FB">
        <w:rPr>
          <w:b w:val="0"/>
          <w:noProof/>
        </w:rPr>
        <w:t>21</w:t>
      </w:r>
      <w:r w:rsidRPr="00E011FB">
        <w:rPr>
          <w:b w:val="0"/>
          <w:noProof/>
        </w:rPr>
        <w:fldChar w:fldCharType="end"/>
      </w:r>
    </w:p>
    <w:p w:rsidR="00E011FB" w:rsidRPr="00E011FB" w:rsidRDefault="00E011FB">
      <w:pPr>
        <w:pStyle w:val="TOC1"/>
        <w:tabs>
          <w:tab w:val="left" w:pos="540"/>
          <w:tab w:val="right" w:pos="9628"/>
        </w:tabs>
        <w:rPr>
          <w:rFonts w:eastAsiaTheme="minorEastAsia" w:cstheme="minorBidi"/>
          <w:b w:val="0"/>
          <w:bCs w:val="0"/>
          <w:noProof/>
          <w:sz w:val="22"/>
          <w:szCs w:val="22"/>
          <w:lang w:eastAsia="en-AU"/>
        </w:rPr>
      </w:pPr>
      <w:r w:rsidRPr="00E011FB">
        <w:rPr>
          <w:b w:val="0"/>
          <w:noProof/>
        </w:rPr>
        <w:t>2.</w:t>
      </w:r>
      <w:r w:rsidRPr="00E011FB">
        <w:rPr>
          <w:rFonts w:eastAsiaTheme="minorEastAsia" w:cstheme="minorBidi"/>
          <w:b w:val="0"/>
          <w:bCs w:val="0"/>
          <w:noProof/>
          <w:sz w:val="22"/>
          <w:szCs w:val="22"/>
          <w:lang w:eastAsia="en-AU"/>
        </w:rPr>
        <w:tab/>
      </w:r>
      <w:r w:rsidRPr="00E011FB">
        <w:rPr>
          <w:b w:val="0"/>
          <w:noProof/>
        </w:rPr>
        <w:t>Income and Expenses Administered on Behalf of Government</w:t>
      </w:r>
      <w:r w:rsidRPr="00E011FB">
        <w:rPr>
          <w:b w:val="0"/>
          <w:noProof/>
        </w:rPr>
        <w:tab/>
      </w:r>
      <w:r w:rsidRPr="00E011FB">
        <w:rPr>
          <w:b w:val="0"/>
          <w:noProof/>
        </w:rPr>
        <w:fldChar w:fldCharType="begin"/>
      </w:r>
      <w:r w:rsidRPr="00E011FB">
        <w:rPr>
          <w:b w:val="0"/>
          <w:noProof/>
        </w:rPr>
        <w:instrText xml:space="preserve"> PAGEREF _Toc464726284 \h </w:instrText>
      </w:r>
      <w:r w:rsidRPr="00E011FB">
        <w:rPr>
          <w:b w:val="0"/>
          <w:noProof/>
        </w:rPr>
      </w:r>
      <w:r w:rsidRPr="00E011FB">
        <w:rPr>
          <w:b w:val="0"/>
          <w:noProof/>
        </w:rPr>
        <w:fldChar w:fldCharType="separate"/>
      </w:r>
      <w:r w:rsidRPr="00E011FB">
        <w:rPr>
          <w:b w:val="0"/>
          <w:noProof/>
        </w:rPr>
        <w:t>26</w:t>
      </w:r>
      <w:r w:rsidRPr="00E011FB">
        <w:rPr>
          <w:b w:val="0"/>
          <w:noProof/>
        </w:rPr>
        <w:fldChar w:fldCharType="end"/>
      </w:r>
    </w:p>
    <w:p w:rsidR="00E011FB" w:rsidRPr="00E011FB" w:rsidRDefault="00E011FB">
      <w:pPr>
        <w:pStyle w:val="TOC1"/>
        <w:tabs>
          <w:tab w:val="left" w:pos="540"/>
          <w:tab w:val="right" w:pos="9628"/>
        </w:tabs>
        <w:rPr>
          <w:rFonts w:eastAsiaTheme="minorEastAsia" w:cstheme="minorBidi"/>
          <w:b w:val="0"/>
          <w:bCs w:val="0"/>
          <w:noProof/>
          <w:sz w:val="22"/>
          <w:szCs w:val="22"/>
          <w:lang w:eastAsia="en-AU"/>
        </w:rPr>
      </w:pPr>
      <w:r w:rsidRPr="00E011FB">
        <w:rPr>
          <w:b w:val="0"/>
          <w:noProof/>
        </w:rPr>
        <w:t>3.</w:t>
      </w:r>
      <w:r w:rsidRPr="00E011FB">
        <w:rPr>
          <w:rFonts w:eastAsiaTheme="minorEastAsia" w:cstheme="minorBidi"/>
          <w:b w:val="0"/>
          <w:bCs w:val="0"/>
          <w:noProof/>
          <w:sz w:val="22"/>
          <w:szCs w:val="22"/>
          <w:lang w:eastAsia="en-AU"/>
        </w:rPr>
        <w:tab/>
      </w:r>
      <w:r w:rsidRPr="00E011FB">
        <w:rPr>
          <w:b w:val="0"/>
          <w:noProof/>
        </w:rPr>
        <w:t>Departmental Financial Position</w:t>
      </w:r>
      <w:r w:rsidRPr="00E011FB">
        <w:rPr>
          <w:b w:val="0"/>
          <w:noProof/>
        </w:rPr>
        <w:tab/>
      </w:r>
      <w:r w:rsidRPr="00E011FB">
        <w:rPr>
          <w:b w:val="0"/>
          <w:noProof/>
        </w:rPr>
        <w:fldChar w:fldCharType="begin"/>
      </w:r>
      <w:r w:rsidRPr="00E011FB">
        <w:rPr>
          <w:b w:val="0"/>
          <w:noProof/>
        </w:rPr>
        <w:instrText xml:space="preserve"> PAGEREF _Toc464726285 \h </w:instrText>
      </w:r>
      <w:r w:rsidRPr="00E011FB">
        <w:rPr>
          <w:b w:val="0"/>
          <w:noProof/>
        </w:rPr>
      </w:r>
      <w:r w:rsidRPr="00E011FB">
        <w:rPr>
          <w:b w:val="0"/>
          <w:noProof/>
        </w:rPr>
        <w:fldChar w:fldCharType="separate"/>
      </w:r>
      <w:r w:rsidRPr="00E011FB">
        <w:rPr>
          <w:b w:val="0"/>
          <w:noProof/>
        </w:rPr>
        <w:t>30</w:t>
      </w:r>
      <w:r w:rsidRPr="00E011FB">
        <w:rPr>
          <w:b w:val="0"/>
          <w:noProof/>
        </w:rPr>
        <w:fldChar w:fldCharType="end"/>
      </w:r>
    </w:p>
    <w:p w:rsidR="00E011FB" w:rsidRPr="00E011FB" w:rsidRDefault="00E011FB">
      <w:pPr>
        <w:pStyle w:val="TOC1"/>
        <w:tabs>
          <w:tab w:val="left" w:pos="540"/>
          <w:tab w:val="right" w:pos="9628"/>
        </w:tabs>
        <w:rPr>
          <w:rFonts w:eastAsiaTheme="minorEastAsia" w:cstheme="minorBidi"/>
          <w:b w:val="0"/>
          <w:bCs w:val="0"/>
          <w:noProof/>
          <w:sz w:val="22"/>
          <w:szCs w:val="22"/>
          <w:lang w:eastAsia="en-AU"/>
        </w:rPr>
      </w:pPr>
      <w:r w:rsidRPr="00E011FB">
        <w:rPr>
          <w:b w:val="0"/>
          <w:noProof/>
        </w:rPr>
        <w:t>4.</w:t>
      </w:r>
      <w:r w:rsidRPr="00E011FB">
        <w:rPr>
          <w:rFonts w:eastAsiaTheme="minorEastAsia" w:cstheme="minorBidi"/>
          <w:b w:val="0"/>
          <w:bCs w:val="0"/>
          <w:noProof/>
          <w:sz w:val="22"/>
          <w:szCs w:val="22"/>
          <w:lang w:eastAsia="en-AU"/>
        </w:rPr>
        <w:tab/>
      </w:r>
      <w:r w:rsidRPr="00E011FB">
        <w:rPr>
          <w:b w:val="0"/>
          <w:noProof/>
        </w:rPr>
        <w:t>Assets and Liabilities Administered on Behalf of Government</w:t>
      </w:r>
      <w:r w:rsidRPr="00E011FB">
        <w:rPr>
          <w:b w:val="0"/>
          <w:noProof/>
        </w:rPr>
        <w:tab/>
      </w:r>
      <w:r w:rsidRPr="00E011FB">
        <w:rPr>
          <w:b w:val="0"/>
          <w:noProof/>
        </w:rPr>
        <w:fldChar w:fldCharType="begin"/>
      </w:r>
      <w:r w:rsidRPr="00E011FB">
        <w:rPr>
          <w:b w:val="0"/>
          <w:noProof/>
        </w:rPr>
        <w:instrText xml:space="preserve"> PAGEREF _Toc464726286 \h </w:instrText>
      </w:r>
      <w:r w:rsidRPr="00E011FB">
        <w:rPr>
          <w:b w:val="0"/>
          <w:noProof/>
        </w:rPr>
      </w:r>
      <w:r w:rsidRPr="00E011FB">
        <w:rPr>
          <w:b w:val="0"/>
          <w:noProof/>
        </w:rPr>
        <w:fldChar w:fldCharType="separate"/>
      </w:r>
      <w:r w:rsidRPr="00E011FB">
        <w:rPr>
          <w:b w:val="0"/>
          <w:noProof/>
        </w:rPr>
        <w:t>39</w:t>
      </w:r>
      <w:r w:rsidRPr="00E011FB">
        <w:rPr>
          <w:b w:val="0"/>
          <w:noProof/>
        </w:rPr>
        <w:fldChar w:fldCharType="end"/>
      </w:r>
    </w:p>
    <w:p w:rsidR="00E011FB" w:rsidRPr="00E011FB" w:rsidRDefault="00E011FB">
      <w:pPr>
        <w:pStyle w:val="TOC1"/>
        <w:tabs>
          <w:tab w:val="left" w:pos="540"/>
          <w:tab w:val="right" w:pos="9628"/>
        </w:tabs>
        <w:rPr>
          <w:rFonts w:eastAsiaTheme="minorEastAsia" w:cstheme="minorBidi"/>
          <w:b w:val="0"/>
          <w:bCs w:val="0"/>
          <w:noProof/>
          <w:sz w:val="22"/>
          <w:szCs w:val="22"/>
          <w:lang w:eastAsia="en-AU"/>
        </w:rPr>
      </w:pPr>
      <w:r w:rsidRPr="00E011FB">
        <w:rPr>
          <w:b w:val="0"/>
          <w:noProof/>
        </w:rPr>
        <w:t>5.</w:t>
      </w:r>
      <w:r w:rsidRPr="00E011FB">
        <w:rPr>
          <w:rFonts w:eastAsiaTheme="minorEastAsia" w:cstheme="minorBidi"/>
          <w:b w:val="0"/>
          <w:bCs w:val="0"/>
          <w:noProof/>
          <w:sz w:val="22"/>
          <w:szCs w:val="22"/>
          <w:lang w:eastAsia="en-AU"/>
        </w:rPr>
        <w:tab/>
      </w:r>
      <w:r w:rsidRPr="00E011FB">
        <w:rPr>
          <w:b w:val="0"/>
          <w:noProof/>
        </w:rPr>
        <w:t>Funding</w:t>
      </w:r>
      <w:r w:rsidRPr="00E011FB">
        <w:rPr>
          <w:b w:val="0"/>
          <w:noProof/>
        </w:rPr>
        <w:tab/>
      </w:r>
      <w:r w:rsidRPr="00E011FB">
        <w:rPr>
          <w:b w:val="0"/>
          <w:noProof/>
        </w:rPr>
        <w:fldChar w:fldCharType="begin"/>
      </w:r>
      <w:r w:rsidRPr="00E011FB">
        <w:rPr>
          <w:b w:val="0"/>
          <w:noProof/>
        </w:rPr>
        <w:instrText xml:space="preserve"> PAGEREF _Toc464726287 \h </w:instrText>
      </w:r>
      <w:r w:rsidRPr="00E011FB">
        <w:rPr>
          <w:b w:val="0"/>
          <w:noProof/>
        </w:rPr>
      </w:r>
      <w:r w:rsidRPr="00E011FB">
        <w:rPr>
          <w:b w:val="0"/>
          <w:noProof/>
        </w:rPr>
        <w:fldChar w:fldCharType="separate"/>
      </w:r>
      <w:r w:rsidRPr="00E011FB">
        <w:rPr>
          <w:b w:val="0"/>
          <w:noProof/>
        </w:rPr>
        <w:t>47</w:t>
      </w:r>
      <w:r w:rsidRPr="00E011FB">
        <w:rPr>
          <w:b w:val="0"/>
          <w:noProof/>
        </w:rPr>
        <w:fldChar w:fldCharType="end"/>
      </w:r>
    </w:p>
    <w:p w:rsidR="00E011FB" w:rsidRPr="00E011FB" w:rsidRDefault="00E011FB">
      <w:pPr>
        <w:pStyle w:val="TOC1"/>
        <w:tabs>
          <w:tab w:val="left" w:pos="540"/>
          <w:tab w:val="right" w:pos="9628"/>
        </w:tabs>
        <w:rPr>
          <w:rFonts w:eastAsiaTheme="minorEastAsia" w:cstheme="minorBidi"/>
          <w:b w:val="0"/>
          <w:bCs w:val="0"/>
          <w:noProof/>
          <w:sz w:val="22"/>
          <w:szCs w:val="22"/>
          <w:lang w:eastAsia="en-AU"/>
        </w:rPr>
      </w:pPr>
      <w:r w:rsidRPr="00E011FB">
        <w:rPr>
          <w:b w:val="0"/>
          <w:noProof/>
          <w:lang w:eastAsia="en-AU"/>
        </w:rPr>
        <w:t>6.</w:t>
      </w:r>
      <w:r w:rsidRPr="00E011FB">
        <w:rPr>
          <w:rFonts w:eastAsiaTheme="minorEastAsia" w:cstheme="minorBidi"/>
          <w:b w:val="0"/>
          <w:bCs w:val="0"/>
          <w:noProof/>
          <w:sz w:val="22"/>
          <w:szCs w:val="22"/>
          <w:lang w:eastAsia="en-AU"/>
        </w:rPr>
        <w:tab/>
      </w:r>
      <w:r w:rsidRPr="00E011FB">
        <w:rPr>
          <w:b w:val="0"/>
          <w:noProof/>
          <w:lang w:eastAsia="en-AU"/>
        </w:rPr>
        <w:t>People and Relationships</w:t>
      </w:r>
      <w:r w:rsidRPr="00E011FB">
        <w:rPr>
          <w:b w:val="0"/>
          <w:noProof/>
        </w:rPr>
        <w:tab/>
      </w:r>
      <w:r w:rsidRPr="00E011FB">
        <w:rPr>
          <w:b w:val="0"/>
          <w:noProof/>
        </w:rPr>
        <w:fldChar w:fldCharType="begin"/>
      </w:r>
      <w:r w:rsidRPr="00E011FB">
        <w:rPr>
          <w:b w:val="0"/>
          <w:noProof/>
        </w:rPr>
        <w:instrText xml:space="preserve"> PAGEREF _Toc464726288 \h </w:instrText>
      </w:r>
      <w:r w:rsidRPr="00E011FB">
        <w:rPr>
          <w:b w:val="0"/>
          <w:noProof/>
        </w:rPr>
      </w:r>
      <w:r w:rsidRPr="00E011FB">
        <w:rPr>
          <w:b w:val="0"/>
          <w:noProof/>
        </w:rPr>
        <w:fldChar w:fldCharType="separate"/>
      </w:r>
      <w:r w:rsidRPr="00E011FB">
        <w:rPr>
          <w:b w:val="0"/>
          <w:noProof/>
        </w:rPr>
        <w:t>60</w:t>
      </w:r>
      <w:r w:rsidRPr="00E011FB">
        <w:rPr>
          <w:b w:val="0"/>
          <w:noProof/>
        </w:rPr>
        <w:fldChar w:fldCharType="end"/>
      </w:r>
    </w:p>
    <w:p w:rsidR="00E011FB" w:rsidRPr="00E011FB" w:rsidRDefault="00E011FB">
      <w:pPr>
        <w:pStyle w:val="TOC1"/>
        <w:tabs>
          <w:tab w:val="left" w:pos="540"/>
          <w:tab w:val="right" w:pos="9628"/>
        </w:tabs>
        <w:rPr>
          <w:rFonts w:eastAsiaTheme="minorEastAsia" w:cstheme="minorBidi"/>
          <w:b w:val="0"/>
          <w:bCs w:val="0"/>
          <w:noProof/>
          <w:sz w:val="22"/>
          <w:szCs w:val="22"/>
          <w:lang w:eastAsia="en-AU"/>
        </w:rPr>
      </w:pPr>
      <w:r w:rsidRPr="00E011FB">
        <w:rPr>
          <w:b w:val="0"/>
          <w:noProof/>
          <w:lang w:eastAsia="en-AU"/>
        </w:rPr>
        <w:t>7.</w:t>
      </w:r>
      <w:r w:rsidRPr="00E011FB">
        <w:rPr>
          <w:rFonts w:eastAsiaTheme="minorEastAsia" w:cstheme="minorBidi"/>
          <w:b w:val="0"/>
          <w:bCs w:val="0"/>
          <w:noProof/>
          <w:sz w:val="22"/>
          <w:szCs w:val="22"/>
          <w:lang w:eastAsia="en-AU"/>
        </w:rPr>
        <w:tab/>
      </w:r>
      <w:r w:rsidRPr="00E011FB">
        <w:rPr>
          <w:b w:val="0"/>
          <w:noProof/>
          <w:lang w:eastAsia="en-AU"/>
        </w:rPr>
        <w:t>Managing Uncertainties</w:t>
      </w:r>
      <w:r w:rsidRPr="00E011FB">
        <w:rPr>
          <w:b w:val="0"/>
          <w:noProof/>
        </w:rPr>
        <w:tab/>
      </w:r>
      <w:r w:rsidRPr="00E011FB">
        <w:rPr>
          <w:b w:val="0"/>
          <w:noProof/>
        </w:rPr>
        <w:fldChar w:fldCharType="begin"/>
      </w:r>
      <w:r w:rsidRPr="00E011FB">
        <w:rPr>
          <w:b w:val="0"/>
          <w:noProof/>
        </w:rPr>
        <w:instrText xml:space="preserve"> PAGEREF _Toc464726289 \h </w:instrText>
      </w:r>
      <w:r w:rsidRPr="00E011FB">
        <w:rPr>
          <w:b w:val="0"/>
          <w:noProof/>
        </w:rPr>
      </w:r>
      <w:r w:rsidRPr="00E011FB">
        <w:rPr>
          <w:b w:val="0"/>
          <w:noProof/>
        </w:rPr>
        <w:fldChar w:fldCharType="separate"/>
      </w:r>
      <w:r w:rsidRPr="00E011FB">
        <w:rPr>
          <w:b w:val="0"/>
          <w:noProof/>
        </w:rPr>
        <w:t>62</w:t>
      </w:r>
      <w:r w:rsidRPr="00E011FB">
        <w:rPr>
          <w:b w:val="0"/>
          <w:noProof/>
        </w:rPr>
        <w:fldChar w:fldCharType="end"/>
      </w:r>
    </w:p>
    <w:p w:rsidR="00E011FB" w:rsidRDefault="00E011FB">
      <w:pPr>
        <w:pStyle w:val="TOC1"/>
        <w:tabs>
          <w:tab w:val="left" w:pos="540"/>
          <w:tab w:val="right" w:pos="9628"/>
        </w:tabs>
        <w:rPr>
          <w:rFonts w:eastAsiaTheme="minorEastAsia" w:cstheme="minorBidi"/>
          <w:b w:val="0"/>
          <w:bCs w:val="0"/>
          <w:noProof/>
          <w:sz w:val="22"/>
          <w:szCs w:val="22"/>
          <w:lang w:eastAsia="en-AU"/>
        </w:rPr>
      </w:pPr>
      <w:r w:rsidRPr="00E011FB">
        <w:rPr>
          <w:b w:val="0"/>
          <w:noProof/>
        </w:rPr>
        <w:t>8.</w:t>
      </w:r>
      <w:r w:rsidRPr="00E011FB">
        <w:rPr>
          <w:rFonts w:eastAsiaTheme="minorEastAsia" w:cstheme="minorBidi"/>
          <w:b w:val="0"/>
          <w:bCs w:val="0"/>
          <w:noProof/>
          <w:sz w:val="22"/>
          <w:szCs w:val="22"/>
          <w:lang w:eastAsia="en-AU"/>
        </w:rPr>
        <w:tab/>
      </w:r>
      <w:r w:rsidRPr="00E011FB">
        <w:rPr>
          <w:b w:val="0"/>
          <w:noProof/>
        </w:rPr>
        <w:t>Other Information</w:t>
      </w:r>
      <w:r>
        <w:rPr>
          <w:noProof/>
        </w:rPr>
        <w:tab/>
      </w:r>
      <w:r>
        <w:rPr>
          <w:noProof/>
        </w:rPr>
        <w:fldChar w:fldCharType="begin"/>
      </w:r>
      <w:r>
        <w:rPr>
          <w:noProof/>
        </w:rPr>
        <w:instrText xml:space="preserve"> PAGEREF _Toc464726290 \h </w:instrText>
      </w:r>
      <w:r>
        <w:rPr>
          <w:noProof/>
        </w:rPr>
      </w:r>
      <w:r>
        <w:rPr>
          <w:noProof/>
        </w:rPr>
        <w:fldChar w:fldCharType="separate"/>
      </w:r>
      <w:r>
        <w:rPr>
          <w:noProof/>
        </w:rPr>
        <w:t>72</w:t>
      </w:r>
      <w:r>
        <w:rPr>
          <w:noProof/>
        </w:rPr>
        <w:fldChar w:fldCharType="end"/>
      </w:r>
    </w:p>
    <w:p w:rsidR="00A47F4F" w:rsidRPr="00C94244" w:rsidRDefault="00E011FB" w:rsidP="00C94244">
      <w:r>
        <w:fldChar w:fldCharType="end"/>
      </w:r>
    </w:p>
    <w:p w:rsidR="00A47F4F" w:rsidRDefault="00A47F4F" w:rsidP="002633BC">
      <w:pPr>
        <w:pStyle w:val="Heading1noTOC"/>
        <w:spacing w:after="0"/>
        <w:jc w:val="left"/>
        <w:rPr>
          <w:rFonts w:ascii="Times New Roman" w:hAnsi="Times New Roman"/>
          <w:sz w:val="22"/>
          <w:szCs w:val="22"/>
        </w:rPr>
        <w:sectPr w:rsidR="00A47F4F" w:rsidSect="008468D3">
          <w:footerReference w:type="default" r:id="rId9"/>
          <w:pgSz w:w="11906" w:h="16838"/>
          <w:pgMar w:top="1134" w:right="1134" w:bottom="1134" w:left="1134" w:header="958" w:footer="737" w:gutter="0"/>
          <w:cols w:space="720"/>
          <w:titlePg/>
          <w:docGrid w:linePitch="245"/>
        </w:sectPr>
      </w:pPr>
    </w:p>
    <w:p w:rsidR="00E011FB" w:rsidRPr="00E011FB" w:rsidRDefault="00403CAE" w:rsidP="00E011FB">
      <w:bookmarkStart w:id="5" w:name="_Toc463440695"/>
      <w:r w:rsidRPr="00E011FB">
        <w:rPr>
          <w:noProof/>
          <w:lang w:eastAsia="en-AU"/>
        </w:rPr>
        <w:lastRenderedPageBreak/>
        <w:drawing>
          <wp:inline distT="0" distB="0" distL="0" distR="0" wp14:anchorId="4D56EAB5" wp14:editId="1A771239">
            <wp:extent cx="5731510" cy="1260475"/>
            <wp:effectExtent l="0" t="0" r="2540" b="0"/>
            <wp:docPr id="8" name="Picture 8" descr="Contains the Commonwealth Coat of Arms and the Australian National Audit Office logo." title="ANAO lette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260475"/>
                    </a:xfrm>
                    <a:prstGeom prst="rect">
                      <a:avLst/>
                    </a:prstGeom>
                    <a:noFill/>
                    <a:ln>
                      <a:noFill/>
                    </a:ln>
                  </pic:spPr>
                </pic:pic>
              </a:graphicData>
            </a:graphic>
          </wp:inline>
        </w:drawing>
      </w:r>
    </w:p>
    <w:p w:rsidR="008468D3" w:rsidRPr="002633BC" w:rsidRDefault="008468D3" w:rsidP="002633BC">
      <w:pPr>
        <w:pStyle w:val="Heading1noTOC"/>
        <w:spacing w:after="0"/>
        <w:jc w:val="left"/>
        <w:rPr>
          <w:rFonts w:ascii="Times New Roman" w:hAnsi="Times New Roman"/>
          <w:sz w:val="22"/>
          <w:szCs w:val="22"/>
        </w:rPr>
      </w:pPr>
      <w:bookmarkStart w:id="6" w:name="_Toc464726269"/>
      <w:bookmarkStart w:id="7" w:name="_Toc464726551"/>
      <w:bookmarkStart w:id="8" w:name="_Toc464726605"/>
      <w:r w:rsidRPr="002633BC">
        <w:rPr>
          <w:rFonts w:ascii="Times New Roman" w:hAnsi="Times New Roman"/>
          <w:sz w:val="22"/>
          <w:szCs w:val="22"/>
        </w:rPr>
        <w:t>INDEPENDENT AUDITOR'S REPORT</w:t>
      </w:r>
      <w:bookmarkEnd w:id="5"/>
      <w:bookmarkEnd w:id="6"/>
      <w:bookmarkEnd w:id="7"/>
      <w:bookmarkEnd w:id="8"/>
    </w:p>
    <w:p w:rsidR="008468D3" w:rsidRPr="002633BC" w:rsidRDefault="008468D3" w:rsidP="008468D3">
      <w:pPr>
        <w:autoSpaceDE w:val="0"/>
        <w:autoSpaceDN w:val="0"/>
        <w:adjustRightInd w:val="0"/>
        <w:rPr>
          <w:rFonts w:ascii="Times New Roman" w:hAnsi="Times New Roman"/>
          <w:b/>
          <w:bCs/>
          <w:sz w:val="22"/>
          <w:szCs w:val="22"/>
        </w:rPr>
      </w:pPr>
      <w:r w:rsidRPr="002633BC">
        <w:rPr>
          <w:rFonts w:ascii="Times New Roman" w:hAnsi="Times New Roman"/>
          <w:b/>
          <w:bCs/>
          <w:sz w:val="22"/>
          <w:szCs w:val="22"/>
        </w:rPr>
        <w:t>To the Minister for Education and Training</w:t>
      </w:r>
    </w:p>
    <w:p w:rsidR="008468D3" w:rsidRPr="002633BC" w:rsidRDefault="008468D3" w:rsidP="008468D3">
      <w:pPr>
        <w:autoSpaceDE w:val="0"/>
        <w:autoSpaceDN w:val="0"/>
        <w:adjustRightInd w:val="0"/>
        <w:rPr>
          <w:b/>
          <w:bCs/>
          <w:sz w:val="22"/>
          <w:szCs w:val="22"/>
        </w:rPr>
      </w:pPr>
    </w:p>
    <w:p w:rsidR="008468D3" w:rsidRPr="002633BC" w:rsidRDefault="008468D3" w:rsidP="008468D3">
      <w:pPr>
        <w:autoSpaceDE w:val="0"/>
        <w:autoSpaceDN w:val="0"/>
        <w:adjustRightInd w:val="0"/>
        <w:jc w:val="both"/>
        <w:rPr>
          <w:rFonts w:ascii="Times New Roman" w:hAnsi="Times New Roman"/>
          <w:sz w:val="23"/>
          <w:szCs w:val="23"/>
        </w:rPr>
      </w:pPr>
      <w:r w:rsidRPr="002633BC">
        <w:rPr>
          <w:rFonts w:ascii="Times New Roman" w:hAnsi="Times New Roman"/>
          <w:sz w:val="23"/>
          <w:szCs w:val="23"/>
        </w:rPr>
        <w:t>I have audited the accompanying annual financial statements of the Department of Education and Training for the year ended 30 June 2016, which comprise:</w:t>
      </w:r>
    </w:p>
    <w:p w:rsidR="008468D3" w:rsidRPr="002633BC" w:rsidRDefault="008468D3" w:rsidP="008468D3">
      <w:pPr>
        <w:autoSpaceDE w:val="0"/>
        <w:autoSpaceDN w:val="0"/>
        <w:adjustRightInd w:val="0"/>
        <w:rPr>
          <w:sz w:val="23"/>
          <w:szCs w:val="23"/>
        </w:rPr>
      </w:pPr>
    </w:p>
    <w:p w:rsidR="008468D3" w:rsidRPr="002633BC" w:rsidRDefault="008468D3" w:rsidP="008468D3">
      <w:pPr>
        <w:pStyle w:val="ListParagraph"/>
        <w:numPr>
          <w:ilvl w:val="0"/>
          <w:numId w:val="40"/>
        </w:numPr>
        <w:autoSpaceDE w:val="0"/>
        <w:autoSpaceDN w:val="0"/>
        <w:adjustRightInd w:val="0"/>
        <w:ind w:left="426"/>
        <w:rPr>
          <w:rFonts w:ascii="Times New Roman" w:hAnsi="Times New Roman"/>
          <w:sz w:val="23"/>
          <w:szCs w:val="23"/>
        </w:rPr>
      </w:pPr>
      <w:r w:rsidRPr="002633BC">
        <w:rPr>
          <w:rFonts w:ascii="Times New Roman" w:hAnsi="Times New Roman"/>
          <w:sz w:val="23"/>
          <w:szCs w:val="23"/>
        </w:rPr>
        <w:t>Statement by the Accountable Authority and Chief Finance Officer;</w:t>
      </w:r>
    </w:p>
    <w:p w:rsidR="008468D3" w:rsidRPr="002633BC" w:rsidRDefault="008468D3" w:rsidP="008468D3">
      <w:pPr>
        <w:pStyle w:val="ListParagraph"/>
        <w:numPr>
          <w:ilvl w:val="0"/>
          <w:numId w:val="40"/>
        </w:numPr>
        <w:autoSpaceDE w:val="0"/>
        <w:autoSpaceDN w:val="0"/>
        <w:adjustRightInd w:val="0"/>
        <w:ind w:left="426"/>
        <w:rPr>
          <w:rFonts w:ascii="Times New Roman" w:hAnsi="Times New Roman"/>
          <w:sz w:val="23"/>
          <w:szCs w:val="23"/>
        </w:rPr>
      </w:pPr>
      <w:r w:rsidRPr="002633BC">
        <w:rPr>
          <w:rFonts w:ascii="Times New Roman" w:hAnsi="Times New Roman"/>
          <w:sz w:val="23"/>
          <w:szCs w:val="23"/>
        </w:rPr>
        <w:t>Statement of Comprehensive Income;</w:t>
      </w:r>
    </w:p>
    <w:p w:rsidR="008468D3" w:rsidRPr="002633BC" w:rsidRDefault="008468D3" w:rsidP="008468D3">
      <w:pPr>
        <w:pStyle w:val="ListParagraph"/>
        <w:numPr>
          <w:ilvl w:val="0"/>
          <w:numId w:val="40"/>
        </w:numPr>
        <w:autoSpaceDE w:val="0"/>
        <w:autoSpaceDN w:val="0"/>
        <w:adjustRightInd w:val="0"/>
        <w:ind w:left="426"/>
        <w:rPr>
          <w:rFonts w:ascii="Times New Roman" w:hAnsi="Times New Roman"/>
          <w:sz w:val="23"/>
          <w:szCs w:val="23"/>
        </w:rPr>
      </w:pPr>
      <w:r w:rsidRPr="002633BC">
        <w:rPr>
          <w:rFonts w:ascii="Times New Roman" w:hAnsi="Times New Roman"/>
          <w:sz w:val="23"/>
          <w:szCs w:val="23"/>
        </w:rPr>
        <w:t>Statement of Financial Position;</w:t>
      </w:r>
    </w:p>
    <w:p w:rsidR="008468D3" w:rsidRPr="002633BC" w:rsidRDefault="008468D3" w:rsidP="008468D3">
      <w:pPr>
        <w:pStyle w:val="ListParagraph"/>
        <w:numPr>
          <w:ilvl w:val="0"/>
          <w:numId w:val="40"/>
        </w:numPr>
        <w:autoSpaceDE w:val="0"/>
        <w:autoSpaceDN w:val="0"/>
        <w:adjustRightInd w:val="0"/>
        <w:ind w:left="426"/>
        <w:rPr>
          <w:rFonts w:ascii="Times New Roman" w:hAnsi="Times New Roman"/>
          <w:sz w:val="23"/>
          <w:szCs w:val="23"/>
        </w:rPr>
      </w:pPr>
      <w:r w:rsidRPr="002633BC">
        <w:rPr>
          <w:rFonts w:ascii="Times New Roman" w:hAnsi="Times New Roman"/>
          <w:sz w:val="23"/>
          <w:szCs w:val="23"/>
        </w:rPr>
        <w:t>Statement of Changes in Equity;</w:t>
      </w:r>
    </w:p>
    <w:p w:rsidR="008468D3" w:rsidRPr="002633BC" w:rsidRDefault="008468D3" w:rsidP="008468D3">
      <w:pPr>
        <w:pStyle w:val="ListParagraph"/>
        <w:numPr>
          <w:ilvl w:val="0"/>
          <w:numId w:val="40"/>
        </w:numPr>
        <w:autoSpaceDE w:val="0"/>
        <w:autoSpaceDN w:val="0"/>
        <w:adjustRightInd w:val="0"/>
        <w:ind w:left="426"/>
        <w:rPr>
          <w:rFonts w:ascii="Times New Roman" w:hAnsi="Times New Roman"/>
          <w:sz w:val="23"/>
          <w:szCs w:val="23"/>
        </w:rPr>
      </w:pPr>
      <w:r w:rsidRPr="002633BC">
        <w:rPr>
          <w:rFonts w:ascii="Times New Roman" w:hAnsi="Times New Roman"/>
          <w:sz w:val="23"/>
          <w:szCs w:val="23"/>
        </w:rPr>
        <w:t>Statement of Cash Flows;</w:t>
      </w:r>
    </w:p>
    <w:p w:rsidR="008468D3" w:rsidRPr="002633BC" w:rsidRDefault="008468D3" w:rsidP="008468D3">
      <w:pPr>
        <w:pStyle w:val="ListParagraph"/>
        <w:numPr>
          <w:ilvl w:val="0"/>
          <w:numId w:val="40"/>
        </w:numPr>
        <w:autoSpaceDE w:val="0"/>
        <w:autoSpaceDN w:val="0"/>
        <w:adjustRightInd w:val="0"/>
        <w:ind w:left="426"/>
        <w:rPr>
          <w:rFonts w:ascii="Times New Roman" w:hAnsi="Times New Roman"/>
          <w:sz w:val="23"/>
          <w:szCs w:val="23"/>
        </w:rPr>
      </w:pPr>
      <w:r w:rsidRPr="002633BC">
        <w:rPr>
          <w:rFonts w:ascii="Times New Roman" w:hAnsi="Times New Roman"/>
          <w:sz w:val="23"/>
          <w:szCs w:val="23"/>
        </w:rPr>
        <w:t>Administered Schedule of Comprehensive Income;</w:t>
      </w:r>
    </w:p>
    <w:p w:rsidR="008468D3" w:rsidRPr="002633BC" w:rsidRDefault="008468D3" w:rsidP="008468D3">
      <w:pPr>
        <w:pStyle w:val="ListParagraph"/>
        <w:numPr>
          <w:ilvl w:val="0"/>
          <w:numId w:val="40"/>
        </w:numPr>
        <w:autoSpaceDE w:val="0"/>
        <w:autoSpaceDN w:val="0"/>
        <w:adjustRightInd w:val="0"/>
        <w:ind w:left="426"/>
        <w:rPr>
          <w:rFonts w:ascii="Times New Roman" w:hAnsi="Times New Roman"/>
          <w:sz w:val="23"/>
          <w:szCs w:val="23"/>
        </w:rPr>
      </w:pPr>
      <w:r w:rsidRPr="002633BC">
        <w:rPr>
          <w:rFonts w:ascii="Times New Roman" w:hAnsi="Times New Roman"/>
          <w:sz w:val="23"/>
          <w:szCs w:val="23"/>
        </w:rPr>
        <w:t>Administered Schedule of Assets and Liabilities;</w:t>
      </w:r>
    </w:p>
    <w:p w:rsidR="008468D3" w:rsidRPr="002633BC" w:rsidRDefault="008468D3" w:rsidP="008468D3">
      <w:pPr>
        <w:pStyle w:val="ListParagraph"/>
        <w:numPr>
          <w:ilvl w:val="0"/>
          <w:numId w:val="40"/>
        </w:numPr>
        <w:autoSpaceDE w:val="0"/>
        <w:autoSpaceDN w:val="0"/>
        <w:adjustRightInd w:val="0"/>
        <w:ind w:left="426"/>
        <w:rPr>
          <w:rFonts w:ascii="Times New Roman" w:hAnsi="Times New Roman"/>
          <w:sz w:val="23"/>
          <w:szCs w:val="23"/>
        </w:rPr>
      </w:pPr>
      <w:r w:rsidRPr="002633BC">
        <w:rPr>
          <w:rFonts w:ascii="Times New Roman" w:hAnsi="Times New Roman"/>
          <w:sz w:val="23"/>
          <w:szCs w:val="23"/>
        </w:rPr>
        <w:t>Administered Reconciliation Schedule;</w:t>
      </w:r>
    </w:p>
    <w:p w:rsidR="008468D3" w:rsidRPr="002633BC" w:rsidRDefault="008468D3" w:rsidP="008468D3">
      <w:pPr>
        <w:pStyle w:val="ListParagraph"/>
        <w:numPr>
          <w:ilvl w:val="0"/>
          <w:numId w:val="40"/>
        </w:numPr>
        <w:autoSpaceDE w:val="0"/>
        <w:autoSpaceDN w:val="0"/>
        <w:adjustRightInd w:val="0"/>
        <w:ind w:left="426"/>
        <w:rPr>
          <w:rFonts w:ascii="Times New Roman" w:hAnsi="Times New Roman"/>
          <w:sz w:val="23"/>
          <w:szCs w:val="23"/>
        </w:rPr>
      </w:pPr>
      <w:r w:rsidRPr="002633BC">
        <w:rPr>
          <w:rFonts w:ascii="Times New Roman" w:hAnsi="Times New Roman"/>
          <w:sz w:val="23"/>
          <w:szCs w:val="23"/>
        </w:rPr>
        <w:t>Administered Cash Flow Statement; and</w:t>
      </w:r>
    </w:p>
    <w:p w:rsidR="008468D3" w:rsidRPr="002633BC" w:rsidRDefault="008468D3" w:rsidP="008468D3">
      <w:pPr>
        <w:pStyle w:val="ListParagraph"/>
        <w:numPr>
          <w:ilvl w:val="0"/>
          <w:numId w:val="40"/>
        </w:numPr>
        <w:autoSpaceDE w:val="0"/>
        <w:autoSpaceDN w:val="0"/>
        <w:adjustRightInd w:val="0"/>
        <w:ind w:left="426"/>
        <w:rPr>
          <w:rFonts w:ascii="Times New Roman" w:hAnsi="Times New Roman"/>
          <w:sz w:val="23"/>
          <w:szCs w:val="23"/>
        </w:rPr>
      </w:pPr>
      <w:r w:rsidRPr="002633BC">
        <w:rPr>
          <w:rFonts w:ascii="Times New Roman" w:hAnsi="Times New Roman"/>
          <w:sz w:val="23"/>
          <w:szCs w:val="23"/>
        </w:rPr>
        <w:t>Notes to and Forming Part of the Financial Statements.</w:t>
      </w:r>
    </w:p>
    <w:p w:rsidR="008468D3" w:rsidRPr="002633BC" w:rsidRDefault="008468D3" w:rsidP="008468D3">
      <w:pPr>
        <w:autoSpaceDE w:val="0"/>
        <w:autoSpaceDN w:val="0"/>
        <w:adjustRightInd w:val="0"/>
        <w:rPr>
          <w:rFonts w:ascii="Times New Roman" w:hAnsi="Times New Roman"/>
          <w:b/>
          <w:bCs/>
          <w:i/>
          <w:iCs/>
          <w:sz w:val="23"/>
          <w:szCs w:val="23"/>
        </w:rPr>
      </w:pPr>
      <w:r w:rsidRPr="002633BC">
        <w:rPr>
          <w:rFonts w:ascii="Times New Roman" w:hAnsi="Times New Roman"/>
          <w:b/>
          <w:bCs/>
          <w:i/>
          <w:iCs/>
          <w:sz w:val="23"/>
          <w:szCs w:val="23"/>
        </w:rPr>
        <w:t>Opinion</w:t>
      </w:r>
    </w:p>
    <w:p w:rsidR="008468D3" w:rsidRPr="002633BC" w:rsidRDefault="008468D3" w:rsidP="008468D3">
      <w:pPr>
        <w:autoSpaceDE w:val="0"/>
        <w:autoSpaceDN w:val="0"/>
        <w:adjustRightInd w:val="0"/>
        <w:rPr>
          <w:b/>
          <w:bCs/>
          <w:i/>
          <w:iCs/>
          <w:sz w:val="22"/>
          <w:szCs w:val="22"/>
        </w:rPr>
      </w:pPr>
    </w:p>
    <w:p w:rsidR="008468D3" w:rsidRPr="002633BC" w:rsidRDefault="008468D3" w:rsidP="008468D3">
      <w:pPr>
        <w:autoSpaceDE w:val="0"/>
        <w:autoSpaceDN w:val="0"/>
        <w:adjustRightInd w:val="0"/>
        <w:jc w:val="both"/>
        <w:rPr>
          <w:rFonts w:ascii="Times New Roman" w:hAnsi="Times New Roman"/>
          <w:sz w:val="23"/>
          <w:szCs w:val="23"/>
        </w:rPr>
      </w:pPr>
      <w:r w:rsidRPr="002633BC">
        <w:rPr>
          <w:rFonts w:ascii="Times New Roman" w:hAnsi="Times New Roman"/>
          <w:sz w:val="23"/>
          <w:szCs w:val="23"/>
        </w:rPr>
        <w:t>In my opinion, the financial statements of the Department of Education and Training:</w:t>
      </w:r>
    </w:p>
    <w:p w:rsidR="008468D3" w:rsidRPr="002633BC" w:rsidRDefault="008468D3" w:rsidP="008468D3">
      <w:pPr>
        <w:pStyle w:val="ListParagraph"/>
        <w:numPr>
          <w:ilvl w:val="0"/>
          <w:numId w:val="41"/>
        </w:numPr>
        <w:autoSpaceDE w:val="0"/>
        <w:autoSpaceDN w:val="0"/>
        <w:adjustRightInd w:val="0"/>
        <w:spacing w:before="120"/>
        <w:ind w:left="425" w:hanging="357"/>
        <w:jc w:val="both"/>
        <w:rPr>
          <w:rFonts w:ascii="Times New Roman" w:hAnsi="Times New Roman"/>
          <w:sz w:val="23"/>
          <w:szCs w:val="23"/>
        </w:rPr>
      </w:pPr>
      <w:r w:rsidRPr="002633BC">
        <w:rPr>
          <w:rFonts w:ascii="Times New Roman" w:hAnsi="Times New Roman"/>
          <w:sz w:val="23"/>
          <w:szCs w:val="23"/>
        </w:rPr>
        <w:t xml:space="preserve">comply with Australian Accounting Standards and the </w:t>
      </w:r>
      <w:r w:rsidRPr="002633BC">
        <w:rPr>
          <w:rFonts w:ascii="Times New Roman" w:hAnsi="Times New Roman"/>
          <w:i/>
          <w:iCs/>
          <w:sz w:val="23"/>
          <w:szCs w:val="23"/>
        </w:rPr>
        <w:t xml:space="preserve">Public Governance, Performance and Accountability (Financial Reporting) Rule 2015; </w:t>
      </w:r>
      <w:r w:rsidRPr="002633BC">
        <w:rPr>
          <w:rFonts w:ascii="Times New Roman" w:hAnsi="Times New Roman"/>
          <w:sz w:val="23"/>
          <w:szCs w:val="23"/>
        </w:rPr>
        <w:t>and</w:t>
      </w:r>
    </w:p>
    <w:p w:rsidR="008468D3" w:rsidRPr="002633BC" w:rsidRDefault="008468D3" w:rsidP="008468D3">
      <w:pPr>
        <w:pStyle w:val="ListParagraph"/>
        <w:numPr>
          <w:ilvl w:val="0"/>
          <w:numId w:val="41"/>
        </w:numPr>
        <w:autoSpaceDE w:val="0"/>
        <w:autoSpaceDN w:val="0"/>
        <w:adjustRightInd w:val="0"/>
        <w:ind w:left="426"/>
        <w:jc w:val="both"/>
        <w:rPr>
          <w:rFonts w:ascii="Times New Roman" w:hAnsi="Times New Roman"/>
          <w:sz w:val="23"/>
          <w:szCs w:val="23"/>
        </w:rPr>
      </w:pPr>
      <w:r w:rsidRPr="002633BC">
        <w:rPr>
          <w:rFonts w:ascii="Times New Roman" w:hAnsi="Times New Roman"/>
          <w:sz w:val="23"/>
          <w:szCs w:val="23"/>
        </w:rPr>
        <w:t>present fairly the financial position of the Department of Education and Training as at 30 June 2016 and its financial performance and cash flows for the year then ended.</w:t>
      </w:r>
    </w:p>
    <w:p w:rsidR="008468D3" w:rsidRPr="002633BC" w:rsidRDefault="008468D3" w:rsidP="008468D3">
      <w:pPr>
        <w:autoSpaceDE w:val="0"/>
        <w:autoSpaceDN w:val="0"/>
        <w:adjustRightInd w:val="0"/>
        <w:rPr>
          <w:b/>
          <w:bCs/>
          <w:i/>
          <w:iCs/>
          <w:sz w:val="22"/>
          <w:szCs w:val="22"/>
        </w:rPr>
      </w:pPr>
    </w:p>
    <w:p w:rsidR="008468D3" w:rsidRPr="002633BC" w:rsidRDefault="008468D3" w:rsidP="008468D3">
      <w:pPr>
        <w:autoSpaceDE w:val="0"/>
        <w:autoSpaceDN w:val="0"/>
        <w:adjustRightInd w:val="0"/>
        <w:rPr>
          <w:rFonts w:ascii="Times New Roman" w:hAnsi="Times New Roman"/>
          <w:b/>
          <w:bCs/>
          <w:i/>
          <w:iCs/>
          <w:sz w:val="23"/>
          <w:szCs w:val="23"/>
        </w:rPr>
      </w:pPr>
      <w:r w:rsidRPr="002633BC">
        <w:rPr>
          <w:rFonts w:ascii="Times New Roman" w:hAnsi="Times New Roman"/>
          <w:b/>
          <w:bCs/>
          <w:i/>
          <w:iCs/>
          <w:sz w:val="23"/>
          <w:szCs w:val="23"/>
        </w:rPr>
        <w:t>Accountable Authority's Responsibility for the Financial Statements</w:t>
      </w:r>
    </w:p>
    <w:p w:rsidR="008468D3" w:rsidRPr="002633BC" w:rsidRDefault="008468D3" w:rsidP="008468D3">
      <w:pPr>
        <w:autoSpaceDE w:val="0"/>
        <w:autoSpaceDN w:val="0"/>
        <w:adjustRightInd w:val="0"/>
        <w:rPr>
          <w:b/>
          <w:bCs/>
          <w:i/>
          <w:iCs/>
          <w:sz w:val="22"/>
          <w:szCs w:val="22"/>
        </w:rPr>
      </w:pPr>
    </w:p>
    <w:p w:rsidR="008468D3" w:rsidRPr="002633BC" w:rsidRDefault="008468D3" w:rsidP="008468D3">
      <w:pPr>
        <w:autoSpaceDE w:val="0"/>
        <w:autoSpaceDN w:val="0"/>
        <w:adjustRightInd w:val="0"/>
        <w:jc w:val="both"/>
        <w:rPr>
          <w:rFonts w:ascii="Times New Roman" w:hAnsi="Times New Roman"/>
          <w:sz w:val="23"/>
          <w:szCs w:val="23"/>
        </w:rPr>
      </w:pPr>
      <w:r w:rsidRPr="002633BC">
        <w:rPr>
          <w:rFonts w:ascii="Times New Roman" w:hAnsi="Times New Roman"/>
          <w:sz w:val="23"/>
          <w:szCs w:val="23"/>
        </w:rPr>
        <w:t xml:space="preserve">The Secretary of the Department of Education and Training is responsible under the </w:t>
      </w:r>
      <w:r w:rsidRPr="002633BC">
        <w:rPr>
          <w:rFonts w:ascii="Times New Roman" w:hAnsi="Times New Roman"/>
          <w:i/>
          <w:sz w:val="23"/>
          <w:szCs w:val="23"/>
        </w:rPr>
        <w:t>Public Governance, Performance and Accountability Act 2013</w:t>
      </w:r>
      <w:r w:rsidRPr="002633BC">
        <w:rPr>
          <w:rFonts w:ascii="Times New Roman" w:hAnsi="Times New Roman"/>
          <w:sz w:val="23"/>
          <w:szCs w:val="23"/>
        </w:rPr>
        <w:t xml:space="preserve"> for the preparation and fair presentation of annual financial statements that comply with Australian Accounting Standards and the rules made under that Act. The Secretary is also responsible for such internal control as is necessary to enable the preparation and fair presentation of financial statements that are free from material misstatement, whether due to fraud or error.</w:t>
      </w:r>
    </w:p>
    <w:p w:rsidR="008468D3" w:rsidRPr="002633BC" w:rsidRDefault="008468D3" w:rsidP="008468D3">
      <w:pPr>
        <w:autoSpaceDE w:val="0"/>
        <w:autoSpaceDN w:val="0"/>
        <w:adjustRightInd w:val="0"/>
        <w:rPr>
          <w:b/>
          <w:bCs/>
          <w:i/>
          <w:iCs/>
          <w:sz w:val="22"/>
          <w:szCs w:val="22"/>
        </w:rPr>
      </w:pPr>
    </w:p>
    <w:p w:rsidR="008468D3" w:rsidRPr="002633BC" w:rsidRDefault="008468D3" w:rsidP="008468D3">
      <w:pPr>
        <w:autoSpaceDE w:val="0"/>
        <w:autoSpaceDN w:val="0"/>
        <w:adjustRightInd w:val="0"/>
        <w:rPr>
          <w:rFonts w:ascii="Times New Roman" w:hAnsi="Times New Roman"/>
          <w:b/>
          <w:bCs/>
          <w:i/>
          <w:iCs/>
          <w:sz w:val="23"/>
          <w:szCs w:val="23"/>
        </w:rPr>
      </w:pPr>
      <w:r w:rsidRPr="002633BC">
        <w:rPr>
          <w:rFonts w:ascii="Times New Roman" w:hAnsi="Times New Roman"/>
          <w:b/>
          <w:bCs/>
          <w:i/>
          <w:iCs/>
          <w:sz w:val="23"/>
          <w:szCs w:val="23"/>
        </w:rPr>
        <w:t>Auditor's Responsibility</w:t>
      </w:r>
    </w:p>
    <w:p w:rsidR="008468D3" w:rsidRPr="002633BC" w:rsidRDefault="008468D3" w:rsidP="008468D3">
      <w:pPr>
        <w:autoSpaceDE w:val="0"/>
        <w:autoSpaceDN w:val="0"/>
        <w:adjustRightInd w:val="0"/>
        <w:rPr>
          <w:b/>
          <w:bCs/>
          <w:i/>
          <w:iCs/>
          <w:sz w:val="22"/>
          <w:szCs w:val="22"/>
        </w:rPr>
      </w:pPr>
    </w:p>
    <w:p w:rsidR="008468D3" w:rsidRPr="002633BC" w:rsidRDefault="008468D3" w:rsidP="008468D3">
      <w:pPr>
        <w:autoSpaceDE w:val="0"/>
        <w:autoSpaceDN w:val="0"/>
        <w:adjustRightInd w:val="0"/>
        <w:jc w:val="both"/>
        <w:rPr>
          <w:rFonts w:ascii="Times New Roman" w:hAnsi="Times New Roman"/>
          <w:sz w:val="23"/>
          <w:szCs w:val="23"/>
        </w:rPr>
      </w:pPr>
      <w:r w:rsidRPr="002633BC">
        <w:rPr>
          <w:rFonts w:ascii="Times New Roman" w:hAnsi="Times New Roman"/>
          <w:sz w:val="23"/>
          <w:szCs w:val="23"/>
        </w:rPr>
        <w:t>My responsibility is to express an opinion on the financial statements based on my audit. I have conducted my audit in accordance with the Australian National Audit Office Auditing Standards, which incorporate the Australian Auditing Standards. These auditing standards require that I comply with relevant ethical requirements relating to audit engagements and plan and perform the audit to obtain reasonable assurance about whether the financial statements are free from material misstatement.</w:t>
      </w:r>
    </w:p>
    <w:p w:rsidR="008468D3" w:rsidRPr="002633BC" w:rsidRDefault="008468D3" w:rsidP="008468D3">
      <w:pPr>
        <w:autoSpaceDE w:val="0"/>
        <w:autoSpaceDN w:val="0"/>
        <w:adjustRightInd w:val="0"/>
        <w:rPr>
          <w:sz w:val="23"/>
          <w:szCs w:val="23"/>
        </w:rPr>
      </w:pPr>
    </w:p>
    <w:p w:rsidR="008468D3" w:rsidRPr="002633BC" w:rsidRDefault="008468D3" w:rsidP="008468D3">
      <w:pPr>
        <w:autoSpaceDE w:val="0"/>
        <w:autoSpaceDN w:val="0"/>
        <w:adjustRightInd w:val="0"/>
        <w:jc w:val="both"/>
        <w:rPr>
          <w:rFonts w:ascii="Times New Roman" w:hAnsi="Times New Roman"/>
          <w:sz w:val="23"/>
          <w:szCs w:val="23"/>
        </w:rPr>
      </w:pPr>
      <w:r w:rsidRPr="002633BC">
        <w:rPr>
          <w:rFonts w:ascii="Times New Roman" w:hAnsi="Times New Roman"/>
          <w:sz w:val="23"/>
          <w:szCs w:val="23"/>
        </w:rPr>
        <w:lastRenderedPageBreak/>
        <w:t>An audit involves performing procedures to obtain audit evidence about the amounts and disclosures in the financial statements. The procedures selected depend on the auditor's judgement,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An audit also includes evaluating the appropriateness of the accounting policies used and the reasonableness of accounting estimates made by the Secretary, as well as evaluating the overall presentation of the financial statements.</w:t>
      </w:r>
    </w:p>
    <w:p w:rsidR="008468D3" w:rsidRPr="002633BC" w:rsidRDefault="008468D3" w:rsidP="008468D3">
      <w:pPr>
        <w:autoSpaceDE w:val="0"/>
        <w:autoSpaceDN w:val="0"/>
        <w:adjustRightInd w:val="0"/>
        <w:jc w:val="both"/>
        <w:rPr>
          <w:rFonts w:ascii="Times New Roman" w:hAnsi="Times New Roman"/>
          <w:sz w:val="23"/>
          <w:szCs w:val="23"/>
        </w:rPr>
      </w:pPr>
    </w:p>
    <w:p w:rsidR="008468D3" w:rsidRPr="002633BC" w:rsidRDefault="008468D3" w:rsidP="008468D3">
      <w:pPr>
        <w:autoSpaceDE w:val="0"/>
        <w:autoSpaceDN w:val="0"/>
        <w:adjustRightInd w:val="0"/>
        <w:jc w:val="both"/>
        <w:rPr>
          <w:rFonts w:ascii="Times New Roman" w:hAnsi="Times New Roman"/>
          <w:sz w:val="23"/>
          <w:szCs w:val="23"/>
        </w:rPr>
      </w:pPr>
      <w:r w:rsidRPr="002633BC">
        <w:rPr>
          <w:rFonts w:ascii="Times New Roman" w:hAnsi="Times New Roman"/>
          <w:sz w:val="23"/>
          <w:szCs w:val="23"/>
        </w:rPr>
        <w:t>I believe that the audit evidence I have obtained is sufficient and appropriate to provide a basis for my audit opinion.</w:t>
      </w:r>
    </w:p>
    <w:p w:rsidR="008468D3" w:rsidRPr="002633BC" w:rsidRDefault="008468D3" w:rsidP="008468D3">
      <w:pPr>
        <w:autoSpaceDE w:val="0"/>
        <w:autoSpaceDN w:val="0"/>
        <w:adjustRightInd w:val="0"/>
        <w:jc w:val="both"/>
        <w:rPr>
          <w:rFonts w:ascii="Times New Roman" w:hAnsi="Times New Roman"/>
          <w:sz w:val="23"/>
          <w:szCs w:val="23"/>
        </w:rPr>
      </w:pPr>
    </w:p>
    <w:p w:rsidR="008468D3" w:rsidRPr="002633BC" w:rsidRDefault="008468D3" w:rsidP="008468D3">
      <w:pPr>
        <w:autoSpaceDE w:val="0"/>
        <w:autoSpaceDN w:val="0"/>
        <w:adjustRightInd w:val="0"/>
        <w:rPr>
          <w:rFonts w:ascii="Times New Roman" w:hAnsi="Times New Roman"/>
          <w:b/>
          <w:bCs/>
          <w:i/>
          <w:iCs/>
          <w:sz w:val="23"/>
          <w:szCs w:val="23"/>
        </w:rPr>
      </w:pPr>
      <w:r w:rsidRPr="002633BC">
        <w:rPr>
          <w:rFonts w:ascii="Times New Roman" w:hAnsi="Times New Roman"/>
          <w:b/>
          <w:bCs/>
          <w:i/>
          <w:iCs/>
          <w:sz w:val="23"/>
          <w:szCs w:val="23"/>
        </w:rPr>
        <w:t>Independence</w:t>
      </w:r>
    </w:p>
    <w:p w:rsidR="008468D3" w:rsidRPr="002633BC" w:rsidRDefault="008468D3" w:rsidP="008468D3">
      <w:pPr>
        <w:autoSpaceDE w:val="0"/>
        <w:autoSpaceDN w:val="0"/>
        <w:adjustRightInd w:val="0"/>
        <w:rPr>
          <w:b/>
          <w:bCs/>
          <w:i/>
          <w:iCs/>
          <w:sz w:val="22"/>
          <w:szCs w:val="22"/>
        </w:rPr>
      </w:pPr>
    </w:p>
    <w:p w:rsidR="008468D3" w:rsidRPr="002633BC" w:rsidRDefault="008468D3" w:rsidP="008468D3">
      <w:pPr>
        <w:autoSpaceDE w:val="0"/>
        <w:autoSpaceDN w:val="0"/>
        <w:adjustRightInd w:val="0"/>
        <w:jc w:val="both"/>
        <w:rPr>
          <w:rFonts w:ascii="Times New Roman" w:hAnsi="Times New Roman"/>
          <w:sz w:val="23"/>
          <w:szCs w:val="23"/>
        </w:rPr>
      </w:pPr>
      <w:r w:rsidRPr="002633BC">
        <w:rPr>
          <w:rFonts w:ascii="Times New Roman" w:hAnsi="Times New Roman"/>
          <w:sz w:val="23"/>
          <w:szCs w:val="23"/>
        </w:rPr>
        <w:t>In conducting my audit, I have followed the independence requirements of the Australian National Audit Office, which incorporate the requirements of the Australian accounting profession.</w:t>
      </w:r>
    </w:p>
    <w:p w:rsidR="008468D3" w:rsidRPr="002633BC" w:rsidRDefault="008468D3" w:rsidP="008468D3">
      <w:pPr>
        <w:autoSpaceDE w:val="0"/>
        <w:autoSpaceDN w:val="0"/>
        <w:adjustRightInd w:val="0"/>
        <w:jc w:val="both"/>
        <w:rPr>
          <w:rFonts w:ascii="Times New Roman" w:hAnsi="Times New Roman"/>
          <w:sz w:val="23"/>
          <w:szCs w:val="23"/>
        </w:rPr>
      </w:pPr>
    </w:p>
    <w:p w:rsidR="008468D3" w:rsidRPr="002633BC" w:rsidRDefault="008468D3" w:rsidP="008468D3">
      <w:pPr>
        <w:autoSpaceDE w:val="0"/>
        <w:autoSpaceDN w:val="0"/>
        <w:adjustRightInd w:val="0"/>
        <w:jc w:val="both"/>
        <w:rPr>
          <w:rFonts w:ascii="Times New Roman" w:hAnsi="Times New Roman"/>
          <w:sz w:val="23"/>
          <w:szCs w:val="23"/>
        </w:rPr>
      </w:pPr>
    </w:p>
    <w:p w:rsidR="008468D3" w:rsidRPr="002633BC" w:rsidRDefault="002633BC" w:rsidP="002633BC">
      <w:pPr>
        <w:autoSpaceDE w:val="0"/>
        <w:autoSpaceDN w:val="0"/>
        <w:adjustRightInd w:val="0"/>
        <w:spacing w:after="1920"/>
        <w:jc w:val="both"/>
        <w:rPr>
          <w:rFonts w:ascii="Times New Roman" w:hAnsi="Times New Roman"/>
          <w:sz w:val="23"/>
          <w:szCs w:val="23"/>
        </w:rPr>
      </w:pPr>
      <w:r w:rsidRPr="002633BC">
        <w:rPr>
          <w:noProof/>
          <w:sz w:val="23"/>
          <w:szCs w:val="23"/>
          <w:lang w:eastAsia="en-AU"/>
        </w:rPr>
        <w:drawing>
          <wp:anchor distT="0" distB="0" distL="114300" distR="114300" simplePos="0" relativeHeight="251662336" behindDoc="1" locked="0" layoutInCell="1" allowOverlap="1" wp14:anchorId="6502E0D5" wp14:editId="3A783A33">
            <wp:simplePos x="0" y="0"/>
            <wp:positionH relativeFrom="column">
              <wp:posOffset>-228600</wp:posOffset>
            </wp:positionH>
            <wp:positionV relativeFrom="paragraph">
              <wp:posOffset>361986</wp:posOffset>
            </wp:positionV>
            <wp:extent cx="2000250" cy="1229360"/>
            <wp:effectExtent l="0" t="0" r="0" b="8890"/>
            <wp:wrapNone/>
            <wp:docPr id="2" name="Picture 2" descr="John Jones Singnatur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 Jones si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0250" cy="1229360"/>
                    </a:xfrm>
                    <a:prstGeom prst="rect">
                      <a:avLst/>
                    </a:prstGeom>
                  </pic:spPr>
                </pic:pic>
              </a:graphicData>
            </a:graphic>
            <wp14:sizeRelH relativeFrom="page">
              <wp14:pctWidth>0</wp14:pctWidth>
            </wp14:sizeRelH>
            <wp14:sizeRelV relativeFrom="page">
              <wp14:pctHeight>0</wp14:pctHeight>
            </wp14:sizeRelV>
          </wp:anchor>
        </w:drawing>
      </w:r>
      <w:r w:rsidR="008468D3" w:rsidRPr="002633BC">
        <w:rPr>
          <w:rFonts w:ascii="Times New Roman" w:hAnsi="Times New Roman"/>
          <w:sz w:val="23"/>
          <w:szCs w:val="23"/>
        </w:rPr>
        <w:t>Australian National Audit Office</w:t>
      </w:r>
    </w:p>
    <w:p w:rsidR="008468D3" w:rsidRPr="002633BC" w:rsidRDefault="008468D3" w:rsidP="008468D3">
      <w:pPr>
        <w:autoSpaceDE w:val="0"/>
        <w:autoSpaceDN w:val="0"/>
        <w:adjustRightInd w:val="0"/>
        <w:jc w:val="both"/>
        <w:rPr>
          <w:rFonts w:ascii="Times New Roman" w:hAnsi="Times New Roman"/>
          <w:sz w:val="23"/>
          <w:szCs w:val="23"/>
        </w:rPr>
      </w:pPr>
      <w:r w:rsidRPr="002633BC">
        <w:rPr>
          <w:rFonts w:ascii="Times New Roman" w:hAnsi="Times New Roman"/>
          <w:sz w:val="23"/>
          <w:szCs w:val="23"/>
        </w:rPr>
        <w:t>John Jones</w:t>
      </w:r>
    </w:p>
    <w:p w:rsidR="008468D3" w:rsidRPr="002633BC" w:rsidRDefault="008468D3" w:rsidP="008468D3">
      <w:pPr>
        <w:autoSpaceDE w:val="0"/>
        <w:autoSpaceDN w:val="0"/>
        <w:adjustRightInd w:val="0"/>
        <w:jc w:val="both"/>
        <w:rPr>
          <w:rFonts w:ascii="Times New Roman" w:hAnsi="Times New Roman"/>
          <w:sz w:val="23"/>
          <w:szCs w:val="23"/>
        </w:rPr>
      </w:pPr>
      <w:r w:rsidRPr="002633BC">
        <w:rPr>
          <w:rFonts w:ascii="Times New Roman" w:hAnsi="Times New Roman"/>
          <w:sz w:val="23"/>
          <w:szCs w:val="23"/>
        </w:rPr>
        <w:t>Executive Director</w:t>
      </w:r>
    </w:p>
    <w:p w:rsidR="008468D3" w:rsidRPr="002633BC" w:rsidRDefault="008468D3" w:rsidP="008468D3">
      <w:pPr>
        <w:autoSpaceDE w:val="0"/>
        <w:autoSpaceDN w:val="0"/>
        <w:adjustRightInd w:val="0"/>
        <w:jc w:val="both"/>
        <w:rPr>
          <w:rFonts w:ascii="Times New Roman" w:hAnsi="Times New Roman"/>
          <w:sz w:val="23"/>
          <w:szCs w:val="23"/>
        </w:rPr>
      </w:pPr>
      <w:r w:rsidRPr="002633BC">
        <w:rPr>
          <w:rFonts w:ascii="Times New Roman" w:hAnsi="Times New Roman"/>
          <w:sz w:val="23"/>
          <w:szCs w:val="23"/>
        </w:rPr>
        <w:t>Delegate of the Auditor-General</w:t>
      </w:r>
    </w:p>
    <w:p w:rsidR="008468D3" w:rsidRPr="002633BC" w:rsidRDefault="008468D3" w:rsidP="008468D3">
      <w:pPr>
        <w:autoSpaceDE w:val="0"/>
        <w:autoSpaceDN w:val="0"/>
        <w:adjustRightInd w:val="0"/>
        <w:jc w:val="both"/>
        <w:rPr>
          <w:rFonts w:ascii="Times New Roman" w:hAnsi="Times New Roman"/>
          <w:sz w:val="23"/>
          <w:szCs w:val="23"/>
        </w:rPr>
      </w:pPr>
      <w:r w:rsidRPr="002633BC">
        <w:rPr>
          <w:rFonts w:ascii="Times New Roman" w:hAnsi="Times New Roman"/>
          <w:sz w:val="23"/>
          <w:szCs w:val="23"/>
        </w:rPr>
        <w:t>Canberra</w:t>
      </w:r>
    </w:p>
    <w:p w:rsidR="008468D3" w:rsidRPr="002633BC" w:rsidRDefault="008468D3" w:rsidP="008468D3">
      <w:pPr>
        <w:autoSpaceDE w:val="0"/>
        <w:autoSpaceDN w:val="0"/>
        <w:adjustRightInd w:val="0"/>
        <w:jc w:val="both"/>
        <w:rPr>
          <w:rFonts w:ascii="Times New Roman" w:hAnsi="Times New Roman"/>
          <w:sz w:val="23"/>
          <w:szCs w:val="23"/>
        </w:rPr>
      </w:pPr>
      <w:r w:rsidRPr="002633BC">
        <w:rPr>
          <w:rFonts w:ascii="Times New Roman" w:hAnsi="Times New Roman"/>
          <w:sz w:val="23"/>
          <w:szCs w:val="23"/>
        </w:rPr>
        <w:t>21 September 2016</w:t>
      </w:r>
    </w:p>
    <w:p w:rsidR="008468D3" w:rsidRPr="002633BC" w:rsidRDefault="008468D3" w:rsidP="008468D3">
      <w:pPr>
        <w:autoSpaceDE w:val="0"/>
        <w:autoSpaceDN w:val="0"/>
        <w:adjustRightInd w:val="0"/>
        <w:jc w:val="both"/>
        <w:rPr>
          <w:rFonts w:ascii="Times New Roman" w:hAnsi="Times New Roman"/>
          <w:sz w:val="23"/>
          <w:szCs w:val="23"/>
        </w:rPr>
      </w:pPr>
    </w:p>
    <w:p w:rsidR="003E6989" w:rsidRDefault="003E6989" w:rsidP="003E6989">
      <w:pPr>
        <w:rPr>
          <w:b/>
          <w:sz w:val="24"/>
          <w:szCs w:val="24"/>
        </w:rPr>
      </w:pPr>
      <w:r>
        <w:rPr>
          <w:b/>
          <w:sz w:val="24"/>
          <w:szCs w:val="24"/>
        </w:rPr>
        <w:br w:type="page"/>
      </w:r>
    </w:p>
    <w:p w:rsidR="003E6989" w:rsidRDefault="003E6989" w:rsidP="003E6989">
      <w:pPr>
        <w:spacing w:line="240" w:lineRule="auto"/>
        <w:sectPr w:rsidR="003E6989" w:rsidSect="008468D3">
          <w:headerReference w:type="first" r:id="rId12"/>
          <w:footerReference w:type="first" r:id="rId13"/>
          <w:pgSz w:w="11906" w:h="16838"/>
          <w:pgMar w:top="1134" w:right="1134" w:bottom="1134" w:left="1134" w:header="958" w:footer="737" w:gutter="0"/>
          <w:cols w:space="720"/>
          <w:titlePg/>
          <w:docGrid w:linePitch="245"/>
        </w:sectPr>
      </w:pPr>
    </w:p>
    <w:p w:rsidR="00C94244" w:rsidRPr="00EB3A47" w:rsidRDefault="00C94244" w:rsidP="00C94244">
      <w:pPr>
        <w:rPr>
          <w:rFonts w:asciiTheme="minorHAnsi" w:hAnsiTheme="minorHAnsi" w:cstheme="minorHAnsi"/>
          <w:b/>
          <w:sz w:val="24"/>
          <w:szCs w:val="24"/>
        </w:rPr>
      </w:pPr>
      <w:r w:rsidRPr="00EB3A47">
        <w:rPr>
          <w:b/>
        </w:rPr>
        <w:lastRenderedPageBreak/>
        <w:t>Department of Education and Training</w:t>
      </w:r>
    </w:p>
    <w:p w:rsidR="00C94244" w:rsidRPr="00C94244" w:rsidRDefault="00C94244" w:rsidP="00C94244">
      <w:pPr>
        <w:pStyle w:val="Heading1noTOC"/>
        <w:spacing w:after="0"/>
        <w:jc w:val="left"/>
        <w:rPr>
          <w:rFonts w:asciiTheme="minorHAnsi" w:hAnsiTheme="minorHAnsi"/>
          <w:sz w:val="24"/>
          <w:szCs w:val="22"/>
        </w:rPr>
      </w:pPr>
      <w:bookmarkStart w:id="9" w:name="_Toc463440696"/>
      <w:bookmarkStart w:id="10" w:name="_Toc464726270"/>
      <w:bookmarkStart w:id="11" w:name="_Toc464726552"/>
      <w:bookmarkStart w:id="12" w:name="_Toc464726606"/>
      <w:r w:rsidRPr="00C94244">
        <w:rPr>
          <w:rFonts w:asciiTheme="minorHAnsi" w:hAnsiTheme="minorHAnsi"/>
          <w:sz w:val="24"/>
          <w:szCs w:val="22"/>
        </w:rPr>
        <w:t>STATEMENT BY THE ACCOUNTABLE AUTHORITY AND CHIEF FINANCE OFFICER</w:t>
      </w:r>
      <w:bookmarkEnd w:id="9"/>
      <w:bookmarkEnd w:id="10"/>
      <w:bookmarkEnd w:id="11"/>
      <w:bookmarkEnd w:id="12"/>
    </w:p>
    <w:p w:rsidR="00C94244" w:rsidRDefault="00C94244" w:rsidP="003E6989"/>
    <w:p w:rsidR="003E6989" w:rsidRDefault="003E6989" w:rsidP="003E6989">
      <w:r w:rsidRPr="00085C94">
        <w:t xml:space="preserve">I, as the accountable authority of </w:t>
      </w:r>
      <w:r>
        <w:t>the Department of Education and Training</w:t>
      </w:r>
      <w:r w:rsidRPr="00085C94">
        <w:t xml:space="preserve">, present the </w:t>
      </w:r>
      <w:r>
        <w:t>2015–16 financial</w:t>
      </w:r>
      <w:r w:rsidRPr="00085C94">
        <w:t xml:space="preserve"> statements of </w:t>
      </w:r>
      <w:r>
        <w:t>the department</w:t>
      </w:r>
      <w:r w:rsidRPr="00085C94">
        <w:t xml:space="preserve">, as required under paragraph </w:t>
      </w:r>
      <w:r>
        <w:t>42(2)</w:t>
      </w:r>
      <w:r w:rsidRPr="00085C94">
        <w:t xml:space="preserve"> of the </w:t>
      </w:r>
      <w:r w:rsidRPr="00085C94">
        <w:rPr>
          <w:i/>
        </w:rPr>
        <w:t>Public Governance, Performance and Accountability Act 2013</w:t>
      </w:r>
      <w:r w:rsidRPr="00085C94">
        <w:t xml:space="preserve"> (PGPA Act). </w:t>
      </w:r>
    </w:p>
    <w:p w:rsidR="003E6989" w:rsidRDefault="003E6989" w:rsidP="003E6989"/>
    <w:p w:rsidR="003E6989" w:rsidRDefault="003E6989" w:rsidP="003E6989">
      <w:r w:rsidRPr="00085C94">
        <w:t xml:space="preserve">In my opinion, these </w:t>
      </w:r>
      <w:r>
        <w:t>financial</w:t>
      </w:r>
      <w:r w:rsidRPr="00085C94">
        <w:t xml:space="preserve"> statements are based on properly maintained </w:t>
      </w:r>
      <w:r>
        <w:t xml:space="preserve">financial </w:t>
      </w:r>
      <w:r w:rsidRPr="00085C94">
        <w:t xml:space="preserve">records, and comply with subsection </w:t>
      </w:r>
      <w:r>
        <w:t>41</w:t>
      </w:r>
      <w:r w:rsidRPr="00085C94">
        <w:t>(2) of the PGPA Act.</w:t>
      </w:r>
    </w:p>
    <w:p w:rsidR="003E6989" w:rsidRDefault="003E6989" w:rsidP="003E6989"/>
    <w:p w:rsidR="003E6989" w:rsidRDefault="003E6989" w:rsidP="003E6989">
      <w:r>
        <w:t xml:space="preserve">There are reasonable grounds to believe that the department will be able to pay its debts as and when they become due and payable. </w:t>
      </w:r>
    </w:p>
    <w:p w:rsidR="003E6989" w:rsidRDefault="003E6989" w:rsidP="003E6989"/>
    <w:p w:rsidR="003E6989" w:rsidRDefault="003E6989" w:rsidP="003E6989">
      <w:r>
        <w:t>All information required to comply with s42(2) is included in the financial statements with disclosures as required contained in the notes within.</w:t>
      </w:r>
    </w:p>
    <w:p w:rsidR="003E6989" w:rsidRDefault="003E6989" w:rsidP="003E6989"/>
    <w:p w:rsidR="003E6989" w:rsidRPr="00616523" w:rsidRDefault="003E6989" w:rsidP="001F2C80">
      <w:pPr>
        <w:spacing w:after="1320"/>
      </w:pPr>
      <w:r>
        <w:t>This rule was applied without exemption.</w:t>
      </w:r>
    </w:p>
    <w:p w:rsidR="003E6989" w:rsidRDefault="003E6989" w:rsidP="003E6989">
      <w:pPr>
        <w:pStyle w:val="PolicytextDept"/>
        <w:pBdr>
          <w:top w:val="none" w:sz="0" w:space="0" w:color="auto"/>
          <w:left w:val="none" w:sz="0" w:space="0" w:color="auto"/>
          <w:bottom w:val="none" w:sz="0" w:space="0" w:color="auto"/>
          <w:right w:val="none" w:sz="0" w:space="0" w:color="auto"/>
        </w:pBdr>
      </w:pPr>
    </w:p>
    <w:p w:rsidR="00562EDF" w:rsidRDefault="00562EDF" w:rsidP="003E6989">
      <w:pPr>
        <w:pStyle w:val="PolicytextDept"/>
        <w:pBdr>
          <w:top w:val="none" w:sz="0" w:space="0" w:color="auto"/>
          <w:left w:val="none" w:sz="0" w:space="0" w:color="auto"/>
          <w:bottom w:val="none" w:sz="0" w:space="0" w:color="auto"/>
          <w:right w:val="none" w:sz="0" w:space="0" w:color="auto"/>
        </w:pBdr>
        <w:sectPr w:rsidR="00562EDF" w:rsidSect="006A5410">
          <w:headerReference w:type="default" r:id="rId14"/>
          <w:pgSz w:w="11906" w:h="16838"/>
          <w:pgMar w:top="1134" w:right="1134" w:bottom="1134" w:left="1134" w:header="958" w:footer="737" w:gutter="0"/>
          <w:cols w:space="720"/>
        </w:sectPr>
      </w:pPr>
    </w:p>
    <w:p w:rsidR="003E6989" w:rsidRPr="00D54E7F" w:rsidRDefault="00562EDF" w:rsidP="003E6989">
      <w:pPr>
        <w:pStyle w:val="PolicytextDept"/>
        <w:pBdr>
          <w:top w:val="none" w:sz="0" w:space="0" w:color="auto"/>
          <w:left w:val="none" w:sz="0" w:space="0" w:color="auto"/>
          <w:bottom w:val="none" w:sz="0" w:space="0" w:color="auto"/>
          <w:right w:val="none" w:sz="0" w:space="0" w:color="auto"/>
        </w:pBdr>
      </w:pPr>
      <w:r>
        <w:rPr>
          <w:noProof/>
          <w:lang w:eastAsia="en-AU"/>
        </w:rPr>
        <w:lastRenderedPageBreak/>
        <w:drawing>
          <wp:anchor distT="0" distB="0" distL="114300" distR="114300" simplePos="0" relativeHeight="251660288" behindDoc="1" locked="0" layoutInCell="1" allowOverlap="1" wp14:anchorId="315D82CE" wp14:editId="6B6FEF3A">
            <wp:simplePos x="0" y="0"/>
            <wp:positionH relativeFrom="column">
              <wp:posOffset>321164</wp:posOffset>
            </wp:positionH>
            <wp:positionV relativeFrom="paragraph">
              <wp:posOffset>132168</wp:posOffset>
            </wp:positionV>
            <wp:extent cx="1623202" cy="395923"/>
            <wp:effectExtent l="0" t="0" r="0" b="4445"/>
            <wp:wrapNone/>
            <wp:docPr id="3" name="Picture 3" descr="Michele Brunigies Signatur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elle Brunigies Si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25008" cy="396364"/>
                    </a:xfrm>
                    <a:prstGeom prst="rect">
                      <a:avLst/>
                    </a:prstGeom>
                  </pic:spPr>
                </pic:pic>
              </a:graphicData>
            </a:graphic>
            <wp14:sizeRelH relativeFrom="page">
              <wp14:pctWidth>0</wp14:pctWidth>
            </wp14:sizeRelH>
            <wp14:sizeRelV relativeFrom="page">
              <wp14:pctHeight>0</wp14:pctHeight>
            </wp14:sizeRelV>
          </wp:anchor>
        </w:drawing>
      </w:r>
    </w:p>
    <w:p w:rsidR="003E6989" w:rsidRPr="00D54E7F" w:rsidRDefault="003E6989" w:rsidP="003E6989">
      <w:pPr>
        <w:pStyle w:val="PolicytextDept"/>
        <w:pBdr>
          <w:top w:val="none" w:sz="0" w:space="0" w:color="auto"/>
          <w:left w:val="none" w:sz="0" w:space="0" w:color="auto"/>
          <w:bottom w:val="none" w:sz="0" w:space="0" w:color="auto"/>
          <w:right w:val="none" w:sz="0" w:space="0" w:color="auto"/>
        </w:pBdr>
      </w:pPr>
      <w:r w:rsidRPr="00D54E7F">
        <w:t>Signed</w:t>
      </w:r>
    </w:p>
    <w:p w:rsidR="003E6989" w:rsidRDefault="003E6989" w:rsidP="003E6989">
      <w:pPr>
        <w:pStyle w:val="PolicytextDept"/>
        <w:pBdr>
          <w:top w:val="none" w:sz="0" w:space="0" w:color="auto"/>
          <w:left w:val="none" w:sz="0" w:space="0" w:color="auto"/>
          <w:bottom w:val="none" w:sz="0" w:space="0" w:color="auto"/>
          <w:right w:val="none" w:sz="0" w:space="0" w:color="auto"/>
        </w:pBdr>
      </w:pPr>
      <w:r>
        <w:t>Dr Michele Bruniges AM</w:t>
      </w:r>
    </w:p>
    <w:p w:rsidR="003E6989" w:rsidRDefault="003E6989" w:rsidP="003E6989">
      <w:pPr>
        <w:pStyle w:val="PolicytextDept"/>
        <w:pBdr>
          <w:top w:val="none" w:sz="0" w:space="0" w:color="auto"/>
          <w:left w:val="none" w:sz="0" w:space="0" w:color="auto"/>
          <w:bottom w:val="none" w:sz="0" w:space="0" w:color="auto"/>
          <w:right w:val="none" w:sz="0" w:space="0" w:color="auto"/>
        </w:pBdr>
      </w:pPr>
      <w:r>
        <w:t>Secretary</w:t>
      </w:r>
    </w:p>
    <w:p w:rsidR="003E6989" w:rsidRPr="00D54E7F" w:rsidRDefault="00D21804" w:rsidP="003E6989">
      <w:pPr>
        <w:pStyle w:val="PolicytextDept"/>
        <w:pBdr>
          <w:top w:val="none" w:sz="0" w:space="0" w:color="auto"/>
          <w:left w:val="none" w:sz="0" w:space="0" w:color="auto"/>
          <w:bottom w:val="none" w:sz="0" w:space="0" w:color="auto"/>
          <w:right w:val="none" w:sz="0" w:space="0" w:color="auto"/>
        </w:pBdr>
      </w:pPr>
      <w:r>
        <w:t xml:space="preserve">21 </w:t>
      </w:r>
      <w:r w:rsidR="003E6989">
        <w:t>September 2016</w:t>
      </w:r>
    </w:p>
    <w:p w:rsidR="00562EDF" w:rsidRDefault="00D21804" w:rsidP="00562EDF">
      <w:pPr>
        <w:spacing w:after="120"/>
      </w:pPr>
      <w:r>
        <w:rPr>
          <w:rFonts w:asciiTheme="minorHAnsi" w:hAnsiTheme="minorHAnsi" w:cs="Arial"/>
          <w:noProof/>
          <w:lang w:eastAsia="en-AU"/>
        </w:rPr>
        <w:drawing>
          <wp:anchor distT="0" distB="0" distL="114300" distR="114300" simplePos="0" relativeHeight="251661312" behindDoc="1" locked="0" layoutInCell="1" allowOverlap="1" wp14:anchorId="40396E78" wp14:editId="764FC8BB">
            <wp:simplePos x="0" y="0"/>
            <wp:positionH relativeFrom="column">
              <wp:posOffset>3599796</wp:posOffset>
            </wp:positionH>
            <wp:positionV relativeFrom="paragraph">
              <wp:posOffset>-1134110</wp:posOffset>
            </wp:positionV>
            <wp:extent cx="1017917" cy="479589"/>
            <wp:effectExtent l="0" t="0" r="0" b="0"/>
            <wp:wrapNone/>
            <wp:docPr id="5" name="Picture 5" descr="Susan Monkley's Signatur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an Monkley Sig.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17917" cy="479589"/>
                    </a:xfrm>
                    <a:prstGeom prst="rect">
                      <a:avLst/>
                    </a:prstGeom>
                  </pic:spPr>
                </pic:pic>
              </a:graphicData>
            </a:graphic>
            <wp14:sizeRelH relativeFrom="page">
              <wp14:pctWidth>0</wp14:pctWidth>
            </wp14:sizeRelH>
            <wp14:sizeRelV relativeFrom="page">
              <wp14:pctHeight>0</wp14:pctHeight>
            </wp14:sizeRelV>
          </wp:anchor>
        </w:drawing>
      </w:r>
      <w:r w:rsidR="00562EDF">
        <w:br w:type="column"/>
      </w:r>
    </w:p>
    <w:p w:rsidR="00562EDF" w:rsidRPr="00F931D8" w:rsidRDefault="00562EDF" w:rsidP="00562EDF">
      <w:pPr>
        <w:spacing w:after="120"/>
        <w:rPr>
          <w:rFonts w:asciiTheme="minorHAnsi" w:hAnsiTheme="minorHAnsi" w:cs="Arial"/>
        </w:rPr>
      </w:pPr>
      <w:r w:rsidRPr="00F931D8">
        <w:rPr>
          <w:rFonts w:asciiTheme="minorHAnsi" w:hAnsiTheme="minorHAnsi" w:cs="Arial"/>
          <w:szCs w:val="18"/>
        </w:rPr>
        <w:t>Signed</w:t>
      </w:r>
    </w:p>
    <w:p w:rsidR="00562EDF" w:rsidRPr="00F931D8" w:rsidRDefault="00562EDF" w:rsidP="00562EDF">
      <w:pPr>
        <w:spacing w:after="120"/>
        <w:rPr>
          <w:rFonts w:asciiTheme="minorHAnsi" w:hAnsiTheme="minorHAnsi" w:cs="Arial"/>
          <w:szCs w:val="18"/>
        </w:rPr>
      </w:pPr>
      <w:r w:rsidRPr="00F931D8">
        <w:rPr>
          <w:rFonts w:asciiTheme="minorHAnsi" w:hAnsiTheme="minorHAnsi" w:cs="Arial"/>
          <w:szCs w:val="18"/>
        </w:rPr>
        <w:t>Susan Monkley</w:t>
      </w:r>
    </w:p>
    <w:p w:rsidR="00562EDF" w:rsidRPr="00F931D8" w:rsidRDefault="00562EDF" w:rsidP="00562EDF">
      <w:pPr>
        <w:spacing w:after="120"/>
        <w:rPr>
          <w:rFonts w:asciiTheme="minorHAnsi" w:hAnsiTheme="minorHAnsi" w:cs="Arial"/>
          <w:szCs w:val="18"/>
        </w:rPr>
      </w:pPr>
      <w:r w:rsidRPr="00F931D8">
        <w:rPr>
          <w:rFonts w:asciiTheme="minorHAnsi" w:hAnsiTheme="minorHAnsi" w:cs="Arial"/>
          <w:szCs w:val="18"/>
        </w:rPr>
        <w:t xml:space="preserve">Chief Finance Officer </w:t>
      </w:r>
    </w:p>
    <w:p w:rsidR="00562EDF" w:rsidRPr="000E4CF1" w:rsidRDefault="00D21804" w:rsidP="00562EDF">
      <w:pPr>
        <w:pStyle w:val="PolicytextDept"/>
        <w:pBdr>
          <w:top w:val="none" w:sz="0" w:space="0" w:color="auto"/>
          <w:left w:val="none" w:sz="0" w:space="0" w:color="auto"/>
          <w:bottom w:val="none" w:sz="0" w:space="0" w:color="auto"/>
          <w:right w:val="none" w:sz="0" w:space="0" w:color="auto"/>
        </w:pBdr>
        <w:rPr>
          <w:rFonts w:asciiTheme="minorHAnsi" w:hAnsiTheme="minorHAnsi" w:cs="Arial"/>
        </w:rPr>
      </w:pPr>
      <w:r>
        <w:rPr>
          <w:noProof/>
          <w:lang w:eastAsia="en-AU"/>
        </w:rPr>
        <w:t xml:space="preserve">21 </w:t>
      </w:r>
      <w:r w:rsidR="00562EDF">
        <w:t>September 2016</w:t>
      </w:r>
    </w:p>
    <w:p w:rsidR="003E6989" w:rsidRDefault="003E6989" w:rsidP="003E6989">
      <w:pPr>
        <w:rPr>
          <w:rFonts w:asciiTheme="minorHAnsi" w:hAnsiTheme="minorHAnsi" w:cstheme="minorHAnsi"/>
        </w:rPr>
      </w:pPr>
    </w:p>
    <w:p w:rsidR="003E6989" w:rsidRDefault="003E6989" w:rsidP="003E6989">
      <w:pPr>
        <w:rPr>
          <w:rFonts w:asciiTheme="minorHAnsi" w:hAnsiTheme="minorHAnsi" w:cstheme="minorHAnsi"/>
        </w:rPr>
      </w:pPr>
    </w:p>
    <w:p w:rsidR="003E6989" w:rsidRPr="00F33B00" w:rsidRDefault="003E6989" w:rsidP="003E6989">
      <w:pPr>
        <w:rPr>
          <w:rFonts w:asciiTheme="minorHAnsi" w:hAnsiTheme="minorHAnsi" w:cstheme="minorHAnsi"/>
        </w:rPr>
        <w:sectPr w:rsidR="003E6989" w:rsidRPr="00F33B00" w:rsidSect="00562EDF">
          <w:type w:val="continuous"/>
          <w:pgSz w:w="11906" w:h="16838"/>
          <w:pgMar w:top="1134" w:right="1134" w:bottom="1134" w:left="1134" w:header="958" w:footer="737" w:gutter="0"/>
          <w:cols w:num="2" w:space="720"/>
        </w:sectPr>
      </w:pPr>
    </w:p>
    <w:p w:rsidR="00403CAE" w:rsidRDefault="00403CAE" w:rsidP="00403CAE">
      <w:pPr>
        <w:pStyle w:val="Heading1"/>
      </w:pPr>
      <w:bookmarkStart w:id="13" w:name="_Toc464726271"/>
      <w:bookmarkStart w:id="14" w:name="_Toc464726553"/>
      <w:bookmarkStart w:id="15" w:name="_Toc464726607"/>
      <w:bookmarkStart w:id="16" w:name="Note_DPLTABLE1" w:colFirst="0" w:colLast="0"/>
      <w:r>
        <w:lastRenderedPageBreak/>
        <w:t>Department of Education and Training</w:t>
      </w:r>
      <w:r>
        <w:br/>
        <w:t>STATEMENT OF COMPREHENSIVE INCOME</w:t>
      </w:r>
      <w:r>
        <w:br/>
        <w:t>For the period ended 30 June 2016</w:t>
      </w:r>
      <w:bookmarkEnd w:id="13"/>
      <w:bookmarkEnd w:id="14"/>
      <w:bookmarkEnd w:id="15"/>
    </w:p>
    <w:p w:rsidR="00403CAE" w:rsidRDefault="00403CAE" w:rsidP="006A5410">
      <w:pPr>
        <w:rPr>
          <w:rFonts w:cs="Calibri"/>
          <w:szCs w:val="18"/>
        </w:rPr>
        <w:sectPr w:rsidR="00403CAE" w:rsidSect="006A5410">
          <w:headerReference w:type="default" r:id="rId17"/>
          <w:pgSz w:w="11906" w:h="16838"/>
          <w:pgMar w:top="1134" w:right="1134" w:bottom="1134" w:left="1134" w:header="958" w:footer="737" w:gutter="0"/>
          <w:cols w:space="720"/>
        </w:sectPr>
      </w:pPr>
    </w:p>
    <w:tbl>
      <w:tblPr>
        <w:tblW w:w="9087" w:type="dxa"/>
        <w:tblInd w:w="80" w:type="dxa"/>
        <w:tblLayout w:type="fixed"/>
        <w:tblLook w:val="04A0" w:firstRow="1" w:lastRow="0" w:firstColumn="1" w:lastColumn="0" w:noHBand="0" w:noVBand="1"/>
      </w:tblPr>
      <w:tblGrid>
        <w:gridCol w:w="3529"/>
        <w:gridCol w:w="669"/>
        <w:gridCol w:w="1060"/>
        <w:gridCol w:w="238"/>
        <w:gridCol w:w="1073"/>
        <w:gridCol w:w="238"/>
        <w:gridCol w:w="1021"/>
        <w:gridCol w:w="238"/>
        <w:gridCol w:w="1021"/>
      </w:tblGrid>
      <w:tr w:rsidR="003E6989" w:rsidTr="006A5410">
        <w:trPr>
          <w:trHeight w:val="480"/>
        </w:trPr>
        <w:tc>
          <w:tcPr>
            <w:tcW w:w="349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lastRenderedPageBreak/>
              <w:t> </w:t>
            </w:r>
          </w:p>
        </w:tc>
        <w:tc>
          <w:tcPr>
            <w:tcW w:w="663"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5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2016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2015</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2016 Original Budget</w:t>
            </w:r>
            <w:r w:rsidRPr="00AD5525">
              <w:rPr>
                <w:rFonts w:cs="Calibri"/>
                <w:szCs w:val="18"/>
                <w:vertAlign w:val="superscript"/>
              </w:rPr>
              <w:t>1</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Variance</w:t>
            </w:r>
          </w:p>
        </w:tc>
      </w:tr>
      <w:bookmarkEnd w:id="16"/>
      <w:tr w:rsidR="003E6989" w:rsidTr="006A5410">
        <w:trPr>
          <w:trHeight w:val="255"/>
        </w:trPr>
        <w:tc>
          <w:tcPr>
            <w:tcW w:w="349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b/>
                <w:bCs/>
                <w:szCs w:val="18"/>
              </w:rPr>
            </w:pPr>
            <w:r>
              <w:rPr>
                <w:rFonts w:cs="Calibri"/>
                <w:b/>
                <w:bCs/>
                <w:szCs w:val="18"/>
              </w:rPr>
              <w:t>Notes</w:t>
            </w:r>
          </w:p>
        </w:tc>
        <w:tc>
          <w:tcPr>
            <w:tcW w:w="105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$'000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$'000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$'000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3496" w:type="dxa"/>
            <w:tcBorders>
              <w:top w:val="nil"/>
              <w:left w:val="nil"/>
              <w:bottom w:val="nil"/>
              <w:right w:val="nil"/>
            </w:tcBorders>
            <w:shd w:val="clear" w:color="FFFFFF" w:fill="FFFFFF"/>
            <w:noWrap/>
            <w:vAlign w:val="bottom"/>
            <w:hideMark/>
          </w:tcPr>
          <w:p w:rsidR="003E6989" w:rsidRDefault="003E6989" w:rsidP="006A5410">
            <w:pPr>
              <w:rPr>
                <w:rFonts w:cs="Calibri"/>
                <w:b/>
                <w:bCs/>
                <w:szCs w:val="18"/>
              </w:rPr>
            </w:pPr>
            <w:r>
              <w:rPr>
                <w:rFonts w:cs="Calibri"/>
                <w:b/>
                <w:bCs/>
                <w:szCs w:val="18"/>
              </w:rPr>
              <w:t>NET COST OF SERVICES</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b/>
                <w:bCs/>
                <w:szCs w:val="18"/>
              </w:rPr>
            </w:pPr>
            <w:r>
              <w:rPr>
                <w:rFonts w:cs="Calibri"/>
                <w:b/>
                <w:bCs/>
                <w:szCs w:val="18"/>
              </w:rPr>
              <w:t> </w:t>
            </w:r>
          </w:p>
        </w:tc>
        <w:tc>
          <w:tcPr>
            <w:tcW w:w="105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3496"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EXPENSES</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05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3496"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Employee benefits</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1.1A</w:t>
            </w:r>
          </w:p>
        </w:tc>
        <w:tc>
          <w:tcPr>
            <w:tcW w:w="105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215,830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206,561</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197,462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18,368</w:t>
            </w:r>
            <w:r w:rsidRPr="00AD5525">
              <w:rPr>
                <w:rFonts w:cs="Calibri"/>
                <w:szCs w:val="18"/>
                <w:vertAlign w:val="superscript"/>
              </w:rPr>
              <w:t>2</w:t>
            </w:r>
          </w:p>
        </w:tc>
      </w:tr>
      <w:tr w:rsidR="003E6989" w:rsidTr="006A5410">
        <w:trPr>
          <w:trHeight w:val="255"/>
        </w:trPr>
        <w:tc>
          <w:tcPr>
            <w:tcW w:w="3496"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Supplier expenses</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1.1B</w:t>
            </w:r>
          </w:p>
        </w:tc>
        <w:tc>
          <w:tcPr>
            <w:tcW w:w="105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127,923</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101,179</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85,307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42,616</w:t>
            </w:r>
            <w:r w:rsidRPr="00AD5525">
              <w:rPr>
                <w:rFonts w:cs="Calibri"/>
                <w:szCs w:val="18"/>
                <w:vertAlign w:val="superscript"/>
              </w:rPr>
              <w:t>3</w:t>
            </w:r>
          </w:p>
        </w:tc>
      </w:tr>
      <w:tr w:rsidR="003E6989" w:rsidTr="006A5410">
        <w:trPr>
          <w:trHeight w:val="255"/>
        </w:trPr>
        <w:tc>
          <w:tcPr>
            <w:tcW w:w="3496"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xml:space="preserve">Grants </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1.1C</w:t>
            </w:r>
          </w:p>
        </w:tc>
        <w:tc>
          <w:tcPr>
            <w:tcW w:w="105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629</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257</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629</w:t>
            </w:r>
          </w:p>
        </w:tc>
      </w:tr>
      <w:tr w:rsidR="003E6989" w:rsidTr="006A5410">
        <w:trPr>
          <w:trHeight w:val="255"/>
        </w:trPr>
        <w:tc>
          <w:tcPr>
            <w:tcW w:w="3496"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Depreciation and amortisation</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1.1D</w:t>
            </w:r>
          </w:p>
        </w:tc>
        <w:tc>
          <w:tcPr>
            <w:tcW w:w="105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25,168</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26,918</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31,179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(6,011)</w:t>
            </w:r>
          </w:p>
        </w:tc>
      </w:tr>
      <w:tr w:rsidR="003E6989" w:rsidTr="006A5410">
        <w:trPr>
          <w:trHeight w:val="255"/>
        </w:trPr>
        <w:tc>
          <w:tcPr>
            <w:tcW w:w="3496"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Finance costs</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1.1E</w:t>
            </w:r>
          </w:p>
        </w:tc>
        <w:tc>
          <w:tcPr>
            <w:tcW w:w="105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51</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w:t>
            </w:r>
          </w:p>
        </w:tc>
      </w:tr>
      <w:tr w:rsidR="003E6989" w:rsidTr="006A5410">
        <w:trPr>
          <w:trHeight w:val="255"/>
        </w:trPr>
        <w:tc>
          <w:tcPr>
            <w:tcW w:w="3496"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Write-down and impairment of assets</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1.1F</w:t>
            </w:r>
          </w:p>
        </w:tc>
        <w:tc>
          <w:tcPr>
            <w:tcW w:w="105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2,774</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2,866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2,774</w:t>
            </w:r>
          </w:p>
        </w:tc>
      </w:tr>
      <w:tr w:rsidR="003E6989" w:rsidTr="006A5410">
        <w:trPr>
          <w:trHeight w:val="255"/>
        </w:trPr>
        <w:tc>
          <w:tcPr>
            <w:tcW w:w="3496"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Losses from asset sales</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1.1G</w:t>
            </w:r>
          </w:p>
        </w:tc>
        <w:tc>
          <w:tcPr>
            <w:tcW w:w="105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234</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234</w:t>
            </w:r>
          </w:p>
        </w:tc>
      </w:tr>
      <w:tr w:rsidR="003E6989" w:rsidTr="006A5410">
        <w:trPr>
          <w:trHeight w:val="255"/>
        </w:trPr>
        <w:tc>
          <w:tcPr>
            <w:tcW w:w="3496"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expenses</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050"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372,558</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337,832</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313,948</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58,610</w:t>
            </w:r>
          </w:p>
        </w:tc>
      </w:tr>
      <w:tr w:rsidR="003E6989" w:rsidTr="006A5410">
        <w:trPr>
          <w:trHeight w:val="255"/>
        </w:trPr>
        <w:tc>
          <w:tcPr>
            <w:tcW w:w="3496"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05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3496"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OWN-SOURCE INCOME</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05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3496"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Own-source revenue</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05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3496"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Sale of goods and rendering of services</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1.2A</w:t>
            </w:r>
          </w:p>
        </w:tc>
        <w:tc>
          <w:tcPr>
            <w:tcW w:w="105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29,736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30,385</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20,820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8,916</w:t>
            </w:r>
            <w:r w:rsidRPr="00AD5525">
              <w:rPr>
                <w:rFonts w:cs="Calibri"/>
                <w:szCs w:val="18"/>
                <w:vertAlign w:val="superscript"/>
              </w:rPr>
              <w:t>4</w:t>
            </w:r>
          </w:p>
        </w:tc>
      </w:tr>
      <w:tr w:rsidR="003E6989" w:rsidTr="006A5410">
        <w:trPr>
          <w:trHeight w:val="255"/>
        </w:trPr>
        <w:tc>
          <w:tcPr>
            <w:tcW w:w="3496"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Total own-source revenue</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050"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29,736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30,385</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20,820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8,916</w:t>
            </w:r>
          </w:p>
        </w:tc>
      </w:tr>
      <w:tr w:rsidR="003E6989" w:rsidTr="006A5410">
        <w:trPr>
          <w:trHeight w:val="255"/>
        </w:trPr>
        <w:tc>
          <w:tcPr>
            <w:tcW w:w="3496"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05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3496"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Gains</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05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3496"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Sale of assets</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1.2B</w:t>
            </w:r>
          </w:p>
        </w:tc>
        <w:tc>
          <w:tcPr>
            <w:tcW w:w="105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87</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w:t>
            </w:r>
          </w:p>
        </w:tc>
      </w:tr>
      <w:tr w:rsidR="003E6989" w:rsidTr="006A5410">
        <w:trPr>
          <w:trHeight w:val="480"/>
        </w:trPr>
        <w:tc>
          <w:tcPr>
            <w:tcW w:w="3496"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Reversals of previous asset write-downs and impairment</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1.2C</w:t>
            </w:r>
          </w:p>
        </w:tc>
        <w:tc>
          <w:tcPr>
            <w:tcW w:w="105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64</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w:t>
            </w:r>
          </w:p>
        </w:tc>
      </w:tr>
      <w:tr w:rsidR="003E6989" w:rsidTr="006A5410">
        <w:trPr>
          <w:trHeight w:val="255"/>
        </w:trPr>
        <w:tc>
          <w:tcPr>
            <w:tcW w:w="3496"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Other gains</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1.2D</w:t>
            </w:r>
          </w:p>
        </w:tc>
        <w:tc>
          <w:tcPr>
            <w:tcW w:w="105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8,640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6,847</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6,743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1,897</w:t>
            </w:r>
          </w:p>
        </w:tc>
      </w:tr>
      <w:tr w:rsidR="003E6989" w:rsidTr="006A5410">
        <w:trPr>
          <w:trHeight w:val="255"/>
        </w:trPr>
        <w:tc>
          <w:tcPr>
            <w:tcW w:w="3496"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Total gains</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050"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8,640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6,998</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6,743</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1,897</w:t>
            </w:r>
          </w:p>
        </w:tc>
      </w:tr>
      <w:tr w:rsidR="003E6989" w:rsidTr="006A5410">
        <w:trPr>
          <w:trHeight w:val="255"/>
        </w:trPr>
        <w:tc>
          <w:tcPr>
            <w:tcW w:w="3496"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own-source income</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050" w:type="dxa"/>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38,376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37,383</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27,563</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10,813</w:t>
            </w:r>
          </w:p>
        </w:tc>
      </w:tr>
      <w:tr w:rsidR="003E6989" w:rsidTr="006A5410">
        <w:trPr>
          <w:trHeight w:val="255"/>
        </w:trPr>
        <w:tc>
          <w:tcPr>
            <w:tcW w:w="3496"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05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3496"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 xml:space="preserve">Net cost of (contribution by) services </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050"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334,182</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300,449</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286,385</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47,797</w:t>
            </w:r>
          </w:p>
        </w:tc>
      </w:tr>
      <w:tr w:rsidR="003E6989" w:rsidTr="006A5410">
        <w:trPr>
          <w:trHeight w:val="255"/>
        </w:trPr>
        <w:tc>
          <w:tcPr>
            <w:tcW w:w="3496"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05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3496"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Revenue from Government</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1.2E</w:t>
            </w:r>
          </w:p>
        </w:tc>
        <w:tc>
          <w:tcPr>
            <w:tcW w:w="105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313,127</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276,854</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255,206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57,921</w:t>
            </w:r>
            <w:r w:rsidRPr="00AD5525">
              <w:rPr>
                <w:rFonts w:cs="Calibri"/>
                <w:szCs w:val="18"/>
                <w:vertAlign w:val="superscript"/>
              </w:rPr>
              <w:t>5</w:t>
            </w:r>
          </w:p>
        </w:tc>
      </w:tr>
      <w:tr w:rsidR="003E6989" w:rsidTr="006A5410">
        <w:trPr>
          <w:trHeight w:val="480"/>
        </w:trPr>
        <w:tc>
          <w:tcPr>
            <w:tcW w:w="3496"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Surplus (Deficit) attributable to the Australian Government</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050"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(21,055)</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(23,595)</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(31,179)</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10,124</w:t>
            </w:r>
          </w:p>
        </w:tc>
      </w:tr>
      <w:tr w:rsidR="003E6989" w:rsidTr="006A5410">
        <w:trPr>
          <w:trHeight w:val="255"/>
        </w:trPr>
        <w:tc>
          <w:tcPr>
            <w:tcW w:w="3496"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05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3496"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OTHER COMPREHENSIVE INCOME</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05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480"/>
        </w:trPr>
        <w:tc>
          <w:tcPr>
            <w:tcW w:w="3496"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Items not subject to subsequent reclassification to net cost of services</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05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3496"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Changes in asset revaluation surplus:</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05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3496" w:type="dxa"/>
            <w:tcBorders>
              <w:top w:val="nil"/>
              <w:left w:val="nil"/>
              <w:bottom w:val="nil"/>
              <w:right w:val="nil"/>
            </w:tcBorders>
            <w:shd w:val="clear" w:color="FFFFFF" w:fill="FFFFFF"/>
            <w:vAlign w:val="bottom"/>
            <w:hideMark/>
          </w:tcPr>
          <w:p w:rsidR="003E6989" w:rsidRDefault="003E6989" w:rsidP="003E6989">
            <w:pPr>
              <w:ind w:firstLineChars="100" w:firstLine="180"/>
              <w:rPr>
                <w:rFonts w:cs="Calibri"/>
                <w:szCs w:val="18"/>
              </w:rPr>
            </w:pPr>
            <w:r>
              <w:rPr>
                <w:rFonts w:cs="Calibri"/>
                <w:szCs w:val="18"/>
              </w:rPr>
              <w:t xml:space="preserve">Adjustment to land </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05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(30)</w:t>
            </w:r>
          </w:p>
        </w:tc>
      </w:tr>
      <w:tr w:rsidR="003E6989" w:rsidTr="006A5410">
        <w:trPr>
          <w:trHeight w:val="255"/>
        </w:trPr>
        <w:tc>
          <w:tcPr>
            <w:tcW w:w="3496" w:type="dxa"/>
            <w:tcBorders>
              <w:top w:val="nil"/>
              <w:left w:val="nil"/>
              <w:bottom w:val="nil"/>
              <w:right w:val="nil"/>
            </w:tcBorders>
            <w:shd w:val="clear" w:color="FFFFFF" w:fill="FFFFFF"/>
            <w:vAlign w:val="bottom"/>
            <w:hideMark/>
          </w:tcPr>
          <w:p w:rsidR="003E6989" w:rsidRDefault="003E6989" w:rsidP="003E6989">
            <w:pPr>
              <w:ind w:firstLineChars="100" w:firstLine="180"/>
              <w:rPr>
                <w:rFonts w:cs="Calibri"/>
                <w:szCs w:val="18"/>
              </w:rPr>
            </w:pPr>
            <w:r>
              <w:rPr>
                <w:rFonts w:cs="Calibri"/>
                <w:szCs w:val="18"/>
              </w:rPr>
              <w:t>Adjustment to buildings</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05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(4)</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(4)</w:t>
            </w:r>
          </w:p>
        </w:tc>
      </w:tr>
      <w:tr w:rsidR="003E6989" w:rsidTr="006A5410">
        <w:trPr>
          <w:trHeight w:val="255"/>
        </w:trPr>
        <w:tc>
          <w:tcPr>
            <w:tcW w:w="3496" w:type="dxa"/>
            <w:tcBorders>
              <w:top w:val="nil"/>
              <w:left w:val="nil"/>
              <w:bottom w:val="nil"/>
              <w:right w:val="nil"/>
            </w:tcBorders>
            <w:shd w:val="clear" w:color="FFFFFF" w:fill="FFFFFF"/>
            <w:vAlign w:val="bottom"/>
            <w:hideMark/>
          </w:tcPr>
          <w:p w:rsidR="003E6989" w:rsidRDefault="003E6989" w:rsidP="003E6989">
            <w:pPr>
              <w:ind w:firstLineChars="100" w:firstLine="180"/>
              <w:rPr>
                <w:rFonts w:cs="Calibri"/>
                <w:szCs w:val="18"/>
              </w:rPr>
            </w:pPr>
            <w:r>
              <w:rPr>
                <w:rFonts w:cs="Calibri"/>
                <w:szCs w:val="18"/>
              </w:rPr>
              <w:t>Adjustment to leasehold improvements</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05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(1,242)</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5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(1,242)</w:t>
            </w:r>
          </w:p>
        </w:tc>
      </w:tr>
      <w:tr w:rsidR="003E6989" w:rsidTr="006A5410">
        <w:trPr>
          <w:trHeight w:val="480"/>
        </w:trPr>
        <w:tc>
          <w:tcPr>
            <w:tcW w:w="3496" w:type="dxa"/>
            <w:tcBorders>
              <w:top w:val="nil"/>
              <w:left w:val="nil"/>
              <w:bottom w:val="nil"/>
              <w:right w:val="nil"/>
            </w:tcBorders>
            <w:shd w:val="clear" w:color="FFFFFF" w:fill="FFFFFF"/>
            <w:vAlign w:val="bottom"/>
            <w:hideMark/>
          </w:tcPr>
          <w:p w:rsidR="003E6989" w:rsidRDefault="003E6989" w:rsidP="003E6989">
            <w:pPr>
              <w:ind w:firstLineChars="100" w:firstLine="180"/>
              <w:rPr>
                <w:rFonts w:cs="Calibri"/>
                <w:szCs w:val="18"/>
              </w:rPr>
            </w:pPr>
            <w:r>
              <w:rPr>
                <w:rFonts w:cs="Calibri"/>
                <w:szCs w:val="18"/>
              </w:rPr>
              <w:t>Adjustment to infrastructure, plant and equipment</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05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897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897 </w:t>
            </w:r>
          </w:p>
        </w:tc>
      </w:tr>
      <w:tr w:rsidR="003E6989" w:rsidTr="006A5410">
        <w:trPr>
          <w:trHeight w:val="255"/>
        </w:trPr>
        <w:tc>
          <w:tcPr>
            <w:tcW w:w="3496"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other comprehensive income</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050"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(379)</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5</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(379)</w:t>
            </w:r>
          </w:p>
        </w:tc>
      </w:tr>
      <w:tr w:rsidR="003E6989" w:rsidTr="006A5410">
        <w:trPr>
          <w:trHeight w:val="255"/>
        </w:trPr>
        <w:tc>
          <w:tcPr>
            <w:tcW w:w="3496"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05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495"/>
        </w:trPr>
        <w:tc>
          <w:tcPr>
            <w:tcW w:w="3496"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comprehensive income (loss) attributable to the Australian Government</w:t>
            </w:r>
          </w:p>
        </w:tc>
        <w:tc>
          <w:tcPr>
            <w:tcW w:w="663"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050"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(21,434)</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63"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(23,590)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(31,179)</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11"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9,745</w:t>
            </w:r>
          </w:p>
        </w:tc>
      </w:tr>
    </w:tbl>
    <w:p w:rsidR="003E6989" w:rsidRDefault="003E6989" w:rsidP="003E6989">
      <w:pPr>
        <w:spacing w:line="240" w:lineRule="auto"/>
      </w:pPr>
    </w:p>
    <w:p w:rsidR="003E6989" w:rsidRDefault="003E6989" w:rsidP="003E6989">
      <w:pPr>
        <w:spacing w:line="240" w:lineRule="auto"/>
      </w:pPr>
    </w:p>
    <w:p w:rsidR="003E6989" w:rsidRDefault="003E6989" w:rsidP="003E6989">
      <w:pPr>
        <w:spacing w:line="240" w:lineRule="auto"/>
        <w:sectPr w:rsidR="003E6989" w:rsidSect="00403CAE">
          <w:type w:val="continuous"/>
          <w:pgSz w:w="11906" w:h="16838"/>
          <w:pgMar w:top="1134" w:right="1134" w:bottom="1134" w:left="1134" w:header="958" w:footer="737" w:gutter="0"/>
          <w:cols w:space="720"/>
        </w:sectPr>
      </w:pPr>
    </w:p>
    <w:p w:rsidR="00403CAE" w:rsidRDefault="00403CAE" w:rsidP="00403CAE">
      <w:pPr>
        <w:pStyle w:val="Heading1"/>
      </w:pPr>
      <w:bookmarkStart w:id="17" w:name="_Toc464726272"/>
      <w:bookmarkStart w:id="18" w:name="_Toc464726554"/>
      <w:bookmarkStart w:id="19" w:name="_Toc464726608"/>
      <w:bookmarkStart w:id="20" w:name="Note_DBSTABLE1" w:colFirst="0" w:colLast="0"/>
      <w:r>
        <w:lastRenderedPageBreak/>
        <w:t>Department of Education and Training</w:t>
      </w:r>
      <w:r>
        <w:br/>
        <w:t>STATEMENT OF FINANCIAL POSITION</w:t>
      </w:r>
      <w:r>
        <w:br/>
        <w:t>as at 30 June 2016</w:t>
      </w:r>
      <w:bookmarkEnd w:id="17"/>
      <w:bookmarkEnd w:id="18"/>
      <w:bookmarkEnd w:id="19"/>
    </w:p>
    <w:p w:rsidR="00403CAE" w:rsidRDefault="00403CAE" w:rsidP="006A5410">
      <w:pPr>
        <w:rPr>
          <w:rFonts w:cs="Calibri"/>
          <w:szCs w:val="18"/>
        </w:rPr>
        <w:sectPr w:rsidR="00403CAE" w:rsidSect="006A5410">
          <w:headerReference w:type="default" r:id="rId18"/>
          <w:pgSz w:w="11906" w:h="16838"/>
          <w:pgMar w:top="1134" w:right="1134" w:bottom="1134" w:left="1134" w:header="958" w:footer="737" w:gutter="0"/>
          <w:cols w:space="720"/>
        </w:sectPr>
      </w:pPr>
    </w:p>
    <w:tbl>
      <w:tblPr>
        <w:tblW w:w="9087" w:type="dxa"/>
        <w:tblInd w:w="80" w:type="dxa"/>
        <w:tblLayout w:type="fixed"/>
        <w:tblLook w:val="04A0" w:firstRow="1" w:lastRow="0" w:firstColumn="1" w:lastColumn="0" w:noHBand="0" w:noVBand="1"/>
      </w:tblPr>
      <w:tblGrid>
        <w:gridCol w:w="2805"/>
        <w:gridCol w:w="1129"/>
        <w:gridCol w:w="1114"/>
        <w:gridCol w:w="238"/>
        <w:gridCol w:w="1109"/>
        <w:gridCol w:w="238"/>
        <w:gridCol w:w="1109"/>
        <w:gridCol w:w="238"/>
        <w:gridCol w:w="1107"/>
      </w:tblGrid>
      <w:tr w:rsidR="003E6989" w:rsidTr="006A5410">
        <w:trPr>
          <w:trHeight w:val="480"/>
        </w:trPr>
        <w:tc>
          <w:tcPr>
            <w:tcW w:w="2805"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lastRenderedPageBreak/>
              <w:t> </w:t>
            </w:r>
          </w:p>
        </w:tc>
        <w:tc>
          <w:tcPr>
            <w:tcW w:w="1129"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14"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2016</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2015</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2016 Original Budget</w:t>
            </w:r>
            <w:r w:rsidRPr="00AD5525">
              <w:rPr>
                <w:rFonts w:cs="Calibri"/>
                <w:szCs w:val="18"/>
                <w:vertAlign w:val="superscript"/>
              </w:rPr>
              <w:t>1</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Variance</w:t>
            </w:r>
          </w:p>
        </w:tc>
      </w:tr>
      <w:bookmarkEnd w:id="20"/>
      <w:tr w:rsidR="003E6989" w:rsidTr="006A5410">
        <w:trPr>
          <w:trHeight w:val="255"/>
        </w:trPr>
        <w:tc>
          <w:tcPr>
            <w:tcW w:w="2805"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b/>
                <w:bCs/>
                <w:szCs w:val="18"/>
              </w:rPr>
            </w:pPr>
            <w:r>
              <w:rPr>
                <w:rFonts w:cs="Calibri"/>
                <w:b/>
                <w:bCs/>
                <w:szCs w:val="18"/>
              </w:rPr>
              <w:t>Notes</w:t>
            </w:r>
          </w:p>
        </w:tc>
        <w:tc>
          <w:tcPr>
            <w:tcW w:w="1114"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$'000</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$'000</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$'000</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2805"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ASSETS</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114"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2805"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Financial assets</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114"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2805"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Cash and cash equivalents</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3.1A</w:t>
            </w:r>
          </w:p>
        </w:tc>
        <w:tc>
          <w:tcPr>
            <w:tcW w:w="1114"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6,132</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9,817</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8,429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(2,297)</w:t>
            </w:r>
          </w:p>
        </w:tc>
      </w:tr>
      <w:tr w:rsidR="003E6989" w:rsidTr="006A5410">
        <w:trPr>
          <w:trHeight w:val="255"/>
        </w:trPr>
        <w:tc>
          <w:tcPr>
            <w:tcW w:w="2805"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Trade and other receivables</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3.1B</w:t>
            </w:r>
          </w:p>
        </w:tc>
        <w:tc>
          <w:tcPr>
            <w:tcW w:w="1114"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85,245</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51,829</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32,310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52,935</w:t>
            </w:r>
            <w:r w:rsidRPr="00AD5525">
              <w:rPr>
                <w:rFonts w:cs="Calibri"/>
                <w:szCs w:val="18"/>
                <w:vertAlign w:val="superscript"/>
              </w:rPr>
              <w:t>5</w:t>
            </w:r>
          </w:p>
        </w:tc>
      </w:tr>
      <w:tr w:rsidR="003E6989" w:rsidTr="006A5410">
        <w:trPr>
          <w:trHeight w:val="255"/>
        </w:trPr>
        <w:tc>
          <w:tcPr>
            <w:tcW w:w="2805"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Other financial assets</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3.1C</w:t>
            </w:r>
          </w:p>
        </w:tc>
        <w:tc>
          <w:tcPr>
            <w:tcW w:w="1114"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1,996</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3,276</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5,513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(3,517)</w:t>
            </w:r>
          </w:p>
        </w:tc>
      </w:tr>
      <w:tr w:rsidR="003E6989" w:rsidTr="006A5410">
        <w:trPr>
          <w:trHeight w:val="255"/>
        </w:trPr>
        <w:tc>
          <w:tcPr>
            <w:tcW w:w="2805"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Total financial assets</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114"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93,373</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64,922</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46,252</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47,121</w:t>
            </w:r>
          </w:p>
        </w:tc>
      </w:tr>
      <w:tr w:rsidR="003E6989" w:rsidTr="006A5410">
        <w:trPr>
          <w:trHeight w:val="255"/>
        </w:trPr>
        <w:tc>
          <w:tcPr>
            <w:tcW w:w="2805"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114"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2805"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Non-financial assets</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114"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2805"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Land and buildings</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3.2A</w:t>
            </w:r>
          </w:p>
        </w:tc>
        <w:tc>
          <w:tcPr>
            <w:tcW w:w="1114"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37,137</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42,118</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46,194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(9,057)</w:t>
            </w:r>
            <w:r w:rsidRPr="00AD5525">
              <w:rPr>
                <w:rFonts w:cs="Calibri"/>
                <w:szCs w:val="18"/>
                <w:vertAlign w:val="superscript"/>
              </w:rPr>
              <w:t>6</w:t>
            </w:r>
          </w:p>
        </w:tc>
      </w:tr>
      <w:tr w:rsidR="003E6989" w:rsidTr="006A5410">
        <w:trPr>
          <w:trHeight w:val="255"/>
        </w:trPr>
        <w:tc>
          <w:tcPr>
            <w:tcW w:w="2805"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Infrastructure, plant and equipment</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3.2A</w:t>
            </w:r>
          </w:p>
        </w:tc>
        <w:tc>
          <w:tcPr>
            <w:tcW w:w="1114"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12,659</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11,327</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13,940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(1,281)</w:t>
            </w:r>
            <w:r w:rsidRPr="00AD5525">
              <w:rPr>
                <w:rFonts w:cs="Calibri"/>
                <w:szCs w:val="18"/>
                <w:vertAlign w:val="superscript"/>
              </w:rPr>
              <w:t>6</w:t>
            </w:r>
          </w:p>
        </w:tc>
      </w:tr>
      <w:tr w:rsidR="003E6989" w:rsidTr="006A5410">
        <w:trPr>
          <w:trHeight w:val="255"/>
        </w:trPr>
        <w:tc>
          <w:tcPr>
            <w:tcW w:w="2805"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Intangibles</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3.2A</w:t>
            </w:r>
          </w:p>
        </w:tc>
        <w:tc>
          <w:tcPr>
            <w:tcW w:w="1114"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75,589</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70,403</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80,099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(4,510)</w:t>
            </w:r>
            <w:r w:rsidRPr="00AD5525">
              <w:rPr>
                <w:rFonts w:cs="Calibri"/>
                <w:szCs w:val="18"/>
                <w:vertAlign w:val="superscript"/>
              </w:rPr>
              <w:t>6</w:t>
            </w:r>
          </w:p>
        </w:tc>
      </w:tr>
      <w:tr w:rsidR="003E6989" w:rsidTr="006A5410">
        <w:trPr>
          <w:trHeight w:val="255"/>
        </w:trPr>
        <w:tc>
          <w:tcPr>
            <w:tcW w:w="2805"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Other non-financial assets</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3.2B</w:t>
            </w:r>
          </w:p>
        </w:tc>
        <w:tc>
          <w:tcPr>
            <w:tcW w:w="1114"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10,126</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10,728</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8,599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1,527</w:t>
            </w:r>
          </w:p>
        </w:tc>
      </w:tr>
      <w:tr w:rsidR="003E6989" w:rsidTr="006A5410">
        <w:trPr>
          <w:trHeight w:val="255"/>
        </w:trPr>
        <w:tc>
          <w:tcPr>
            <w:tcW w:w="2805"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Total non-financial assets</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114"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135,511</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134,576</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148,832</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(13,321)</w:t>
            </w:r>
          </w:p>
        </w:tc>
      </w:tr>
      <w:tr w:rsidR="003E6989" w:rsidTr="006A5410">
        <w:trPr>
          <w:trHeight w:val="255"/>
        </w:trPr>
        <w:tc>
          <w:tcPr>
            <w:tcW w:w="2805"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114"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70"/>
        </w:trPr>
        <w:tc>
          <w:tcPr>
            <w:tcW w:w="2805"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assets</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114"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228,884</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199,498</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195,084</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33,800</w:t>
            </w:r>
          </w:p>
        </w:tc>
      </w:tr>
      <w:tr w:rsidR="003E6989" w:rsidTr="006A5410">
        <w:trPr>
          <w:trHeight w:val="270"/>
        </w:trPr>
        <w:tc>
          <w:tcPr>
            <w:tcW w:w="2805"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114"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2805"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LIABILITIES</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114"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2805"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Payables</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114"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2805"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Suppliers</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3.3A</w:t>
            </w:r>
          </w:p>
        </w:tc>
        <w:tc>
          <w:tcPr>
            <w:tcW w:w="1114"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31,663</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23,495</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12,975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18,688</w:t>
            </w:r>
            <w:r w:rsidRPr="00AD5525">
              <w:rPr>
                <w:rFonts w:cs="Calibri"/>
                <w:szCs w:val="18"/>
                <w:vertAlign w:val="superscript"/>
              </w:rPr>
              <w:t>3</w:t>
            </w:r>
          </w:p>
        </w:tc>
      </w:tr>
      <w:tr w:rsidR="003E6989" w:rsidTr="006A5410">
        <w:trPr>
          <w:trHeight w:val="255"/>
        </w:trPr>
        <w:tc>
          <w:tcPr>
            <w:tcW w:w="2805"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Other payables</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3.3B</w:t>
            </w:r>
          </w:p>
        </w:tc>
        <w:tc>
          <w:tcPr>
            <w:tcW w:w="1114"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20,329</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28,963</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21,397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(1,068)</w:t>
            </w:r>
          </w:p>
        </w:tc>
      </w:tr>
      <w:tr w:rsidR="003E6989" w:rsidTr="006A5410">
        <w:trPr>
          <w:trHeight w:val="255"/>
        </w:trPr>
        <w:tc>
          <w:tcPr>
            <w:tcW w:w="2805"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Total payables</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114"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51,992</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52,458</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34,372</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17,620</w:t>
            </w:r>
          </w:p>
        </w:tc>
      </w:tr>
      <w:tr w:rsidR="003E6989" w:rsidTr="006A5410">
        <w:trPr>
          <w:trHeight w:val="255"/>
        </w:trPr>
        <w:tc>
          <w:tcPr>
            <w:tcW w:w="2805"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114"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2805"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Provisions</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114"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2805"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Employee provisions</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6.1A</w:t>
            </w:r>
          </w:p>
        </w:tc>
        <w:tc>
          <w:tcPr>
            <w:tcW w:w="1114"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71,173</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54,778</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79,326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(8,153)</w:t>
            </w:r>
            <w:r w:rsidRPr="00AD5525">
              <w:rPr>
                <w:rFonts w:cs="Calibri"/>
                <w:szCs w:val="18"/>
                <w:vertAlign w:val="superscript"/>
              </w:rPr>
              <w:t>2</w:t>
            </w:r>
          </w:p>
        </w:tc>
      </w:tr>
      <w:tr w:rsidR="003E6989" w:rsidTr="006A5410">
        <w:trPr>
          <w:trHeight w:val="255"/>
        </w:trPr>
        <w:tc>
          <w:tcPr>
            <w:tcW w:w="2805"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Other provisions</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3.4A</w:t>
            </w:r>
          </w:p>
        </w:tc>
        <w:tc>
          <w:tcPr>
            <w:tcW w:w="1114"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1,739</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3,106</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1,345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394</w:t>
            </w:r>
          </w:p>
        </w:tc>
      </w:tr>
      <w:tr w:rsidR="003E6989" w:rsidTr="006A5410">
        <w:trPr>
          <w:trHeight w:val="255"/>
        </w:trPr>
        <w:tc>
          <w:tcPr>
            <w:tcW w:w="2805"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Total provisions</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114"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72,912</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57,884</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80,671</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(7,759)</w:t>
            </w:r>
          </w:p>
        </w:tc>
      </w:tr>
      <w:tr w:rsidR="003E6989" w:rsidTr="006A5410">
        <w:trPr>
          <w:trHeight w:val="255"/>
        </w:trPr>
        <w:tc>
          <w:tcPr>
            <w:tcW w:w="2805"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114"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70"/>
        </w:trPr>
        <w:tc>
          <w:tcPr>
            <w:tcW w:w="2805"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liabilities</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114"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124,904</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110,342</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115,043</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9,861</w:t>
            </w:r>
          </w:p>
        </w:tc>
      </w:tr>
      <w:tr w:rsidR="003E6989" w:rsidTr="006A5410">
        <w:trPr>
          <w:trHeight w:val="270"/>
        </w:trPr>
        <w:tc>
          <w:tcPr>
            <w:tcW w:w="2805"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 </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114"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70"/>
        </w:trPr>
        <w:tc>
          <w:tcPr>
            <w:tcW w:w="2805"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Net assets</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114" w:type="dxa"/>
            <w:tcBorders>
              <w:top w:val="nil"/>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103,980</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89,156</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80,041</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nil"/>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23,939</w:t>
            </w:r>
          </w:p>
        </w:tc>
      </w:tr>
      <w:tr w:rsidR="003E6989" w:rsidTr="006A5410">
        <w:trPr>
          <w:trHeight w:val="270"/>
        </w:trPr>
        <w:tc>
          <w:tcPr>
            <w:tcW w:w="2805"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114"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2805"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EQUITY</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114"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2805"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Contributed equity</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114"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171,110</w:t>
            </w:r>
          </w:p>
        </w:tc>
        <w:tc>
          <w:tcPr>
            <w:tcW w:w="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134,848</w:t>
            </w:r>
          </w:p>
        </w:tc>
        <w:tc>
          <w:tcPr>
            <w:tcW w:w="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112,209 </w:t>
            </w:r>
          </w:p>
        </w:tc>
        <w:tc>
          <w:tcPr>
            <w:tcW w:w="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1107"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58,901</w:t>
            </w:r>
            <w:r w:rsidRPr="00AD5525">
              <w:rPr>
                <w:rFonts w:cs="Calibri"/>
                <w:szCs w:val="18"/>
                <w:vertAlign w:val="superscript"/>
              </w:rPr>
              <w:t>7</w:t>
            </w:r>
          </w:p>
        </w:tc>
      </w:tr>
      <w:tr w:rsidR="003E6989" w:rsidTr="006A5410">
        <w:trPr>
          <w:trHeight w:val="255"/>
        </w:trPr>
        <w:tc>
          <w:tcPr>
            <w:tcW w:w="2805"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Reserves</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114"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59</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438</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433 </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(374)</w:t>
            </w:r>
          </w:p>
        </w:tc>
      </w:tr>
      <w:tr w:rsidR="003E6989" w:rsidTr="006A5410">
        <w:trPr>
          <w:trHeight w:val="480"/>
        </w:trPr>
        <w:tc>
          <w:tcPr>
            <w:tcW w:w="2805"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Retained surplus (accumulated deficit)</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114"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(67,189)</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(46,130)</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(32,601)</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(34,588)</w:t>
            </w:r>
            <w:r w:rsidRPr="00AD5525">
              <w:rPr>
                <w:rFonts w:cs="Calibri"/>
                <w:szCs w:val="18"/>
                <w:vertAlign w:val="superscript"/>
              </w:rPr>
              <w:t>7</w:t>
            </w:r>
          </w:p>
        </w:tc>
      </w:tr>
      <w:tr w:rsidR="003E6989" w:rsidTr="006A5410">
        <w:trPr>
          <w:trHeight w:val="270"/>
        </w:trPr>
        <w:tc>
          <w:tcPr>
            <w:tcW w:w="2805"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equity</w:t>
            </w:r>
          </w:p>
        </w:tc>
        <w:tc>
          <w:tcPr>
            <w:tcW w:w="1129" w:type="dxa"/>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1114"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103,980</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89,156</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9"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80,041</w:t>
            </w:r>
          </w:p>
        </w:tc>
        <w:tc>
          <w:tcPr>
            <w:tcW w:w="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07"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23,939</w:t>
            </w:r>
          </w:p>
        </w:tc>
      </w:tr>
    </w:tbl>
    <w:p w:rsidR="003E6989" w:rsidRDefault="003E6989" w:rsidP="003E6989">
      <w:pPr>
        <w:spacing w:line="240" w:lineRule="auto"/>
      </w:pPr>
      <w:bookmarkStart w:id="21" w:name="RANGE!D7:H45"/>
      <w:bookmarkStart w:id="22" w:name="RANGE!D6:H69"/>
      <w:bookmarkStart w:id="23" w:name="RANGE!D6:D69"/>
      <w:bookmarkStart w:id="24" w:name="RANGE!D6:H68"/>
      <w:bookmarkStart w:id="25" w:name="RANGE!D6:D68"/>
      <w:bookmarkStart w:id="26" w:name="RANGE!D6:H48"/>
      <w:bookmarkStart w:id="27" w:name="RANGE!D6:H41"/>
      <w:bookmarkStart w:id="28" w:name="RANGE!D6:H40"/>
      <w:bookmarkStart w:id="29" w:name="RANGE!D6:H42"/>
      <w:bookmarkStart w:id="30" w:name="RANGE!D6:H46"/>
      <w:bookmarkStart w:id="31" w:name="RANGE!D6:H45"/>
      <w:bookmarkEnd w:id="21"/>
      <w:bookmarkEnd w:id="22"/>
      <w:bookmarkEnd w:id="23"/>
      <w:bookmarkEnd w:id="24"/>
      <w:bookmarkEnd w:id="25"/>
      <w:bookmarkEnd w:id="26"/>
      <w:bookmarkEnd w:id="27"/>
      <w:bookmarkEnd w:id="28"/>
      <w:bookmarkEnd w:id="29"/>
      <w:bookmarkEnd w:id="30"/>
      <w:bookmarkEnd w:id="31"/>
    </w:p>
    <w:p w:rsidR="003E6989" w:rsidRDefault="003E6989" w:rsidP="003E6989">
      <w:pPr>
        <w:spacing w:line="240" w:lineRule="auto"/>
        <w:rPr>
          <w:rFonts w:ascii="Arial" w:hAnsi="Arial" w:cs="Arial"/>
          <w:sz w:val="16"/>
          <w:szCs w:val="16"/>
        </w:rPr>
        <w:sectPr w:rsidR="003E6989" w:rsidSect="00403CAE">
          <w:type w:val="continuous"/>
          <w:pgSz w:w="11906" w:h="16838"/>
          <w:pgMar w:top="1134" w:right="1134" w:bottom="1134" w:left="1134" w:header="958" w:footer="737" w:gutter="0"/>
          <w:cols w:space="720"/>
        </w:sectPr>
      </w:pPr>
      <w:r>
        <w:br w:type="page"/>
      </w:r>
    </w:p>
    <w:p w:rsidR="00403CAE" w:rsidRDefault="00403CAE" w:rsidP="00403CAE">
      <w:pPr>
        <w:pStyle w:val="Heading1"/>
      </w:pPr>
      <w:bookmarkStart w:id="32" w:name="_Toc464726273"/>
      <w:bookmarkStart w:id="33" w:name="_Toc464726555"/>
      <w:bookmarkStart w:id="34" w:name="_Toc464726609"/>
      <w:bookmarkStart w:id="35" w:name="Note_CEQTABLE1" w:colFirst="0" w:colLast="0"/>
      <w:r>
        <w:lastRenderedPageBreak/>
        <w:t>Department of Education and Training</w:t>
      </w:r>
      <w:r>
        <w:br/>
        <w:t>STATEMENT OF CHANGES IN EQUITY</w:t>
      </w:r>
      <w:r>
        <w:br/>
        <w:t>for the period ended 30 June 2016</w:t>
      </w:r>
      <w:bookmarkEnd w:id="32"/>
      <w:bookmarkEnd w:id="33"/>
      <w:bookmarkEnd w:id="34"/>
    </w:p>
    <w:p w:rsidR="00403CAE" w:rsidRDefault="00403CAE" w:rsidP="006A5410">
      <w:pPr>
        <w:spacing w:line="240" w:lineRule="auto"/>
        <w:rPr>
          <w:rFonts w:ascii="Arial" w:hAnsi="Arial" w:cs="Arial"/>
          <w:szCs w:val="18"/>
        </w:rPr>
        <w:sectPr w:rsidR="00403CAE" w:rsidSect="006A5410">
          <w:headerReference w:type="default" r:id="rId19"/>
          <w:pgSz w:w="11906" w:h="16838"/>
          <w:pgMar w:top="1134" w:right="1134" w:bottom="1134" w:left="1134" w:header="958" w:footer="737" w:gutter="0"/>
          <w:cols w:space="720"/>
          <w:docGrid w:linePitch="245"/>
        </w:sectPr>
      </w:pPr>
    </w:p>
    <w:tbl>
      <w:tblPr>
        <w:tblW w:w="9087" w:type="dxa"/>
        <w:tblInd w:w="80" w:type="dxa"/>
        <w:tblLayout w:type="fixed"/>
        <w:tblLook w:val="04A0" w:firstRow="1" w:lastRow="0" w:firstColumn="1" w:lastColumn="0" w:noHBand="0" w:noVBand="1"/>
      </w:tblPr>
      <w:tblGrid>
        <w:gridCol w:w="4803"/>
        <w:gridCol w:w="956"/>
        <w:gridCol w:w="239"/>
        <w:gridCol w:w="840"/>
        <w:gridCol w:w="239"/>
        <w:gridCol w:w="841"/>
        <w:gridCol w:w="239"/>
        <w:gridCol w:w="930"/>
      </w:tblGrid>
      <w:tr w:rsidR="003E6989" w:rsidTr="006A5410">
        <w:trPr>
          <w:trHeight w:val="227"/>
        </w:trPr>
        <w:tc>
          <w:tcPr>
            <w:tcW w:w="4753"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lastRenderedPageBreak/>
              <w:t> </w:t>
            </w:r>
          </w:p>
        </w:tc>
        <w:tc>
          <w:tcPr>
            <w:tcW w:w="946" w:type="dxa"/>
            <w:tcBorders>
              <w:top w:val="nil"/>
              <w:left w:val="nil"/>
              <w:bottom w:val="nil"/>
              <w:right w:val="nil"/>
            </w:tcBorders>
            <w:shd w:val="clear" w:color="FFFFFF" w:fill="FFFFFF"/>
            <w:vAlign w:val="bottom"/>
            <w:hideMark/>
          </w:tcPr>
          <w:p w:rsidR="003E6989" w:rsidRDefault="003E6989" w:rsidP="006A5410">
            <w:pPr>
              <w:spacing w:line="240" w:lineRule="auto"/>
              <w:jc w:val="right"/>
              <w:rPr>
                <w:rFonts w:cs="Calibri"/>
                <w:b/>
                <w:bCs/>
                <w:szCs w:val="18"/>
              </w:rPr>
            </w:pPr>
            <w:r>
              <w:rPr>
                <w:rFonts w:cs="Calibri"/>
                <w:b/>
                <w:bCs/>
                <w:szCs w:val="18"/>
              </w:rPr>
              <w:t>2016</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2015</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2016 Original Budget</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Variance</w:t>
            </w:r>
          </w:p>
        </w:tc>
      </w:tr>
      <w:bookmarkEnd w:id="35"/>
      <w:tr w:rsidR="003E6989" w:rsidTr="006A5410">
        <w:trPr>
          <w:trHeight w:val="227"/>
        </w:trPr>
        <w:tc>
          <w:tcPr>
            <w:tcW w:w="4753"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946"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b/>
                <w:bCs/>
                <w:szCs w:val="18"/>
              </w:rPr>
            </w:pPr>
            <w:r>
              <w:rPr>
                <w:rFonts w:cs="Calibri"/>
                <w:b/>
                <w:bCs/>
                <w:szCs w:val="18"/>
              </w:rPr>
              <w:t>$'000</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$'000</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$'000</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$'000</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CONTRIBUTED EQUITY</w:t>
            </w:r>
          </w:p>
        </w:tc>
        <w:tc>
          <w:tcPr>
            <w:tcW w:w="946" w:type="dxa"/>
            <w:tcBorders>
              <w:top w:val="nil"/>
              <w:left w:val="nil"/>
              <w:bottom w:val="nil"/>
              <w:right w:val="nil"/>
            </w:tcBorders>
            <w:shd w:val="clear" w:color="FFFFFF" w:fill="FFFFFF"/>
            <w:vAlign w:val="bottom"/>
            <w:hideMark/>
          </w:tcPr>
          <w:p w:rsidR="003E6989" w:rsidRDefault="003E6989" w:rsidP="006A5410">
            <w:pPr>
              <w:spacing w:line="240" w:lineRule="auto"/>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 </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Opening balance</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Balance carried forward from previous period</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134,848</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95,137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81,567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53,281</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Adjustment for rounding</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(1)</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(1)</w:t>
            </w:r>
          </w:p>
        </w:tc>
      </w:tr>
      <w:tr w:rsidR="003E6989" w:rsidTr="006A5410">
        <w:trPr>
          <w:trHeight w:val="227"/>
        </w:trPr>
        <w:tc>
          <w:tcPr>
            <w:tcW w:w="4753" w:type="dxa"/>
            <w:tcBorders>
              <w:top w:val="single" w:sz="4" w:space="0" w:color="auto"/>
              <w:left w:val="nil"/>
              <w:bottom w:val="single" w:sz="4" w:space="0" w:color="auto"/>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Adjusted opening balance</w:t>
            </w:r>
          </w:p>
        </w:tc>
        <w:tc>
          <w:tcPr>
            <w:tcW w:w="94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134,847</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95,137</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81,567</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53,280</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Transactions with owners</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Distributions to owners</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Returns of capital:</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r>
      <w:tr w:rsidR="003E6989" w:rsidTr="006A5410">
        <w:trPr>
          <w:trHeight w:val="227"/>
        </w:trPr>
        <w:tc>
          <w:tcPr>
            <w:tcW w:w="4753" w:type="dxa"/>
            <w:tcBorders>
              <w:top w:val="nil"/>
              <w:left w:val="nil"/>
              <w:bottom w:val="nil"/>
              <w:right w:val="nil"/>
            </w:tcBorders>
            <w:shd w:val="clear" w:color="FFFFFF" w:fill="FFFFFF"/>
            <w:noWrap/>
            <w:vAlign w:val="bottom"/>
            <w:hideMark/>
          </w:tcPr>
          <w:p w:rsidR="003E6989" w:rsidRDefault="003E6989" w:rsidP="003E6989">
            <w:pPr>
              <w:spacing w:line="240" w:lineRule="auto"/>
              <w:ind w:firstLineChars="100" w:firstLine="180"/>
              <w:rPr>
                <w:rFonts w:cs="Calibri"/>
                <w:szCs w:val="18"/>
              </w:rPr>
            </w:pPr>
            <w:r>
              <w:rPr>
                <w:rFonts w:cs="Calibri"/>
                <w:szCs w:val="18"/>
              </w:rPr>
              <w:t>Restructuring (Note 8.1A)</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24,557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Contributions by owners</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Equity injection - Appropriation</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10,438</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3,489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8,465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1,973</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Departmental capital budget</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22,177</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18,686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22,177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Restructuring (Note 8.1A)</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3,648</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(7,021)</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3,648</w:t>
            </w:r>
          </w:p>
        </w:tc>
      </w:tr>
      <w:tr w:rsidR="003E6989" w:rsidTr="006A5410">
        <w:trPr>
          <w:trHeight w:val="227"/>
        </w:trPr>
        <w:tc>
          <w:tcPr>
            <w:tcW w:w="4753" w:type="dxa"/>
            <w:tcBorders>
              <w:top w:val="single" w:sz="4" w:space="0" w:color="auto"/>
              <w:left w:val="nil"/>
              <w:bottom w:val="single" w:sz="4" w:space="0" w:color="auto"/>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Total transactions with owners</w:t>
            </w:r>
          </w:p>
        </w:tc>
        <w:tc>
          <w:tcPr>
            <w:tcW w:w="94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36,263</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39,711</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30,642</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5,621</w:t>
            </w:r>
          </w:p>
        </w:tc>
      </w:tr>
      <w:tr w:rsidR="003E6989" w:rsidTr="006A5410">
        <w:trPr>
          <w:trHeight w:val="227"/>
        </w:trPr>
        <w:tc>
          <w:tcPr>
            <w:tcW w:w="4753" w:type="dxa"/>
            <w:tcBorders>
              <w:top w:val="single" w:sz="4" w:space="0" w:color="auto"/>
              <w:left w:val="nil"/>
              <w:bottom w:val="single" w:sz="4" w:space="0" w:color="auto"/>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Closing balance as at 30 June</w:t>
            </w:r>
          </w:p>
        </w:tc>
        <w:tc>
          <w:tcPr>
            <w:tcW w:w="94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171,110</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134,848</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112,209</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58,901</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RETAINED EARNINGS</w:t>
            </w:r>
          </w:p>
        </w:tc>
        <w:tc>
          <w:tcPr>
            <w:tcW w:w="946" w:type="dxa"/>
            <w:tcBorders>
              <w:top w:val="nil"/>
              <w:left w:val="nil"/>
              <w:bottom w:val="nil"/>
              <w:right w:val="nil"/>
            </w:tcBorders>
            <w:shd w:val="clear" w:color="FFFFFF" w:fill="FFFFFF"/>
            <w:vAlign w:val="bottom"/>
            <w:hideMark/>
          </w:tcPr>
          <w:p w:rsidR="003E6989" w:rsidRDefault="003E6989" w:rsidP="006A5410">
            <w:pPr>
              <w:spacing w:line="240" w:lineRule="auto"/>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 </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Opening balance</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Balance carried forward from previous period</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(46,130)</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(22,538)</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(1,422)</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(44,708)</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Adjustment for rounding</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(4)</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3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(4)</w:t>
            </w:r>
          </w:p>
        </w:tc>
      </w:tr>
      <w:tr w:rsidR="003E6989" w:rsidTr="006A5410">
        <w:trPr>
          <w:trHeight w:val="227"/>
        </w:trPr>
        <w:tc>
          <w:tcPr>
            <w:tcW w:w="4753" w:type="dxa"/>
            <w:tcBorders>
              <w:top w:val="single" w:sz="4" w:space="0" w:color="auto"/>
              <w:left w:val="nil"/>
              <w:bottom w:val="single" w:sz="4" w:space="0" w:color="auto"/>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Adjusted opening balance</w:t>
            </w:r>
          </w:p>
        </w:tc>
        <w:tc>
          <w:tcPr>
            <w:tcW w:w="94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(46,134)</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(22,535)</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(1,422)</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(44,712)</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Comprehensive income</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 w:val="20"/>
              </w:rPr>
            </w:pPr>
            <w:r>
              <w:rPr>
                <w:rFonts w:ascii="Arial" w:hAnsi="Arial" w:cs="Arial"/>
                <w:sz w:val="20"/>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 w:val="20"/>
              </w:rPr>
            </w:pPr>
            <w:r>
              <w:rPr>
                <w:rFonts w:ascii="Arial" w:hAnsi="Arial" w:cs="Arial"/>
                <w:sz w:val="20"/>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 w:val="20"/>
              </w:rPr>
            </w:pPr>
            <w:r>
              <w:rPr>
                <w:rFonts w:ascii="Arial" w:hAnsi="Arial" w:cs="Arial"/>
                <w:sz w:val="20"/>
              </w:rPr>
              <w:t> </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Surplus (Deficit) for the period</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(21,055)</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(23,595)</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(31,179)</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10,124</w:t>
            </w:r>
          </w:p>
        </w:tc>
      </w:tr>
      <w:tr w:rsidR="003E6989" w:rsidTr="006A5410">
        <w:trPr>
          <w:trHeight w:val="227"/>
        </w:trPr>
        <w:tc>
          <w:tcPr>
            <w:tcW w:w="4753" w:type="dxa"/>
            <w:tcBorders>
              <w:top w:val="single" w:sz="4" w:space="0" w:color="auto"/>
              <w:left w:val="nil"/>
              <w:bottom w:val="single" w:sz="4" w:space="0" w:color="auto"/>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Total comprehensive income</w:t>
            </w:r>
          </w:p>
        </w:tc>
        <w:tc>
          <w:tcPr>
            <w:tcW w:w="94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(21,055)</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(23,595)</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(31,179)</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10,124</w:t>
            </w:r>
          </w:p>
        </w:tc>
      </w:tr>
      <w:tr w:rsidR="003E6989" w:rsidTr="006A5410">
        <w:trPr>
          <w:trHeight w:val="227"/>
        </w:trPr>
        <w:tc>
          <w:tcPr>
            <w:tcW w:w="4753" w:type="dxa"/>
            <w:tcBorders>
              <w:top w:val="single" w:sz="4" w:space="0" w:color="auto"/>
              <w:left w:val="nil"/>
              <w:bottom w:val="single" w:sz="4" w:space="0" w:color="auto"/>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Closing balance as at 30 June</w:t>
            </w:r>
          </w:p>
        </w:tc>
        <w:tc>
          <w:tcPr>
            <w:tcW w:w="94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(67,189)</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(46,130)</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(32,601)</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(34,588)</w:t>
            </w:r>
          </w:p>
        </w:tc>
      </w:tr>
      <w:tr w:rsidR="003E6989" w:rsidTr="006A5410">
        <w:trPr>
          <w:trHeight w:val="227"/>
        </w:trPr>
        <w:tc>
          <w:tcPr>
            <w:tcW w:w="4753"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ASSET REVALUATION RESERVES</w:t>
            </w:r>
          </w:p>
        </w:tc>
        <w:tc>
          <w:tcPr>
            <w:tcW w:w="946"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 </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Opening balance</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Balance carried forward from previous period</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438</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433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433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5</w:t>
            </w:r>
          </w:p>
        </w:tc>
      </w:tr>
      <w:tr w:rsidR="003E6989" w:rsidTr="006A5410">
        <w:trPr>
          <w:trHeight w:val="227"/>
        </w:trPr>
        <w:tc>
          <w:tcPr>
            <w:tcW w:w="4753" w:type="dxa"/>
            <w:tcBorders>
              <w:top w:val="single" w:sz="4" w:space="0" w:color="auto"/>
              <w:left w:val="nil"/>
              <w:bottom w:val="single" w:sz="4" w:space="0" w:color="auto"/>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Adjusted opening balance</w:t>
            </w:r>
          </w:p>
        </w:tc>
        <w:tc>
          <w:tcPr>
            <w:tcW w:w="94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438</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433</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433</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5</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Comprehensive income</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 w:val="20"/>
              </w:rPr>
            </w:pPr>
            <w:r>
              <w:rPr>
                <w:rFonts w:ascii="Arial" w:hAnsi="Arial" w:cs="Arial"/>
                <w:sz w:val="20"/>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 w:val="20"/>
              </w:rPr>
            </w:pPr>
            <w:r>
              <w:rPr>
                <w:rFonts w:ascii="Arial" w:hAnsi="Arial" w:cs="Arial"/>
                <w:sz w:val="20"/>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 w:val="20"/>
              </w:rPr>
            </w:pPr>
            <w:r>
              <w:rPr>
                <w:rFonts w:ascii="Arial" w:hAnsi="Arial" w:cs="Arial"/>
                <w:sz w:val="20"/>
              </w:rPr>
              <w:t> </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Other comprehensive income - changes in reserve</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(379)</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5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(379)</w:t>
            </w:r>
          </w:p>
        </w:tc>
      </w:tr>
      <w:tr w:rsidR="003E6989" w:rsidTr="006A5410">
        <w:trPr>
          <w:trHeight w:val="227"/>
        </w:trPr>
        <w:tc>
          <w:tcPr>
            <w:tcW w:w="4753" w:type="dxa"/>
            <w:tcBorders>
              <w:top w:val="single" w:sz="4" w:space="0" w:color="auto"/>
              <w:left w:val="nil"/>
              <w:bottom w:val="single" w:sz="4" w:space="0" w:color="auto"/>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Total comprehensive income</w:t>
            </w:r>
          </w:p>
        </w:tc>
        <w:tc>
          <w:tcPr>
            <w:tcW w:w="94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(379)</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5</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(379)</w:t>
            </w:r>
          </w:p>
        </w:tc>
      </w:tr>
      <w:tr w:rsidR="003E6989" w:rsidTr="006A5410">
        <w:trPr>
          <w:trHeight w:val="227"/>
        </w:trPr>
        <w:tc>
          <w:tcPr>
            <w:tcW w:w="4753" w:type="dxa"/>
            <w:tcBorders>
              <w:top w:val="single" w:sz="4" w:space="0" w:color="auto"/>
              <w:left w:val="nil"/>
              <w:bottom w:val="single" w:sz="4" w:space="0" w:color="auto"/>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Closing balance as at 30 June</w:t>
            </w:r>
          </w:p>
        </w:tc>
        <w:tc>
          <w:tcPr>
            <w:tcW w:w="94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59</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438</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433</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(374)</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TOTAL EQUITY</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Opening balance</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Balance carried forward from previous period</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89,156</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73,032</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80,578</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8,578</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Adjustment for rounding</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(5)</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3</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(5)</w:t>
            </w:r>
          </w:p>
        </w:tc>
      </w:tr>
      <w:tr w:rsidR="003E6989" w:rsidTr="006A5410">
        <w:trPr>
          <w:trHeight w:val="227"/>
        </w:trPr>
        <w:tc>
          <w:tcPr>
            <w:tcW w:w="4753" w:type="dxa"/>
            <w:tcBorders>
              <w:top w:val="single" w:sz="4" w:space="0" w:color="auto"/>
              <w:left w:val="nil"/>
              <w:bottom w:val="single" w:sz="4" w:space="0" w:color="auto"/>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Adjusted opening balance</w:t>
            </w:r>
          </w:p>
        </w:tc>
        <w:tc>
          <w:tcPr>
            <w:tcW w:w="94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89,151</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73,035</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80,578</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8,573</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Comprehensive income</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Other comprehensive income - changes in reserve</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(379)</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5</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(379)</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Surplus (Deficit) for the period</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(21,055)</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(23,595)</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(31,179)</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10,124</w:t>
            </w:r>
          </w:p>
        </w:tc>
      </w:tr>
      <w:tr w:rsidR="003E6989" w:rsidTr="006A5410">
        <w:trPr>
          <w:trHeight w:val="227"/>
        </w:trPr>
        <w:tc>
          <w:tcPr>
            <w:tcW w:w="4753" w:type="dxa"/>
            <w:tcBorders>
              <w:top w:val="single" w:sz="4" w:space="0" w:color="auto"/>
              <w:left w:val="nil"/>
              <w:bottom w:val="single" w:sz="4" w:space="0" w:color="auto"/>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Total comprehensive income</w:t>
            </w:r>
          </w:p>
        </w:tc>
        <w:tc>
          <w:tcPr>
            <w:tcW w:w="94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(21,434)</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(23,590)</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(31,179)</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9,745</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Transactions with owners</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Distributions to owners</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Returns of capital:</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w:t>
            </w:r>
          </w:p>
        </w:tc>
      </w:tr>
      <w:tr w:rsidR="003E6989" w:rsidTr="006A5410">
        <w:trPr>
          <w:trHeight w:val="227"/>
        </w:trPr>
        <w:tc>
          <w:tcPr>
            <w:tcW w:w="4753" w:type="dxa"/>
            <w:tcBorders>
              <w:top w:val="nil"/>
              <w:left w:val="nil"/>
              <w:bottom w:val="nil"/>
              <w:right w:val="nil"/>
            </w:tcBorders>
            <w:shd w:val="clear" w:color="FFFFFF" w:fill="FFFFFF"/>
            <w:noWrap/>
            <w:vAlign w:val="bottom"/>
            <w:hideMark/>
          </w:tcPr>
          <w:p w:rsidR="003E6989" w:rsidRDefault="003E6989" w:rsidP="003E6989">
            <w:pPr>
              <w:spacing w:line="240" w:lineRule="auto"/>
              <w:ind w:firstLineChars="100" w:firstLine="180"/>
              <w:rPr>
                <w:rFonts w:cs="Calibri"/>
                <w:szCs w:val="18"/>
              </w:rPr>
            </w:pPr>
            <w:r>
              <w:rPr>
                <w:rFonts w:cs="Calibri"/>
                <w:szCs w:val="18"/>
              </w:rPr>
              <w:t>Restructuring (Note 8.1A)</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24,557</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Contributions by owners</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Equity injection - Appropriation</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10,438</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3,489</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8,465</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1,973</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Departmental capital budget</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22,177</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18,686</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22,177</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w:t>
            </w:r>
          </w:p>
        </w:tc>
      </w:tr>
      <w:tr w:rsidR="003E6989" w:rsidTr="006A5410">
        <w:trPr>
          <w:trHeight w:val="227"/>
        </w:trPr>
        <w:tc>
          <w:tcPr>
            <w:tcW w:w="4753"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Restructuring (Note 8.1A)</w:t>
            </w:r>
          </w:p>
        </w:tc>
        <w:tc>
          <w:tcPr>
            <w:tcW w:w="946"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3,648</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(7,021)</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3,648</w:t>
            </w:r>
          </w:p>
        </w:tc>
      </w:tr>
      <w:tr w:rsidR="003E6989" w:rsidTr="006A5410">
        <w:trPr>
          <w:trHeight w:val="227"/>
        </w:trPr>
        <w:tc>
          <w:tcPr>
            <w:tcW w:w="4753" w:type="dxa"/>
            <w:tcBorders>
              <w:top w:val="single" w:sz="4" w:space="0" w:color="auto"/>
              <w:left w:val="nil"/>
              <w:bottom w:val="single" w:sz="4" w:space="0" w:color="auto"/>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Total transactions with owners</w:t>
            </w:r>
          </w:p>
        </w:tc>
        <w:tc>
          <w:tcPr>
            <w:tcW w:w="94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36,263</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39,711</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30,642</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5,621</w:t>
            </w:r>
          </w:p>
        </w:tc>
      </w:tr>
      <w:tr w:rsidR="003E6989" w:rsidTr="006A5410">
        <w:trPr>
          <w:trHeight w:val="227"/>
        </w:trPr>
        <w:tc>
          <w:tcPr>
            <w:tcW w:w="4753" w:type="dxa"/>
            <w:tcBorders>
              <w:top w:val="single" w:sz="4" w:space="0" w:color="auto"/>
              <w:left w:val="nil"/>
              <w:bottom w:val="single" w:sz="4" w:space="0" w:color="auto"/>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Closing balance as at 30 June</w:t>
            </w:r>
          </w:p>
        </w:tc>
        <w:tc>
          <w:tcPr>
            <w:tcW w:w="94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103,980</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89,156</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832"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80,041</w:t>
            </w:r>
          </w:p>
        </w:tc>
        <w:tc>
          <w:tcPr>
            <w:tcW w:w="23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920"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23,939</w:t>
            </w:r>
          </w:p>
        </w:tc>
      </w:tr>
    </w:tbl>
    <w:p w:rsidR="003E6989" w:rsidRDefault="003E6989" w:rsidP="003E6989">
      <w:pPr>
        <w:spacing w:line="240" w:lineRule="auto"/>
      </w:pPr>
      <w:bookmarkStart w:id="36" w:name="RANGE!E7:L113"/>
      <w:bookmarkStart w:id="37" w:name="RANGE!E7:L118"/>
      <w:bookmarkStart w:id="38" w:name="RANGE!E7:L111"/>
      <w:bookmarkStart w:id="39" w:name="RANGE!E7:L104"/>
      <w:bookmarkStart w:id="40" w:name="RANGE!E7:J104"/>
      <w:bookmarkStart w:id="41" w:name="RANGE!E7:J105"/>
      <w:bookmarkStart w:id="42" w:name="RANGE!E7:H105"/>
      <w:bookmarkStart w:id="43" w:name="RANGE!E7:H103"/>
      <w:bookmarkStart w:id="44" w:name="RANGE!E7:H111"/>
      <w:bookmarkStart w:id="45" w:name="RANGE!D6:H57"/>
      <w:bookmarkStart w:id="46" w:name="RANGE!D6:D57"/>
      <w:bookmarkStart w:id="47" w:name="RANGE!D6:D56"/>
      <w:bookmarkStart w:id="48" w:name="RANGE!D6:H53"/>
      <w:bookmarkStart w:id="49" w:name="RANGE!D6:H43"/>
      <w:bookmarkStart w:id="50" w:name="RANGE!D6:H44"/>
      <w:bookmarkStart w:id="51" w:name="RANGE!E7:M33"/>
      <w:bookmarkStart w:id="52" w:name="RANGE!E7:M32"/>
      <w:bookmarkStart w:id="53" w:name="RANGE!E6:M31"/>
      <w:bookmarkStart w:id="54" w:name="RANGE!E6:M30"/>
      <w:bookmarkStart w:id="55" w:name="RANGE!E6:M35"/>
      <w:bookmarkStart w:id="56" w:name="RANGE!E6:E37"/>
      <w:bookmarkStart w:id="57" w:name="RANGE!E6:M37"/>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br w:type="page"/>
      </w:r>
    </w:p>
    <w:p w:rsidR="003E6989" w:rsidRDefault="003E6989" w:rsidP="003E6989">
      <w:pPr>
        <w:pStyle w:val="PolicyTextboxbold"/>
      </w:pPr>
      <w:r w:rsidRPr="00C85147">
        <w:lastRenderedPageBreak/>
        <w:t>Accounting Policy</w:t>
      </w:r>
    </w:p>
    <w:p w:rsidR="003E6989" w:rsidRDefault="003E6989" w:rsidP="003E6989">
      <w:pPr>
        <w:pStyle w:val="PolicyTextboxbold"/>
      </w:pPr>
      <w:r>
        <w:t>Transactions with the Government as Owner</w:t>
      </w:r>
    </w:p>
    <w:p w:rsidR="003E6989" w:rsidRPr="00BC79B6" w:rsidRDefault="003E6989" w:rsidP="003E6989">
      <w:pPr>
        <w:pStyle w:val="PolicyTextdeptunderline"/>
      </w:pPr>
      <w:r w:rsidRPr="00BC79B6">
        <w:t>Equity injections</w:t>
      </w:r>
    </w:p>
    <w:p w:rsidR="003E6989" w:rsidRPr="00075D25" w:rsidRDefault="003E6989" w:rsidP="003E6989">
      <w:pPr>
        <w:pStyle w:val="PolicytextDept"/>
      </w:pPr>
      <w:r w:rsidRPr="00075D25">
        <w:t>Amounts appropriated which are designated as ‘equity injections’ for a year (less any formal reductions) and Departmental Capital Budgets (DCBs) are recognised directly in contributed equity in that year.</w:t>
      </w:r>
    </w:p>
    <w:p w:rsidR="003E6989" w:rsidRPr="00BC79B6" w:rsidRDefault="003E6989" w:rsidP="003E6989">
      <w:pPr>
        <w:pStyle w:val="PolicyTextdeptunderline"/>
      </w:pPr>
      <w:r w:rsidRPr="00BC79B6">
        <w:t>Restructuring of administrative arrangements</w:t>
      </w:r>
    </w:p>
    <w:p w:rsidR="003E6989" w:rsidRDefault="003E6989" w:rsidP="003E6989">
      <w:pPr>
        <w:pStyle w:val="PolicytextDept"/>
      </w:pPr>
      <w:r>
        <w:t xml:space="preserve">Net assets received from, or relinquished to, </w:t>
      </w:r>
      <w:r w:rsidRPr="00075D25">
        <w:t>another Australian Government entity under a restructuring of administrative arrangements are adjusted at their book value direc</w:t>
      </w:r>
      <w:r>
        <w:t>tly against contributed equity.</w:t>
      </w:r>
    </w:p>
    <w:p w:rsidR="003E6989" w:rsidRDefault="003E6989" w:rsidP="003E6989">
      <w:pPr>
        <w:spacing w:line="240" w:lineRule="auto"/>
      </w:pPr>
    </w:p>
    <w:p w:rsidR="003E6989" w:rsidRDefault="003E6989" w:rsidP="003E6989">
      <w:pPr>
        <w:spacing w:line="240" w:lineRule="auto"/>
      </w:pPr>
    </w:p>
    <w:p w:rsidR="003E6989" w:rsidRDefault="003E6989" w:rsidP="003E6989">
      <w:pPr>
        <w:spacing w:line="240" w:lineRule="auto"/>
        <w:sectPr w:rsidR="003E6989" w:rsidSect="00403CAE">
          <w:type w:val="continuous"/>
          <w:pgSz w:w="11906" w:h="16838"/>
          <w:pgMar w:top="1134" w:right="1134" w:bottom="1134" w:left="1134" w:header="958" w:footer="737" w:gutter="0"/>
          <w:cols w:space="720"/>
          <w:docGrid w:linePitch="245"/>
        </w:sectPr>
      </w:pPr>
    </w:p>
    <w:p w:rsidR="00403CAE" w:rsidRDefault="00403CAE" w:rsidP="00E011FB">
      <w:pPr>
        <w:pStyle w:val="Heading1"/>
        <w:spacing w:after="0"/>
      </w:pPr>
      <w:bookmarkStart w:id="58" w:name="_Toc464726274"/>
      <w:bookmarkStart w:id="59" w:name="_Toc464726556"/>
      <w:bookmarkStart w:id="60" w:name="_Toc464726610"/>
      <w:bookmarkStart w:id="61" w:name="Note_DCFTABLE1" w:colFirst="0" w:colLast="0"/>
      <w:r>
        <w:lastRenderedPageBreak/>
        <w:t>Department of Education and Training</w:t>
      </w:r>
      <w:r>
        <w:br/>
        <w:t>STATEMENT OF CASH FLOWS</w:t>
      </w:r>
      <w:r>
        <w:br/>
        <w:t>for the period ended 30 June 2016</w:t>
      </w:r>
      <w:bookmarkEnd w:id="58"/>
      <w:bookmarkEnd w:id="59"/>
      <w:bookmarkEnd w:id="60"/>
    </w:p>
    <w:p w:rsidR="00403CAE" w:rsidRDefault="00403CAE" w:rsidP="006A5410">
      <w:pPr>
        <w:rPr>
          <w:rFonts w:cs="Calibri"/>
          <w:szCs w:val="18"/>
        </w:rPr>
        <w:sectPr w:rsidR="00403CAE" w:rsidSect="006A5410">
          <w:headerReference w:type="default" r:id="rId20"/>
          <w:pgSz w:w="11906" w:h="16838"/>
          <w:pgMar w:top="1134" w:right="1134" w:bottom="1134" w:left="1134" w:header="958" w:footer="737" w:gutter="0"/>
          <w:cols w:space="720"/>
        </w:sectPr>
      </w:pPr>
    </w:p>
    <w:tbl>
      <w:tblPr>
        <w:tblW w:w="0" w:type="auto"/>
        <w:tblInd w:w="80" w:type="dxa"/>
        <w:tblLook w:val="04A0" w:firstRow="1" w:lastRow="0" w:firstColumn="1" w:lastColumn="0" w:noHBand="0" w:noVBand="1"/>
      </w:tblPr>
      <w:tblGrid>
        <w:gridCol w:w="4238"/>
        <w:gridCol w:w="657"/>
        <w:gridCol w:w="831"/>
        <w:gridCol w:w="257"/>
        <w:gridCol w:w="827"/>
        <w:gridCol w:w="257"/>
        <w:gridCol w:w="1595"/>
        <w:gridCol w:w="257"/>
        <w:gridCol w:w="855"/>
      </w:tblGrid>
      <w:tr w:rsidR="003E6989" w:rsidTr="00E011FB">
        <w:trPr>
          <w:trHeight w:val="720"/>
        </w:trPr>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lastRenderedPageBreak/>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2016</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2015</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2016 Original Budget</w:t>
            </w:r>
            <w:r w:rsidRPr="00AD5525">
              <w:rPr>
                <w:rFonts w:cs="Calibri"/>
                <w:szCs w:val="18"/>
                <w:vertAlign w:val="superscript"/>
              </w:rPr>
              <w:t>1</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Variance</w:t>
            </w:r>
          </w:p>
        </w:tc>
      </w:tr>
      <w:bookmarkEnd w:id="61"/>
      <w:tr w:rsidR="003E6989" w:rsidTr="00E011FB">
        <w:trPr>
          <w:trHeight w:val="255"/>
        </w:trPr>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b/>
                <w:bCs/>
                <w:szCs w:val="18"/>
              </w:rPr>
            </w:pPr>
            <w:r>
              <w:rPr>
                <w:rFonts w:cs="Calibri"/>
                <w:b/>
                <w:bCs/>
                <w:szCs w:val="18"/>
              </w:rPr>
              <w:t>Notes</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$'000</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$'000</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$'000</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$'000</w:t>
            </w:r>
          </w:p>
        </w:tc>
      </w:tr>
      <w:tr w:rsidR="003E6989" w:rsidTr="00E011FB">
        <w:trPr>
          <w:trHeight w:val="255"/>
        </w:trPr>
        <w:tc>
          <w:tcPr>
            <w:tcW w:w="0" w:type="auto"/>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OPERATING ACTIVITIES</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E011FB">
        <w:trPr>
          <w:trHeight w:val="255"/>
        </w:trPr>
        <w:tc>
          <w:tcPr>
            <w:tcW w:w="0" w:type="auto"/>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Cash received</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E011FB">
        <w:trPr>
          <w:trHeight w:val="255"/>
        </w:trPr>
        <w:tc>
          <w:tcPr>
            <w:tcW w:w="0" w:type="auto"/>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Appropriations</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336,174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307,355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257,672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78,502</w:t>
            </w:r>
            <w:r w:rsidRPr="00AD5525">
              <w:rPr>
                <w:rFonts w:cs="Calibri"/>
                <w:szCs w:val="18"/>
                <w:vertAlign w:val="superscript"/>
              </w:rPr>
              <w:t>8</w:t>
            </w:r>
          </w:p>
        </w:tc>
      </w:tr>
      <w:tr w:rsidR="003E6989" w:rsidTr="00E011FB">
        <w:trPr>
          <w:trHeight w:val="255"/>
        </w:trPr>
        <w:tc>
          <w:tcPr>
            <w:tcW w:w="0" w:type="auto"/>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Sale of goods and rendering of services</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17,340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40,737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17,970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(630)</w:t>
            </w:r>
          </w:p>
        </w:tc>
      </w:tr>
      <w:tr w:rsidR="003E6989" w:rsidTr="00E011FB">
        <w:trPr>
          <w:trHeight w:val="255"/>
        </w:trPr>
        <w:tc>
          <w:tcPr>
            <w:tcW w:w="0" w:type="auto"/>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Net GST received</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7,017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5,712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7,017</w:t>
            </w:r>
            <w:r w:rsidRPr="00AD5525">
              <w:rPr>
                <w:rFonts w:cs="Calibri"/>
                <w:szCs w:val="18"/>
                <w:vertAlign w:val="superscript"/>
              </w:rPr>
              <w:t>9</w:t>
            </w:r>
          </w:p>
        </w:tc>
      </w:tr>
      <w:tr w:rsidR="003E6989" w:rsidTr="00E011FB">
        <w:trPr>
          <w:trHeight w:val="255"/>
        </w:trPr>
        <w:tc>
          <w:tcPr>
            <w:tcW w:w="0" w:type="auto"/>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Other</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12,839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9,922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2,850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9,989</w:t>
            </w:r>
            <w:r w:rsidRPr="00AD5525">
              <w:rPr>
                <w:rFonts w:cs="Calibri"/>
                <w:szCs w:val="18"/>
                <w:vertAlign w:val="superscript"/>
              </w:rPr>
              <w:t>10</w:t>
            </w:r>
          </w:p>
        </w:tc>
      </w:tr>
      <w:tr w:rsidR="003E6989" w:rsidTr="00E011FB">
        <w:trPr>
          <w:trHeight w:val="255"/>
        </w:trPr>
        <w:tc>
          <w:tcPr>
            <w:tcW w:w="0" w:type="auto"/>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Total cash received</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373,370</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363,726</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278,492</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94,878</w:t>
            </w:r>
          </w:p>
        </w:tc>
      </w:tr>
      <w:tr w:rsidR="003E6989" w:rsidTr="00E011FB">
        <w:trPr>
          <w:trHeight w:val="255"/>
        </w:trPr>
        <w:tc>
          <w:tcPr>
            <w:tcW w:w="0" w:type="auto"/>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E011FB">
        <w:trPr>
          <w:trHeight w:val="255"/>
        </w:trPr>
        <w:tc>
          <w:tcPr>
            <w:tcW w:w="0" w:type="auto"/>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Cash used</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E011FB">
        <w:trPr>
          <w:trHeight w:val="240"/>
        </w:trPr>
        <w:tc>
          <w:tcPr>
            <w:tcW w:w="0" w:type="auto"/>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Employee benefits</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211,878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215,581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197,355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14,523</w:t>
            </w:r>
            <w:r w:rsidRPr="00AD5525">
              <w:rPr>
                <w:rFonts w:cs="Calibri"/>
                <w:szCs w:val="18"/>
                <w:vertAlign w:val="superscript"/>
              </w:rPr>
              <w:t>2</w:t>
            </w:r>
          </w:p>
        </w:tc>
      </w:tr>
      <w:tr w:rsidR="003E6989" w:rsidTr="00E011FB">
        <w:trPr>
          <w:trHeight w:val="255"/>
        </w:trPr>
        <w:tc>
          <w:tcPr>
            <w:tcW w:w="0" w:type="auto"/>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Supplier expenses</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133,176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100,903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78,563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54,613</w:t>
            </w:r>
            <w:r w:rsidRPr="00AD5525">
              <w:rPr>
                <w:rFonts w:cs="Calibri"/>
                <w:szCs w:val="18"/>
                <w:vertAlign w:val="superscript"/>
              </w:rPr>
              <w:t>3</w:t>
            </w:r>
          </w:p>
        </w:tc>
      </w:tr>
      <w:tr w:rsidR="003E6989" w:rsidTr="00E011FB">
        <w:trPr>
          <w:trHeight w:val="255"/>
        </w:trPr>
        <w:tc>
          <w:tcPr>
            <w:tcW w:w="0" w:type="auto"/>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Grants</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629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257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629</w:t>
            </w:r>
          </w:p>
        </w:tc>
      </w:tr>
      <w:tr w:rsidR="003E6989" w:rsidTr="00E011FB">
        <w:trPr>
          <w:trHeight w:val="255"/>
        </w:trPr>
        <w:tc>
          <w:tcPr>
            <w:tcW w:w="0" w:type="auto"/>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Section 74 receipts transferred to the OPA</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30,665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47,837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30,665</w:t>
            </w:r>
            <w:r w:rsidRPr="00AD5525">
              <w:rPr>
                <w:rFonts w:cs="Calibri"/>
                <w:szCs w:val="18"/>
                <w:vertAlign w:val="superscript"/>
              </w:rPr>
              <w:t>8</w:t>
            </w:r>
          </w:p>
        </w:tc>
      </w:tr>
      <w:tr w:rsidR="003E6989" w:rsidTr="00E011FB">
        <w:trPr>
          <w:trHeight w:val="255"/>
        </w:trPr>
        <w:tc>
          <w:tcPr>
            <w:tcW w:w="0" w:type="auto"/>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Total cash used</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376,348</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364,578</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275,918</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100,430</w:t>
            </w:r>
          </w:p>
        </w:tc>
      </w:tr>
      <w:tr w:rsidR="003E6989" w:rsidTr="00E011FB">
        <w:trPr>
          <w:trHeight w:val="255"/>
        </w:trPr>
        <w:tc>
          <w:tcPr>
            <w:tcW w:w="0" w:type="auto"/>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E011FB">
        <w:trPr>
          <w:trHeight w:val="270"/>
        </w:trPr>
        <w:tc>
          <w:tcPr>
            <w:tcW w:w="0" w:type="auto"/>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Net cash from (used by) operating activities</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5.5A</w:t>
            </w:r>
          </w:p>
        </w:tc>
        <w:tc>
          <w:tcPr>
            <w:tcW w:w="0" w:type="auto"/>
            <w:tcBorders>
              <w:top w:val="nil"/>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(2,978)</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(852)</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2,574</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(5,552)</w:t>
            </w:r>
          </w:p>
        </w:tc>
      </w:tr>
      <w:tr w:rsidR="003E6989" w:rsidTr="00E011FB">
        <w:trPr>
          <w:trHeight w:val="218"/>
        </w:trPr>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E011FB">
        <w:trPr>
          <w:trHeight w:val="255"/>
        </w:trPr>
        <w:tc>
          <w:tcPr>
            <w:tcW w:w="0" w:type="auto"/>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INVESTING ACTIVITIES</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E011FB">
        <w:trPr>
          <w:trHeight w:val="255"/>
        </w:trPr>
        <w:tc>
          <w:tcPr>
            <w:tcW w:w="0" w:type="auto"/>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Cash received</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E011FB">
        <w:trPr>
          <w:trHeight w:val="480"/>
        </w:trPr>
        <w:tc>
          <w:tcPr>
            <w:tcW w:w="0" w:type="auto"/>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Proceeds from sales of infrastructure, plant and equipment</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23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735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23</w:t>
            </w:r>
          </w:p>
        </w:tc>
      </w:tr>
      <w:tr w:rsidR="003E6989" w:rsidTr="00E011FB">
        <w:trPr>
          <w:trHeight w:val="255"/>
        </w:trPr>
        <w:tc>
          <w:tcPr>
            <w:tcW w:w="0" w:type="auto"/>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Total cash received</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23</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735</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23</w:t>
            </w:r>
          </w:p>
        </w:tc>
      </w:tr>
      <w:tr w:rsidR="003E6989" w:rsidTr="00E011FB">
        <w:trPr>
          <w:trHeight w:val="255"/>
        </w:trPr>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E011FB">
        <w:trPr>
          <w:trHeight w:val="255"/>
        </w:trPr>
        <w:tc>
          <w:tcPr>
            <w:tcW w:w="0" w:type="auto"/>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Cash used</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E011FB">
        <w:trPr>
          <w:trHeight w:val="255"/>
        </w:trPr>
        <w:tc>
          <w:tcPr>
            <w:tcW w:w="0" w:type="auto"/>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Purchase of infrastructure, plant and equipment</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3,427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3,985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7,174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(3,747)</w:t>
            </w:r>
            <w:r w:rsidRPr="00AD5525">
              <w:rPr>
                <w:rFonts w:cs="Calibri"/>
                <w:szCs w:val="18"/>
                <w:vertAlign w:val="superscript"/>
              </w:rPr>
              <w:t>6</w:t>
            </w:r>
          </w:p>
        </w:tc>
      </w:tr>
      <w:tr w:rsidR="003E6989" w:rsidTr="00E011FB">
        <w:trPr>
          <w:trHeight w:val="255"/>
        </w:trPr>
        <w:tc>
          <w:tcPr>
            <w:tcW w:w="0" w:type="auto"/>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Purchase / development of intangibles</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23,386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16,790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18,659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4,727</w:t>
            </w:r>
          </w:p>
        </w:tc>
      </w:tr>
      <w:tr w:rsidR="003E6989" w:rsidTr="00E011FB">
        <w:trPr>
          <w:trHeight w:val="255"/>
        </w:trPr>
        <w:tc>
          <w:tcPr>
            <w:tcW w:w="0" w:type="auto"/>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Purchase of land and buildings</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1,387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2,041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7,383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(5,996)</w:t>
            </w:r>
            <w:r w:rsidRPr="00AD5525">
              <w:rPr>
                <w:rFonts w:cs="Calibri"/>
                <w:szCs w:val="18"/>
                <w:vertAlign w:val="superscript"/>
              </w:rPr>
              <w:t>6</w:t>
            </w:r>
          </w:p>
        </w:tc>
      </w:tr>
      <w:tr w:rsidR="003E6989" w:rsidTr="00E011FB">
        <w:trPr>
          <w:trHeight w:val="255"/>
        </w:trPr>
        <w:tc>
          <w:tcPr>
            <w:tcW w:w="0" w:type="auto"/>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Total cash used</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28,200</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22,816</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33,216</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(5,016)</w:t>
            </w:r>
          </w:p>
        </w:tc>
      </w:tr>
      <w:tr w:rsidR="003E6989" w:rsidTr="00E011FB">
        <w:trPr>
          <w:trHeight w:val="255"/>
        </w:trPr>
        <w:tc>
          <w:tcPr>
            <w:tcW w:w="0" w:type="auto"/>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E011FB">
        <w:trPr>
          <w:trHeight w:val="270"/>
        </w:trPr>
        <w:tc>
          <w:tcPr>
            <w:tcW w:w="0" w:type="auto"/>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Net cash from (used by) investing activities</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(28,177)</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(22,081)</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(33,216)</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5,039</w:t>
            </w:r>
          </w:p>
        </w:tc>
      </w:tr>
      <w:tr w:rsidR="003E6989" w:rsidTr="00E011FB">
        <w:trPr>
          <w:trHeight w:val="192"/>
        </w:trPr>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E011FB">
        <w:trPr>
          <w:trHeight w:val="255"/>
        </w:trPr>
        <w:tc>
          <w:tcPr>
            <w:tcW w:w="0" w:type="auto"/>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FINANCING ACTIVITIES</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E011FB">
        <w:trPr>
          <w:trHeight w:val="255"/>
        </w:trPr>
        <w:tc>
          <w:tcPr>
            <w:tcW w:w="0" w:type="auto"/>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Cash received</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E011FB">
        <w:trPr>
          <w:trHeight w:val="255"/>
        </w:trPr>
        <w:tc>
          <w:tcPr>
            <w:tcW w:w="0" w:type="auto"/>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Contributed equity - capital injections</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8,023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3,836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8,465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(442)</w:t>
            </w:r>
          </w:p>
        </w:tc>
      </w:tr>
      <w:tr w:rsidR="003E6989" w:rsidTr="00E011FB">
        <w:trPr>
          <w:trHeight w:val="255"/>
        </w:trPr>
        <w:tc>
          <w:tcPr>
            <w:tcW w:w="0" w:type="auto"/>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Contributed equity - capital budget</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19,447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18,299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22,177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(2,730)</w:t>
            </w:r>
          </w:p>
        </w:tc>
      </w:tr>
      <w:tr w:rsidR="003E6989" w:rsidTr="00E011FB">
        <w:trPr>
          <w:trHeight w:val="255"/>
        </w:trPr>
        <w:tc>
          <w:tcPr>
            <w:tcW w:w="0" w:type="auto"/>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Cash from restructuring</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2,186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w:t>
            </w:r>
          </w:p>
        </w:tc>
      </w:tr>
      <w:tr w:rsidR="003E6989" w:rsidTr="00E011FB">
        <w:trPr>
          <w:trHeight w:val="255"/>
        </w:trPr>
        <w:tc>
          <w:tcPr>
            <w:tcW w:w="0" w:type="auto"/>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Total cash received</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27,470</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24,321</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30,642</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(3,172)</w:t>
            </w:r>
          </w:p>
        </w:tc>
      </w:tr>
      <w:tr w:rsidR="003E6989" w:rsidTr="00E011FB">
        <w:trPr>
          <w:trHeight w:val="218"/>
        </w:trPr>
        <w:tc>
          <w:tcPr>
            <w:tcW w:w="0" w:type="auto"/>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E011FB">
        <w:trPr>
          <w:trHeight w:val="270"/>
        </w:trPr>
        <w:tc>
          <w:tcPr>
            <w:tcW w:w="0" w:type="auto"/>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Net cash from (used by) financing activities</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27,470</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24,321</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30,642</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(3,172)</w:t>
            </w:r>
          </w:p>
        </w:tc>
      </w:tr>
      <w:tr w:rsidR="003E6989" w:rsidTr="00E011FB">
        <w:trPr>
          <w:trHeight w:val="218"/>
        </w:trPr>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E011FB">
        <w:trPr>
          <w:trHeight w:val="255"/>
        </w:trPr>
        <w:tc>
          <w:tcPr>
            <w:tcW w:w="0" w:type="auto"/>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Net increase (decrease) in cash held</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(3,685)</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1,388</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(3,685)</w:t>
            </w:r>
          </w:p>
        </w:tc>
      </w:tr>
      <w:tr w:rsidR="003E6989" w:rsidTr="00E011FB">
        <w:trPr>
          <w:trHeight w:val="480"/>
        </w:trPr>
        <w:tc>
          <w:tcPr>
            <w:tcW w:w="0" w:type="auto"/>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Cash and cash equivalents at the beginning of the reporting period</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9,817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8,429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8,429 </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1,388</w:t>
            </w:r>
          </w:p>
        </w:tc>
      </w:tr>
      <w:tr w:rsidR="003E6989" w:rsidTr="00E011FB">
        <w:trPr>
          <w:trHeight w:val="495"/>
        </w:trPr>
        <w:tc>
          <w:tcPr>
            <w:tcW w:w="0" w:type="auto"/>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Cash and cash equivalents at the end of the reporting period</w:t>
            </w:r>
          </w:p>
        </w:tc>
        <w:tc>
          <w:tcPr>
            <w:tcW w:w="0" w:type="auto"/>
            <w:tcBorders>
              <w:top w:val="nil"/>
              <w:left w:val="nil"/>
              <w:bottom w:val="nil"/>
              <w:right w:val="nil"/>
            </w:tcBorders>
            <w:shd w:val="clear" w:color="FFFFFF" w:fill="FFFFFF"/>
            <w:noWrap/>
            <w:vAlign w:val="bottom"/>
            <w:hideMark/>
          </w:tcPr>
          <w:p w:rsidR="003E6989" w:rsidRDefault="003E6989" w:rsidP="006A5410">
            <w:pPr>
              <w:jc w:val="center"/>
              <w:rPr>
                <w:rFonts w:cs="Calibri"/>
                <w:szCs w:val="18"/>
              </w:rPr>
            </w:pPr>
            <w:r>
              <w:rPr>
                <w:rFonts w:cs="Calibri"/>
                <w:szCs w:val="18"/>
              </w:rPr>
              <w:t>3.1A</w:t>
            </w:r>
          </w:p>
        </w:tc>
        <w:tc>
          <w:tcPr>
            <w:tcW w:w="0" w:type="auto"/>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6,132</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9,817</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8,429</w:t>
            </w:r>
          </w:p>
        </w:tc>
        <w:tc>
          <w:tcPr>
            <w:tcW w:w="0" w:type="auto"/>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0" w:type="auto"/>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(2,297)</w:t>
            </w:r>
          </w:p>
        </w:tc>
      </w:tr>
    </w:tbl>
    <w:p w:rsidR="003E6989" w:rsidRDefault="003E6989" w:rsidP="003E6989">
      <w:pPr>
        <w:spacing w:line="240" w:lineRule="auto"/>
        <w:sectPr w:rsidR="003E6989" w:rsidSect="00403CAE">
          <w:type w:val="continuous"/>
          <w:pgSz w:w="11906" w:h="16838"/>
          <w:pgMar w:top="1134" w:right="1134" w:bottom="1134" w:left="1134" w:header="958" w:footer="737" w:gutter="0"/>
          <w:cols w:space="720"/>
        </w:sectPr>
      </w:pPr>
      <w:bookmarkStart w:id="62" w:name="RANGE!E7:I57"/>
      <w:bookmarkEnd w:id="62"/>
    </w:p>
    <w:p w:rsidR="00403CAE" w:rsidRDefault="00403CAE" w:rsidP="00403CAE">
      <w:pPr>
        <w:pStyle w:val="Heading1"/>
      </w:pPr>
      <w:bookmarkStart w:id="63" w:name="RANGE!E6:I53"/>
      <w:bookmarkStart w:id="64" w:name="RANGE!E6:I52"/>
      <w:bookmarkStart w:id="65" w:name="RANGE!E6:I59"/>
      <w:bookmarkStart w:id="66" w:name="RANGE!E6:E65"/>
      <w:bookmarkStart w:id="67" w:name="RANGE!E6:I65"/>
      <w:bookmarkStart w:id="68" w:name="RANGE!E6:E64"/>
      <w:bookmarkStart w:id="69" w:name="RANGE!E6:I64"/>
      <w:bookmarkStart w:id="70" w:name="RANGE!D7:G50"/>
      <w:bookmarkStart w:id="71" w:name="RANGE!D7:G52"/>
      <w:bookmarkStart w:id="72" w:name="RANGE!D7:G63"/>
      <w:bookmarkStart w:id="73" w:name="RANGE!D7:G62"/>
      <w:bookmarkStart w:id="74" w:name="RANGE!D6:G63"/>
      <w:bookmarkStart w:id="75" w:name="RANGE!D6:H55"/>
      <w:bookmarkStart w:id="76" w:name="RANGE!D6:G59"/>
      <w:bookmarkStart w:id="77" w:name="RANGE!D6:D62"/>
      <w:bookmarkStart w:id="78" w:name="RANGE!D6:G62"/>
      <w:bookmarkStart w:id="79" w:name="_Toc464726275"/>
      <w:bookmarkStart w:id="80" w:name="_Toc464726557"/>
      <w:bookmarkStart w:id="81" w:name="_Toc46472661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lastRenderedPageBreak/>
        <w:t>Department of Education and Training</w:t>
      </w:r>
      <w:r>
        <w:br/>
        <w:t>BUDGETARY REPORTING</w:t>
      </w:r>
      <w:r>
        <w:br/>
        <w:t>for the period ended 30 June 2016</w:t>
      </w:r>
      <w:bookmarkEnd w:id="79"/>
      <w:bookmarkEnd w:id="80"/>
      <w:bookmarkEnd w:id="81"/>
    </w:p>
    <w:p w:rsidR="003E6989" w:rsidRPr="003D2D21" w:rsidRDefault="003E6989" w:rsidP="003E6989">
      <w:pPr>
        <w:spacing w:line="240" w:lineRule="auto"/>
      </w:pPr>
    </w:p>
    <w:p w:rsidR="003E6989" w:rsidRPr="00C85147" w:rsidRDefault="003E6989" w:rsidP="003E6989">
      <w:pPr>
        <w:pStyle w:val="PolicyTextboxbold"/>
      </w:pPr>
      <w:r w:rsidRPr="00C85147">
        <w:t>Budget Variances Commentary</w:t>
      </w:r>
    </w:p>
    <w:p w:rsidR="003E6989" w:rsidRPr="00C85147" w:rsidRDefault="003E6989" w:rsidP="003E6989">
      <w:pPr>
        <w:pStyle w:val="PolicyTextboxbold"/>
      </w:pPr>
      <w:r>
        <w:t>Departmental variances</w:t>
      </w:r>
    </w:p>
    <w:p w:rsidR="003E6989" w:rsidRDefault="003E6989" w:rsidP="003E6989">
      <w:pPr>
        <w:pStyle w:val="PolicytextDept"/>
      </w:pPr>
      <w:r>
        <w:t xml:space="preserve">Variance explanations are provided for departmental variances greater than 5 percent and $5 million. </w:t>
      </w:r>
    </w:p>
    <w:p w:rsidR="003E6989" w:rsidRPr="00A53529" w:rsidRDefault="003E6989" w:rsidP="003E6989">
      <w:pPr>
        <w:pStyle w:val="PolicytextDept"/>
      </w:pPr>
      <w:r w:rsidRPr="00A53529">
        <w:rPr>
          <w:vertAlign w:val="superscript"/>
        </w:rPr>
        <w:t>1</w:t>
      </w:r>
      <w:r>
        <w:rPr>
          <w:vertAlign w:val="superscript"/>
        </w:rPr>
        <w:t xml:space="preserve"> </w:t>
      </w:r>
      <w:r>
        <w:t xml:space="preserve">The 2015-2016 Education Portfolio Budget Statements (PBS) as presented to Parliament contains the Original Budget. The PBS was completed prior to the finalisation of the 2014-15 Financial Statements. It is noted, during 2015-16 the Administrative Arrangements Order (AAO) of 21 September 2015 transferred the Early Childhood Education and Care functions from the Department of Social Services (DSS). </w:t>
      </w:r>
    </w:p>
    <w:p w:rsidR="003E6989" w:rsidRPr="009E4C13" w:rsidRDefault="003E6989" w:rsidP="003E6989">
      <w:pPr>
        <w:pStyle w:val="PolicytextDept"/>
      </w:pPr>
      <w:r w:rsidRPr="00A53529">
        <w:rPr>
          <w:vertAlign w:val="superscript"/>
        </w:rPr>
        <w:t>2</w:t>
      </w:r>
      <w:r>
        <w:rPr>
          <w:vertAlign w:val="superscript"/>
        </w:rPr>
        <w:t xml:space="preserve"> </w:t>
      </w:r>
      <w:r>
        <w:t xml:space="preserve">Employee Benefits are higher than anticipated due to additional staff being transferred from DSS. The Enterprise Agreement was agreed during the year with a portion of staff receiving additional salary in the last quarter of the 2016 financial year as well as staff taking additional leave. This has had a flow on affect to Employee Provisions with a lower than anticipated total due to increased leave taken and additional cash paid out. </w:t>
      </w:r>
    </w:p>
    <w:p w:rsidR="003E6989" w:rsidRPr="009E4C13" w:rsidRDefault="003E6989" w:rsidP="003E6989">
      <w:pPr>
        <w:pStyle w:val="PolicytextDept"/>
      </w:pPr>
      <w:r w:rsidRPr="00A53529">
        <w:rPr>
          <w:vertAlign w:val="superscript"/>
        </w:rPr>
        <w:t>3</w:t>
      </w:r>
      <w:r>
        <w:rPr>
          <w:vertAlign w:val="superscript"/>
        </w:rPr>
        <w:t xml:space="preserve"> </w:t>
      </w:r>
      <w:r>
        <w:t xml:space="preserve">Supplier Expenses are higher than anticipated due to increased expenditure on contractors, consultants and IT Services. These were predominantly a result of a greater number of projects requiring external consultancy and the provision of reports and advice. Throughout the year there were a number of changes to the percentage ownership of the Shared Services Centre (SSC). This increased expenditure has had a flow on effect to supplier cash paid and supplier payables. </w:t>
      </w:r>
    </w:p>
    <w:p w:rsidR="003E6989" w:rsidRPr="008E260C" w:rsidRDefault="003E6989" w:rsidP="003E6989">
      <w:pPr>
        <w:pStyle w:val="PolicytextDept"/>
      </w:pPr>
      <w:r w:rsidRPr="00A53529">
        <w:rPr>
          <w:vertAlign w:val="superscript"/>
        </w:rPr>
        <w:t>4</w:t>
      </w:r>
      <w:r>
        <w:rPr>
          <w:vertAlign w:val="superscript"/>
        </w:rPr>
        <w:t xml:space="preserve"> </w:t>
      </w:r>
      <w:r>
        <w:t xml:space="preserve">Sale of goods and rendering of services is $8.916 million higher than anticipated at the 2015-16 Budget. This is due to revenue received for the Unique Student Identifier Special Account. </w:t>
      </w:r>
    </w:p>
    <w:p w:rsidR="003E6989" w:rsidRPr="008E260C" w:rsidRDefault="003E6989" w:rsidP="003E6989">
      <w:pPr>
        <w:pStyle w:val="PolicytextDept"/>
      </w:pPr>
      <w:r w:rsidRPr="00A53529">
        <w:rPr>
          <w:vertAlign w:val="superscript"/>
        </w:rPr>
        <w:t>5</w:t>
      </w:r>
      <w:r>
        <w:rPr>
          <w:vertAlign w:val="superscript"/>
        </w:rPr>
        <w:t xml:space="preserve"> </w:t>
      </w:r>
      <w:r>
        <w:t xml:space="preserve">Revenue from Government is higher than at PBS due to $44 million received from DSS as well as additional funding received in Appropriation Act 3 and Appropriation Act 4 at PAES. This is similarly reflected in the higher than anticipated Trade and Other Receivables. </w:t>
      </w:r>
    </w:p>
    <w:p w:rsidR="003E6989" w:rsidRPr="00652673" w:rsidRDefault="003E6989" w:rsidP="003E6989">
      <w:pPr>
        <w:pStyle w:val="PolicytextDept"/>
      </w:pPr>
      <w:r w:rsidRPr="00A53529">
        <w:rPr>
          <w:vertAlign w:val="superscript"/>
        </w:rPr>
        <w:t>6</w:t>
      </w:r>
      <w:r>
        <w:rPr>
          <w:vertAlign w:val="superscript"/>
        </w:rPr>
        <w:t xml:space="preserve"> </w:t>
      </w:r>
      <w:r>
        <w:t xml:space="preserve">The lower than expected level of non-financial assets is attributable to fewer capital purchases made throughout the year. There was a revaluation of all assets excluding intangibles prior to 30 June which resulted in an overall revaluation decrement for the department. The change in percentage ownership of the SSC assets also impacts these figures. There was a significant impairment of over $2 million for an intangible asset. The total movement is also reflected in lower cash being used than budgeted for. </w:t>
      </w:r>
    </w:p>
    <w:p w:rsidR="003E6989" w:rsidRPr="001D3F7E" w:rsidRDefault="003E6989" w:rsidP="003E6989">
      <w:pPr>
        <w:pStyle w:val="PolicytextDept"/>
      </w:pPr>
      <w:r w:rsidRPr="00A53529">
        <w:rPr>
          <w:vertAlign w:val="superscript"/>
        </w:rPr>
        <w:t>7</w:t>
      </w:r>
      <w:r>
        <w:rPr>
          <w:vertAlign w:val="superscript"/>
        </w:rPr>
        <w:t xml:space="preserve"> </w:t>
      </w:r>
      <w:r>
        <w:t>The movements in Equity are primarily a result of the opening balance discrepancies. These are caused by the PBS being released and prepared prior to the finalisation of the 2014-15 financial statements which included the finalisation of a number of machinery of government changes. There was a further machinery of government change in 2015-16.</w:t>
      </w:r>
    </w:p>
    <w:p w:rsidR="003E6989" w:rsidRPr="00281FAE" w:rsidRDefault="003E6989" w:rsidP="003E6989">
      <w:pPr>
        <w:pStyle w:val="PolicytextDept"/>
      </w:pPr>
      <w:r w:rsidRPr="00A53529">
        <w:rPr>
          <w:vertAlign w:val="superscript"/>
        </w:rPr>
        <w:t>8</w:t>
      </w:r>
      <w:r>
        <w:rPr>
          <w:vertAlign w:val="superscript"/>
        </w:rPr>
        <w:t xml:space="preserve"> </w:t>
      </w:r>
      <w:r>
        <w:t xml:space="preserve">The Appropriation received and Cash used for Section 74 separate the Section 74 transfers to the Official Public Account which are presented on a net basis in the PBS. Appropriation received is also significantly different than budgeted due to the receipt of funds from DSS. </w:t>
      </w:r>
    </w:p>
    <w:p w:rsidR="003E6989" w:rsidRPr="007C0B72" w:rsidRDefault="003E6989" w:rsidP="003E6989">
      <w:pPr>
        <w:pStyle w:val="PolicytextDept"/>
      </w:pPr>
      <w:r w:rsidRPr="00A53529">
        <w:rPr>
          <w:vertAlign w:val="superscript"/>
        </w:rPr>
        <w:t>9</w:t>
      </w:r>
      <w:r>
        <w:rPr>
          <w:vertAlign w:val="superscript"/>
        </w:rPr>
        <w:t xml:space="preserve"> </w:t>
      </w:r>
      <w:r>
        <w:t xml:space="preserve">Net GST received is not disclosed separately in the Budget estimate. </w:t>
      </w:r>
    </w:p>
    <w:p w:rsidR="003E6989" w:rsidRPr="007C0B72" w:rsidRDefault="003E6989" w:rsidP="003E6989">
      <w:pPr>
        <w:pStyle w:val="PolicytextDept"/>
      </w:pPr>
      <w:r>
        <w:rPr>
          <w:vertAlign w:val="superscript"/>
        </w:rPr>
        <w:t xml:space="preserve">10 </w:t>
      </w:r>
      <w:r>
        <w:t xml:space="preserve">Other Cash received is predominantly due to the increase in ownership of the SSC revenues. The majority is due to an increase in sublease revenues. There has been an additional letting of space by the Department to the DTO and the AEC throughout 2015-16. </w:t>
      </w:r>
    </w:p>
    <w:p w:rsidR="003E6989" w:rsidRDefault="003E6989" w:rsidP="003E6989">
      <w:pPr>
        <w:pStyle w:val="PolicytextDept"/>
      </w:pPr>
    </w:p>
    <w:p w:rsidR="003E6989" w:rsidRPr="003D2D21" w:rsidRDefault="003E6989" w:rsidP="003E6989">
      <w:pPr>
        <w:rPr>
          <w:lang w:eastAsia="en-AU"/>
        </w:rPr>
        <w:sectPr w:rsidR="003E6989" w:rsidRPr="003D2D21" w:rsidSect="006A5410">
          <w:headerReference w:type="default" r:id="rId21"/>
          <w:footerReference w:type="default" r:id="rId22"/>
          <w:type w:val="continuous"/>
          <w:pgSz w:w="11906" w:h="16838"/>
          <w:pgMar w:top="1134" w:right="1134" w:bottom="1134" w:left="1134" w:header="958" w:footer="737" w:gutter="0"/>
          <w:cols w:space="720"/>
        </w:sectPr>
      </w:pPr>
    </w:p>
    <w:p w:rsidR="00403CAE" w:rsidRDefault="00403CAE" w:rsidP="00403CAE">
      <w:pPr>
        <w:pStyle w:val="Heading1"/>
      </w:pPr>
      <w:bookmarkStart w:id="82" w:name="_Toc464726276"/>
      <w:bookmarkStart w:id="83" w:name="_Toc464726558"/>
      <w:bookmarkStart w:id="84" w:name="_Toc464726612"/>
      <w:bookmarkStart w:id="85" w:name="Note_APLTABLE1" w:colFirst="0" w:colLast="0"/>
      <w:r>
        <w:lastRenderedPageBreak/>
        <w:t>Department of Education and Training</w:t>
      </w:r>
      <w:r>
        <w:br/>
        <w:t>ADMINISTERED SCHEDULE OF COMPREHENSIVE INCOME</w:t>
      </w:r>
      <w:r>
        <w:br/>
        <w:t>For the period ended 30 June 2016</w:t>
      </w:r>
      <w:bookmarkEnd w:id="82"/>
      <w:bookmarkEnd w:id="83"/>
      <w:bookmarkEnd w:id="84"/>
    </w:p>
    <w:p w:rsidR="00403CAE" w:rsidRDefault="00403CAE" w:rsidP="006A5410">
      <w:pPr>
        <w:rPr>
          <w:rFonts w:ascii="Arial" w:hAnsi="Arial" w:cs="Arial"/>
          <w:sz w:val="16"/>
          <w:szCs w:val="16"/>
        </w:rPr>
        <w:sectPr w:rsidR="00403CAE" w:rsidSect="006A5410">
          <w:headerReference w:type="default" r:id="rId23"/>
          <w:pgSz w:w="11906" w:h="16838"/>
          <w:pgMar w:top="1134" w:right="1134" w:bottom="1134" w:left="1134" w:header="958" w:footer="737" w:gutter="0"/>
          <w:cols w:space="720"/>
        </w:sectPr>
      </w:pPr>
    </w:p>
    <w:tbl>
      <w:tblPr>
        <w:tblW w:w="9087" w:type="dxa"/>
        <w:tblInd w:w="80" w:type="dxa"/>
        <w:tblLayout w:type="fixed"/>
        <w:tblCellMar>
          <w:left w:w="68" w:type="dxa"/>
          <w:right w:w="68" w:type="dxa"/>
        </w:tblCellMar>
        <w:tblLook w:val="04A0" w:firstRow="1" w:lastRow="0" w:firstColumn="1" w:lastColumn="0" w:noHBand="0" w:noVBand="1"/>
      </w:tblPr>
      <w:tblGrid>
        <w:gridCol w:w="3220"/>
        <w:gridCol w:w="669"/>
        <w:gridCol w:w="1151"/>
        <w:gridCol w:w="156"/>
        <w:gridCol w:w="1148"/>
        <w:gridCol w:w="237"/>
        <w:gridCol w:w="1214"/>
        <w:gridCol w:w="237"/>
        <w:gridCol w:w="1055"/>
      </w:tblGrid>
      <w:tr w:rsidR="003E6989" w:rsidTr="006A5410">
        <w:trPr>
          <w:trHeight w:val="480"/>
        </w:trPr>
        <w:tc>
          <w:tcPr>
            <w:tcW w:w="3220"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lastRenderedPageBreak/>
              <w:t> </w:t>
            </w:r>
          </w:p>
        </w:tc>
        <w:tc>
          <w:tcPr>
            <w:tcW w:w="669"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51" w:type="dxa"/>
            <w:tcBorders>
              <w:top w:val="nil"/>
              <w:left w:val="nil"/>
              <w:bottom w:val="single" w:sz="4" w:space="0" w:color="D9D9D9"/>
              <w:right w:val="single" w:sz="4" w:space="0" w:color="D9D9D9"/>
            </w:tcBorders>
            <w:shd w:val="clear" w:color="000000" w:fill="D9D9D9"/>
            <w:vAlign w:val="bottom"/>
            <w:hideMark/>
          </w:tcPr>
          <w:p w:rsidR="003E6989" w:rsidRDefault="003E6989" w:rsidP="006A5410">
            <w:pPr>
              <w:jc w:val="right"/>
              <w:rPr>
                <w:rFonts w:cs="Calibri"/>
                <w:b/>
                <w:bCs/>
                <w:szCs w:val="18"/>
              </w:rPr>
            </w:pPr>
            <w:r>
              <w:rPr>
                <w:rFonts w:cs="Calibri"/>
                <w:b/>
                <w:bCs/>
                <w:szCs w:val="18"/>
              </w:rPr>
              <w:t>2016</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2015</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nil"/>
              <w:right w:val="nil"/>
            </w:tcBorders>
            <w:shd w:val="clear" w:color="000000" w:fill="D9D9D9"/>
            <w:vAlign w:val="bottom"/>
            <w:hideMark/>
          </w:tcPr>
          <w:p w:rsidR="003E6989" w:rsidRDefault="003E6989" w:rsidP="006A5410">
            <w:pPr>
              <w:jc w:val="right"/>
              <w:rPr>
                <w:rFonts w:cs="Calibri"/>
                <w:szCs w:val="18"/>
              </w:rPr>
            </w:pPr>
            <w:r>
              <w:rPr>
                <w:rFonts w:cs="Calibri"/>
                <w:szCs w:val="18"/>
              </w:rPr>
              <w:t>2016 Original Budget</w:t>
            </w:r>
            <w:r w:rsidRPr="00355D47">
              <w:rPr>
                <w:rFonts w:cs="Calibri"/>
                <w:szCs w:val="18"/>
                <w:vertAlign w:val="superscript"/>
              </w:rPr>
              <w:t>1</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Variance</w:t>
            </w:r>
          </w:p>
        </w:tc>
      </w:tr>
      <w:bookmarkEnd w:id="85"/>
      <w:tr w:rsidR="003E6989" w:rsidTr="006A5410">
        <w:trPr>
          <w:trHeight w:val="255"/>
        </w:trPr>
        <w:tc>
          <w:tcPr>
            <w:tcW w:w="3220"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669" w:type="dxa"/>
            <w:tcBorders>
              <w:top w:val="nil"/>
              <w:left w:val="nil"/>
              <w:bottom w:val="nil"/>
              <w:right w:val="single" w:sz="4" w:space="0" w:color="D9D9D9"/>
            </w:tcBorders>
            <w:shd w:val="clear" w:color="000000" w:fill="D9D9D9"/>
            <w:vAlign w:val="bottom"/>
            <w:hideMark/>
          </w:tcPr>
          <w:p w:rsidR="003E6989" w:rsidRDefault="003E6989" w:rsidP="006A5410">
            <w:pPr>
              <w:jc w:val="center"/>
              <w:rPr>
                <w:rFonts w:cs="Calibri"/>
                <w:b/>
                <w:bCs/>
                <w:szCs w:val="18"/>
              </w:rPr>
            </w:pPr>
            <w:r>
              <w:rPr>
                <w:rFonts w:cs="Calibri"/>
                <w:b/>
                <w:bCs/>
                <w:szCs w:val="18"/>
              </w:rPr>
              <w:t>Notes</w:t>
            </w:r>
          </w:p>
        </w:tc>
        <w:tc>
          <w:tcPr>
            <w:tcW w:w="1151" w:type="dxa"/>
            <w:tcBorders>
              <w:top w:val="nil"/>
              <w:left w:val="nil"/>
              <w:bottom w:val="single" w:sz="4" w:space="0" w:color="D9D9D9"/>
              <w:right w:val="single" w:sz="4" w:space="0" w:color="D9D9D9"/>
            </w:tcBorders>
            <w:shd w:val="clear" w:color="000000" w:fill="D9D9D9"/>
            <w:vAlign w:val="bottom"/>
            <w:hideMark/>
          </w:tcPr>
          <w:p w:rsidR="003E6989" w:rsidRDefault="003E6989" w:rsidP="006A5410">
            <w:pPr>
              <w:jc w:val="right"/>
              <w:rPr>
                <w:rFonts w:cs="Calibri"/>
                <w:b/>
                <w:bCs/>
                <w:szCs w:val="18"/>
              </w:rPr>
            </w:pPr>
            <w:r>
              <w:rPr>
                <w:rFonts w:cs="Calibri"/>
                <w:b/>
                <w:bCs/>
                <w:szCs w:val="18"/>
              </w:rPr>
              <w:t>$'000</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$'000</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$'000</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3220"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NET COST OF SERVICES</w:t>
            </w:r>
          </w:p>
        </w:tc>
        <w:tc>
          <w:tcPr>
            <w:tcW w:w="669" w:type="dxa"/>
            <w:tcBorders>
              <w:top w:val="nil"/>
              <w:left w:val="nil"/>
              <w:bottom w:val="nil"/>
              <w:right w:val="nil"/>
            </w:tcBorders>
            <w:shd w:val="clear" w:color="000000" w:fill="D9D9D9"/>
            <w:vAlign w:val="bottom"/>
            <w:hideMark/>
          </w:tcPr>
          <w:p w:rsidR="003E6989" w:rsidRDefault="003E6989" w:rsidP="006A5410">
            <w:pPr>
              <w:jc w:val="center"/>
              <w:rPr>
                <w:rFonts w:cs="Calibri"/>
                <w:b/>
                <w:bCs/>
                <w:szCs w:val="18"/>
              </w:rPr>
            </w:pPr>
            <w:r>
              <w:rPr>
                <w:rFonts w:cs="Calibri"/>
                <w:b/>
                <w:bCs/>
                <w:szCs w:val="18"/>
              </w:rPr>
              <w:t> </w:t>
            </w:r>
          </w:p>
        </w:tc>
        <w:tc>
          <w:tcPr>
            <w:tcW w:w="1151"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 </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3220"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EXPENSES</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5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322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Supplier expenses</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2.1A</w:t>
            </w:r>
          </w:p>
        </w:tc>
        <w:tc>
          <w:tcPr>
            <w:tcW w:w="1151"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598,827</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338,577</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677,139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(78,312)</w:t>
            </w:r>
            <w:r w:rsidRPr="00355D47">
              <w:rPr>
                <w:rFonts w:cs="Calibri"/>
                <w:szCs w:val="18"/>
                <w:vertAlign w:val="superscript"/>
              </w:rPr>
              <w:t>2</w:t>
            </w:r>
          </w:p>
        </w:tc>
      </w:tr>
      <w:tr w:rsidR="003E6989" w:rsidTr="006A5410">
        <w:trPr>
          <w:trHeight w:val="255"/>
        </w:trPr>
        <w:tc>
          <w:tcPr>
            <w:tcW w:w="322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Subsidies</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2.1B</w:t>
            </w:r>
          </w:p>
        </w:tc>
        <w:tc>
          <w:tcPr>
            <w:tcW w:w="1151"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327,810</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144,309</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417,707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(89,897)</w:t>
            </w:r>
            <w:r w:rsidRPr="00355D47">
              <w:rPr>
                <w:rFonts w:cs="Calibri"/>
                <w:szCs w:val="18"/>
                <w:vertAlign w:val="superscript"/>
              </w:rPr>
              <w:t>3</w:t>
            </w:r>
          </w:p>
        </w:tc>
      </w:tr>
      <w:tr w:rsidR="003E6989" w:rsidTr="006A5410">
        <w:trPr>
          <w:trHeight w:val="255"/>
        </w:trPr>
        <w:tc>
          <w:tcPr>
            <w:tcW w:w="322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Personal benefits</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2.1C</w:t>
            </w:r>
          </w:p>
        </w:tc>
        <w:tc>
          <w:tcPr>
            <w:tcW w:w="1151"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5,092,274</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3,535,096</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122,944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4,969,330</w:t>
            </w:r>
            <w:r w:rsidRPr="00355D47">
              <w:rPr>
                <w:rFonts w:cs="Calibri"/>
                <w:szCs w:val="18"/>
                <w:vertAlign w:val="superscript"/>
              </w:rPr>
              <w:t>4</w:t>
            </w:r>
          </w:p>
        </w:tc>
      </w:tr>
      <w:tr w:rsidR="003E6989" w:rsidTr="006A5410">
        <w:trPr>
          <w:trHeight w:val="255"/>
        </w:trPr>
        <w:tc>
          <w:tcPr>
            <w:tcW w:w="322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xml:space="preserve">Grants </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2.1D</w:t>
            </w:r>
          </w:p>
        </w:tc>
        <w:tc>
          <w:tcPr>
            <w:tcW w:w="1151"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25,725,320</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24,410,096</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25,504,343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220,977</w:t>
            </w:r>
            <w:r w:rsidRPr="00355D47">
              <w:rPr>
                <w:rFonts w:cs="Calibri"/>
                <w:szCs w:val="18"/>
                <w:vertAlign w:val="superscript"/>
              </w:rPr>
              <w:t>5</w:t>
            </w:r>
          </w:p>
        </w:tc>
      </w:tr>
      <w:tr w:rsidR="003E6989" w:rsidTr="006A5410">
        <w:trPr>
          <w:trHeight w:val="255"/>
        </w:trPr>
        <w:tc>
          <w:tcPr>
            <w:tcW w:w="322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Finance costs</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2.1E</w:t>
            </w:r>
          </w:p>
        </w:tc>
        <w:tc>
          <w:tcPr>
            <w:tcW w:w="1151"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636,237</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801,980</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965,356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(329,119)</w:t>
            </w:r>
            <w:r w:rsidRPr="00355D47">
              <w:rPr>
                <w:rFonts w:cs="Calibri"/>
                <w:szCs w:val="18"/>
                <w:vertAlign w:val="superscript"/>
              </w:rPr>
              <w:t>6</w:t>
            </w:r>
          </w:p>
        </w:tc>
      </w:tr>
      <w:tr w:rsidR="003E6989" w:rsidTr="006A5410">
        <w:trPr>
          <w:trHeight w:val="255"/>
        </w:trPr>
        <w:tc>
          <w:tcPr>
            <w:tcW w:w="322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Write-down and impairment of assets</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2.1F</w:t>
            </w:r>
          </w:p>
        </w:tc>
        <w:tc>
          <w:tcPr>
            <w:tcW w:w="1151"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18,595</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26,237</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18,595</w:t>
            </w:r>
          </w:p>
        </w:tc>
      </w:tr>
      <w:tr w:rsidR="003E6989" w:rsidTr="006A5410">
        <w:trPr>
          <w:trHeight w:val="255"/>
        </w:trPr>
        <w:tc>
          <w:tcPr>
            <w:tcW w:w="322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Payment to Corporate Commonwealth Entities</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2.1G</w:t>
            </w:r>
          </w:p>
        </w:tc>
        <w:tc>
          <w:tcPr>
            <w:tcW w:w="1151"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15,009</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13,370</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14,935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74</w:t>
            </w:r>
          </w:p>
        </w:tc>
      </w:tr>
      <w:tr w:rsidR="003E6989" w:rsidTr="006A5410">
        <w:trPr>
          <w:trHeight w:val="255"/>
        </w:trPr>
        <w:tc>
          <w:tcPr>
            <w:tcW w:w="322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Fair value losses</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2.1H</w:t>
            </w:r>
          </w:p>
        </w:tc>
        <w:tc>
          <w:tcPr>
            <w:tcW w:w="1151"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1,058,199</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14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1,261,294</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1,531,632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(473,433)</w:t>
            </w:r>
            <w:r w:rsidRPr="00355D47">
              <w:rPr>
                <w:rFonts w:cs="Calibri"/>
                <w:szCs w:val="18"/>
                <w:vertAlign w:val="superscript"/>
              </w:rPr>
              <w:t>7</w:t>
            </w:r>
          </w:p>
        </w:tc>
      </w:tr>
      <w:tr w:rsidR="003E6989" w:rsidTr="006A5410">
        <w:trPr>
          <w:trHeight w:val="255"/>
        </w:trPr>
        <w:tc>
          <w:tcPr>
            <w:tcW w:w="3220" w:type="dxa"/>
            <w:tcBorders>
              <w:top w:val="nil"/>
              <w:left w:val="nil"/>
              <w:bottom w:val="single" w:sz="4" w:space="0" w:color="D9D9D9"/>
              <w:right w:val="single" w:sz="12" w:space="0" w:color="D9D9D9"/>
            </w:tcBorders>
            <w:shd w:val="clear" w:color="000000" w:fill="D9D9D9"/>
            <w:vAlign w:val="bottom"/>
            <w:hideMark/>
          </w:tcPr>
          <w:p w:rsidR="003E6989" w:rsidRDefault="003E6989" w:rsidP="006A5410">
            <w:pPr>
              <w:rPr>
                <w:rFonts w:cs="Calibri"/>
                <w:szCs w:val="18"/>
              </w:rPr>
            </w:pPr>
            <w:r>
              <w:rPr>
                <w:rFonts w:cs="Calibri"/>
                <w:szCs w:val="18"/>
              </w:rPr>
              <w:t>Other Expenses</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2.1I</w:t>
            </w:r>
          </w:p>
        </w:tc>
        <w:tc>
          <w:tcPr>
            <w:tcW w:w="1151"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147</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14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57</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147</w:t>
            </w:r>
          </w:p>
        </w:tc>
      </w:tr>
      <w:tr w:rsidR="003E6989" w:rsidTr="006A5410">
        <w:trPr>
          <w:trHeight w:val="255"/>
        </w:trPr>
        <w:tc>
          <w:tcPr>
            <w:tcW w:w="3220" w:type="dxa"/>
            <w:tcBorders>
              <w:top w:val="nil"/>
              <w:left w:val="nil"/>
              <w:bottom w:val="nil"/>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expenses</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51"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33,472,418</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30,531,016</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29,234,056</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4,238,362</w:t>
            </w:r>
          </w:p>
        </w:tc>
      </w:tr>
      <w:tr w:rsidR="003E6989" w:rsidTr="006A5410">
        <w:trPr>
          <w:trHeight w:val="169"/>
        </w:trPr>
        <w:tc>
          <w:tcPr>
            <w:tcW w:w="322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51"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3220"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INCOME</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5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3220"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Revenue</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5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3220"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Taxation revenue</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5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322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Other taxes</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2.2A</w:t>
            </w:r>
          </w:p>
        </w:tc>
        <w:tc>
          <w:tcPr>
            <w:tcW w:w="1151"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10,144</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8,576</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6,999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3,145</w:t>
            </w:r>
          </w:p>
        </w:tc>
      </w:tr>
      <w:tr w:rsidR="003E6989" w:rsidTr="006A5410">
        <w:trPr>
          <w:trHeight w:val="255"/>
        </w:trPr>
        <w:tc>
          <w:tcPr>
            <w:tcW w:w="3220"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Total taxation revenue</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51"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10,144</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8,576</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6,999</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3,145</w:t>
            </w:r>
          </w:p>
        </w:tc>
      </w:tr>
      <w:tr w:rsidR="003E6989" w:rsidTr="006A5410">
        <w:trPr>
          <w:trHeight w:val="169"/>
        </w:trPr>
        <w:tc>
          <w:tcPr>
            <w:tcW w:w="322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51"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3220"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Non-taxation revenue</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51"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322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Interest</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2.2B</w:t>
            </w:r>
          </w:p>
        </w:tc>
        <w:tc>
          <w:tcPr>
            <w:tcW w:w="1151"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529,337</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583,134</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670,382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(141,045)</w:t>
            </w:r>
            <w:r w:rsidRPr="00355D47">
              <w:rPr>
                <w:rFonts w:cs="Calibri"/>
                <w:szCs w:val="18"/>
                <w:vertAlign w:val="superscript"/>
              </w:rPr>
              <w:t>6</w:t>
            </w:r>
          </w:p>
        </w:tc>
      </w:tr>
      <w:tr w:rsidR="003E6989" w:rsidTr="006A5410">
        <w:trPr>
          <w:trHeight w:val="255"/>
        </w:trPr>
        <w:tc>
          <w:tcPr>
            <w:tcW w:w="322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Other revenue</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2.2C</w:t>
            </w:r>
          </w:p>
        </w:tc>
        <w:tc>
          <w:tcPr>
            <w:tcW w:w="1151"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813,177</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849,841</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772,640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40,537</w:t>
            </w:r>
          </w:p>
        </w:tc>
      </w:tr>
      <w:tr w:rsidR="003E6989" w:rsidTr="006A5410">
        <w:trPr>
          <w:trHeight w:val="255"/>
        </w:trPr>
        <w:tc>
          <w:tcPr>
            <w:tcW w:w="3220"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Total non-taxation revenue</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51"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1,342,514</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1,432,975</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1,443,022</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(100,508)</w:t>
            </w:r>
          </w:p>
        </w:tc>
      </w:tr>
      <w:tr w:rsidR="003E6989" w:rsidTr="006A5410">
        <w:trPr>
          <w:trHeight w:val="255"/>
        </w:trPr>
        <w:tc>
          <w:tcPr>
            <w:tcW w:w="3220" w:type="dxa"/>
            <w:tcBorders>
              <w:top w:val="nil"/>
              <w:left w:val="nil"/>
              <w:bottom w:val="nil"/>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 xml:space="preserve">Total revenue </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51" w:type="dxa"/>
            <w:tcBorders>
              <w:top w:val="nil"/>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1,352,658</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1,441,551</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1,450,021</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(97,363)</w:t>
            </w:r>
          </w:p>
        </w:tc>
      </w:tr>
      <w:tr w:rsidR="003E6989" w:rsidTr="006A5410">
        <w:trPr>
          <w:trHeight w:val="158"/>
        </w:trPr>
        <w:tc>
          <w:tcPr>
            <w:tcW w:w="3220"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5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3220"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Gains</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5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322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xml:space="preserve">Fair value gains </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2.2D</w:t>
            </w:r>
          </w:p>
        </w:tc>
        <w:tc>
          <w:tcPr>
            <w:tcW w:w="1151"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131,400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(131,400)</w:t>
            </w:r>
            <w:r w:rsidRPr="00355D47">
              <w:rPr>
                <w:rFonts w:cs="Calibri"/>
                <w:szCs w:val="18"/>
                <w:vertAlign w:val="superscript"/>
              </w:rPr>
              <w:t>7</w:t>
            </w:r>
          </w:p>
        </w:tc>
      </w:tr>
      <w:tr w:rsidR="003E6989" w:rsidTr="006A5410">
        <w:trPr>
          <w:trHeight w:val="480"/>
        </w:trPr>
        <w:tc>
          <w:tcPr>
            <w:tcW w:w="322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Reversals of previous asset write-downs and impairment</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2.2E</w:t>
            </w:r>
          </w:p>
        </w:tc>
        <w:tc>
          <w:tcPr>
            <w:tcW w:w="1151"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1,200,266</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w:t>
            </w:r>
          </w:p>
        </w:tc>
      </w:tr>
      <w:tr w:rsidR="003E6989" w:rsidTr="006A5410">
        <w:trPr>
          <w:trHeight w:val="255"/>
        </w:trPr>
        <w:tc>
          <w:tcPr>
            <w:tcW w:w="3220" w:type="dxa"/>
            <w:tcBorders>
              <w:top w:val="nil"/>
              <w:left w:val="nil"/>
              <w:bottom w:val="nil"/>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 xml:space="preserve">Total gains </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51"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1,200,266</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131,400</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(131,400)</w:t>
            </w:r>
          </w:p>
        </w:tc>
      </w:tr>
      <w:tr w:rsidR="003E6989" w:rsidTr="006A5410">
        <w:trPr>
          <w:trHeight w:val="255"/>
        </w:trPr>
        <w:tc>
          <w:tcPr>
            <w:tcW w:w="3220"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Total income</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51" w:type="dxa"/>
            <w:tcBorders>
              <w:top w:val="nil"/>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1,352,658</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2,641,817</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1,581,421</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(228,763)</w:t>
            </w:r>
          </w:p>
        </w:tc>
      </w:tr>
      <w:tr w:rsidR="003E6989" w:rsidTr="006A5410">
        <w:trPr>
          <w:trHeight w:val="218"/>
        </w:trPr>
        <w:tc>
          <w:tcPr>
            <w:tcW w:w="322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5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3220"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 xml:space="preserve">Net cost of (contribution by) services </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51"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32,119,760</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27,889,199</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27,652,635</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4,467,125</w:t>
            </w:r>
          </w:p>
        </w:tc>
      </w:tr>
      <w:tr w:rsidR="003E6989" w:rsidTr="006A5410">
        <w:trPr>
          <w:trHeight w:val="255"/>
        </w:trPr>
        <w:tc>
          <w:tcPr>
            <w:tcW w:w="3220"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 xml:space="preserve">Surplus (Deficit) </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51" w:type="dxa"/>
            <w:tcBorders>
              <w:top w:val="nil"/>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(32,119,760)</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(27,889,199)</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(27,652,635)</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(4,467,125)</w:t>
            </w:r>
          </w:p>
        </w:tc>
      </w:tr>
      <w:tr w:rsidR="003E6989" w:rsidTr="006A5410">
        <w:trPr>
          <w:trHeight w:val="229"/>
        </w:trPr>
        <w:tc>
          <w:tcPr>
            <w:tcW w:w="3220"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5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3220"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OTHER COMPREHENSIVE INCOME</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5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480"/>
        </w:trPr>
        <w:tc>
          <w:tcPr>
            <w:tcW w:w="3220"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Items not subject to subsequent reclassification to net cost of services</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5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322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Changes in asset revaluation surplus</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51"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(31,593)</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904</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(31,593)</w:t>
            </w:r>
          </w:p>
        </w:tc>
      </w:tr>
      <w:tr w:rsidR="003E6989" w:rsidTr="006A5410">
        <w:trPr>
          <w:trHeight w:val="255"/>
        </w:trPr>
        <w:tc>
          <w:tcPr>
            <w:tcW w:w="3220"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Total other comprehensive income (loss)</w:t>
            </w:r>
          </w:p>
        </w:tc>
        <w:tc>
          <w:tcPr>
            <w:tcW w:w="669"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51"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(31,593)</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904</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(31,593)</w:t>
            </w:r>
          </w:p>
        </w:tc>
      </w:tr>
      <w:tr w:rsidR="003E6989" w:rsidTr="006A5410">
        <w:trPr>
          <w:trHeight w:val="169"/>
        </w:trPr>
        <w:tc>
          <w:tcPr>
            <w:tcW w:w="3220"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669"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5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70"/>
        </w:trPr>
        <w:tc>
          <w:tcPr>
            <w:tcW w:w="3220" w:type="dxa"/>
            <w:tcBorders>
              <w:top w:val="nil"/>
              <w:left w:val="nil"/>
              <w:bottom w:val="single" w:sz="12" w:space="0" w:color="D9D9D9"/>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comprehensive income (loss)</w:t>
            </w:r>
          </w:p>
        </w:tc>
        <w:tc>
          <w:tcPr>
            <w:tcW w:w="669" w:type="dxa"/>
            <w:tcBorders>
              <w:top w:val="single" w:sz="4" w:space="0" w:color="D9D9D9"/>
              <w:left w:val="nil"/>
              <w:bottom w:val="single" w:sz="12"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51"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(32,151,353)</w:t>
            </w:r>
          </w:p>
        </w:tc>
        <w:tc>
          <w:tcPr>
            <w:tcW w:w="156" w:type="dxa"/>
            <w:tcBorders>
              <w:top w:val="nil"/>
              <w:left w:val="nil"/>
              <w:bottom w:val="single" w:sz="12"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48"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(27,888,295)</w:t>
            </w:r>
          </w:p>
        </w:tc>
        <w:tc>
          <w:tcPr>
            <w:tcW w:w="237" w:type="dxa"/>
            <w:tcBorders>
              <w:top w:val="nil"/>
              <w:left w:val="nil"/>
              <w:bottom w:val="single" w:sz="12"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14"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(27,652,635)</w:t>
            </w:r>
          </w:p>
        </w:tc>
        <w:tc>
          <w:tcPr>
            <w:tcW w:w="237" w:type="dxa"/>
            <w:tcBorders>
              <w:top w:val="nil"/>
              <w:left w:val="nil"/>
              <w:bottom w:val="single" w:sz="12"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55"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(4,498,718)</w:t>
            </w:r>
          </w:p>
        </w:tc>
      </w:tr>
      <w:tr w:rsidR="003E6989" w:rsidTr="006A5410">
        <w:trPr>
          <w:trHeight w:val="270"/>
        </w:trPr>
        <w:tc>
          <w:tcPr>
            <w:tcW w:w="3220"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669"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151"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5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148"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14"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23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5"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r>
    </w:tbl>
    <w:p w:rsidR="003E6989" w:rsidRDefault="003E6989" w:rsidP="003E6989">
      <w:bookmarkStart w:id="86" w:name="RANGE!D7:G16"/>
      <w:bookmarkStart w:id="87" w:name="RANGE!D6:D19"/>
      <w:bookmarkStart w:id="88" w:name="RANGE!D6:G19"/>
      <w:bookmarkStart w:id="89" w:name="RANGE!D7:I49"/>
      <w:bookmarkStart w:id="90" w:name="RANGE!D7:H48"/>
      <w:bookmarkStart w:id="91" w:name="RANGE!D7:H47"/>
      <w:bookmarkStart w:id="92" w:name="RANGE!D7:H46"/>
      <w:bookmarkStart w:id="93" w:name="RANGE!D7:H54"/>
      <w:bookmarkEnd w:id="86"/>
      <w:bookmarkEnd w:id="87"/>
      <w:bookmarkEnd w:id="88"/>
      <w:bookmarkEnd w:id="89"/>
      <w:bookmarkEnd w:id="90"/>
      <w:bookmarkEnd w:id="91"/>
      <w:bookmarkEnd w:id="92"/>
      <w:bookmarkEnd w:id="93"/>
    </w:p>
    <w:p w:rsidR="003E6989" w:rsidRDefault="003E6989" w:rsidP="003E6989">
      <w:pPr>
        <w:spacing w:line="240" w:lineRule="auto"/>
        <w:sectPr w:rsidR="003E6989" w:rsidSect="00403CAE">
          <w:type w:val="continuous"/>
          <w:pgSz w:w="11906" w:h="16838"/>
          <w:pgMar w:top="1134" w:right="1134" w:bottom="1134" w:left="1134" w:header="958" w:footer="737" w:gutter="0"/>
          <w:cols w:space="720"/>
        </w:sectPr>
      </w:pPr>
    </w:p>
    <w:p w:rsidR="00403CAE" w:rsidRDefault="00403CAE" w:rsidP="00403CAE">
      <w:pPr>
        <w:pStyle w:val="Heading1"/>
      </w:pPr>
      <w:bookmarkStart w:id="94" w:name="_Toc464726277"/>
      <w:bookmarkStart w:id="95" w:name="_Toc464726559"/>
      <w:bookmarkStart w:id="96" w:name="_Toc464726613"/>
      <w:r>
        <w:lastRenderedPageBreak/>
        <w:t>Department of Education and Training</w:t>
      </w:r>
      <w:r>
        <w:br/>
        <w:t>ADMINISTERED SCHEDULE OF ASSETS AND LIABILITIES</w:t>
      </w:r>
      <w:r>
        <w:br/>
        <w:t>as at 30 June 2016</w:t>
      </w:r>
      <w:bookmarkEnd w:id="94"/>
      <w:bookmarkEnd w:id="95"/>
      <w:bookmarkEnd w:id="96"/>
    </w:p>
    <w:p w:rsidR="003E6989" w:rsidRDefault="003E6989" w:rsidP="003E6989">
      <w:pPr>
        <w:spacing w:line="240" w:lineRule="auto"/>
      </w:pPr>
    </w:p>
    <w:p w:rsidR="003E6989" w:rsidRDefault="003E6989" w:rsidP="003E6989">
      <w:pPr>
        <w:spacing w:line="240" w:lineRule="auto"/>
      </w:pPr>
    </w:p>
    <w:tbl>
      <w:tblPr>
        <w:tblW w:w="9087" w:type="dxa"/>
        <w:tblInd w:w="80" w:type="dxa"/>
        <w:tblLayout w:type="fixed"/>
        <w:tblLook w:val="04A0" w:firstRow="1" w:lastRow="0" w:firstColumn="1" w:lastColumn="0" w:noHBand="0" w:noVBand="1"/>
      </w:tblPr>
      <w:tblGrid>
        <w:gridCol w:w="3323"/>
        <w:gridCol w:w="699"/>
        <w:gridCol w:w="1129"/>
        <w:gridCol w:w="238"/>
        <w:gridCol w:w="1064"/>
        <w:gridCol w:w="238"/>
        <w:gridCol w:w="1080"/>
        <w:gridCol w:w="238"/>
        <w:gridCol w:w="1078"/>
      </w:tblGrid>
      <w:tr w:rsidR="003E6989" w:rsidTr="006A5410">
        <w:trPr>
          <w:trHeight w:val="480"/>
        </w:trPr>
        <w:tc>
          <w:tcPr>
            <w:tcW w:w="3290"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bookmarkStart w:id="97" w:name="Note_ABSTABLE1" w:colFirst="0" w:colLast="0"/>
            <w:r>
              <w:rPr>
                <w:rFonts w:ascii="Arial" w:hAnsi="Arial" w:cs="Arial"/>
                <w:sz w:val="16"/>
                <w:szCs w:val="16"/>
              </w:rPr>
              <w:t> </w:t>
            </w:r>
          </w:p>
        </w:tc>
        <w:tc>
          <w:tcPr>
            <w:tcW w:w="692"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18"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2016</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53"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2015</w:t>
            </w:r>
          </w:p>
        </w:tc>
        <w:tc>
          <w:tcPr>
            <w:tcW w:w="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w:t>
            </w:r>
          </w:p>
        </w:tc>
        <w:tc>
          <w:tcPr>
            <w:tcW w:w="1069" w:type="dxa"/>
            <w:tcBorders>
              <w:top w:val="nil"/>
              <w:left w:val="nil"/>
              <w:bottom w:val="nil"/>
              <w:right w:val="nil"/>
            </w:tcBorders>
            <w:shd w:val="clear" w:color="000000" w:fill="D9D9D9"/>
            <w:vAlign w:val="bottom"/>
            <w:hideMark/>
          </w:tcPr>
          <w:p w:rsidR="003E6989" w:rsidRDefault="003E6989" w:rsidP="006A5410">
            <w:pPr>
              <w:jc w:val="right"/>
              <w:rPr>
                <w:rFonts w:cs="Calibri"/>
                <w:szCs w:val="18"/>
              </w:rPr>
            </w:pPr>
            <w:r>
              <w:rPr>
                <w:rFonts w:cs="Calibri"/>
                <w:szCs w:val="18"/>
              </w:rPr>
              <w:t>2016 Original Budget</w:t>
            </w:r>
            <w:r w:rsidRPr="00E84D20">
              <w:rPr>
                <w:rFonts w:cs="Calibri"/>
                <w:szCs w:val="18"/>
                <w:vertAlign w:val="superscript"/>
              </w:rPr>
              <w:t>1</w:t>
            </w:r>
          </w:p>
        </w:tc>
        <w:tc>
          <w:tcPr>
            <w:tcW w:w="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w:t>
            </w:r>
          </w:p>
        </w:tc>
        <w:tc>
          <w:tcPr>
            <w:tcW w:w="1067"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Variance</w:t>
            </w:r>
          </w:p>
        </w:tc>
      </w:tr>
      <w:bookmarkEnd w:id="97"/>
      <w:tr w:rsidR="003E6989" w:rsidTr="006A5410">
        <w:trPr>
          <w:trHeight w:val="255"/>
        </w:trPr>
        <w:tc>
          <w:tcPr>
            <w:tcW w:w="3290"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692" w:type="dxa"/>
            <w:tcBorders>
              <w:top w:val="nil"/>
              <w:left w:val="nil"/>
              <w:bottom w:val="nil"/>
              <w:right w:val="nil"/>
            </w:tcBorders>
            <w:shd w:val="clear" w:color="000000" w:fill="D9D9D9"/>
            <w:vAlign w:val="bottom"/>
            <w:hideMark/>
          </w:tcPr>
          <w:p w:rsidR="003E6989" w:rsidRDefault="003E6989" w:rsidP="006A5410">
            <w:pPr>
              <w:jc w:val="center"/>
              <w:rPr>
                <w:rFonts w:cs="Calibri"/>
                <w:b/>
                <w:bCs/>
                <w:szCs w:val="18"/>
              </w:rPr>
            </w:pPr>
            <w:r>
              <w:rPr>
                <w:rFonts w:cs="Calibri"/>
                <w:b/>
                <w:bCs/>
                <w:szCs w:val="18"/>
              </w:rPr>
              <w:t>Notes</w:t>
            </w:r>
          </w:p>
        </w:tc>
        <w:tc>
          <w:tcPr>
            <w:tcW w:w="1118"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$'000</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53"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$'000</w:t>
            </w:r>
          </w:p>
        </w:tc>
        <w:tc>
          <w:tcPr>
            <w:tcW w:w="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w:t>
            </w:r>
          </w:p>
        </w:tc>
        <w:tc>
          <w:tcPr>
            <w:tcW w:w="1069"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$'000</w:t>
            </w:r>
          </w:p>
        </w:tc>
        <w:tc>
          <w:tcPr>
            <w:tcW w:w="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w:t>
            </w:r>
          </w:p>
        </w:tc>
        <w:tc>
          <w:tcPr>
            <w:tcW w:w="1067"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3290"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ASSETS</w:t>
            </w:r>
          </w:p>
        </w:tc>
        <w:tc>
          <w:tcPr>
            <w:tcW w:w="692"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1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53"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69"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67"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3290"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Financial assets</w:t>
            </w:r>
          </w:p>
        </w:tc>
        <w:tc>
          <w:tcPr>
            <w:tcW w:w="692"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1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53"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69"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67"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329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Cash and cash equivalents</w:t>
            </w:r>
          </w:p>
        </w:tc>
        <w:tc>
          <w:tcPr>
            <w:tcW w:w="692"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4.1A</w:t>
            </w:r>
          </w:p>
        </w:tc>
        <w:tc>
          <w:tcPr>
            <w:tcW w:w="111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72,092</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53"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26,528</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9"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832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7"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71,260</w:t>
            </w:r>
            <w:r w:rsidRPr="00E84D20">
              <w:rPr>
                <w:rFonts w:cs="Calibri"/>
                <w:szCs w:val="18"/>
                <w:vertAlign w:val="superscript"/>
              </w:rPr>
              <w:t>8</w:t>
            </w:r>
          </w:p>
        </w:tc>
      </w:tr>
      <w:tr w:rsidR="003E6989" w:rsidTr="006A5410">
        <w:trPr>
          <w:trHeight w:val="255"/>
        </w:trPr>
        <w:tc>
          <w:tcPr>
            <w:tcW w:w="329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Receivables</w:t>
            </w:r>
          </w:p>
        </w:tc>
        <w:tc>
          <w:tcPr>
            <w:tcW w:w="692"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4.1B</w:t>
            </w:r>
          </w:p>
        </w:tc>
        <w:tc>
          <w:tcPr>
            <w:tcW w:w="111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37,870,400</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53"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30,927,974</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9"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37,509,956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7"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360,444</w:t>
            </w:r>
            <w:r w:rsidRPr="00E84D20">
              <w:rPr>
                <w:rFonts w:cs="Calibri"/>
                <w:szCs w:val="18"/>
                <w:vertAlign w:val="superscript"/>
              </w:rPr>
              <w:t>7</w:t>
            </w:r>
          </w:p>
        </w:tc>
      </w:tr>
      <w:tr w:rsidR="003E6989" w:rsidTr="006A5410">
        <w:trPr>
          <w:trHeight w:val="255"/>
        </w:trPr>
        <w:tc>
          <w:tcPr>
            <w:tcW w:w="329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Other investments</w:t>
            </w:r>
          </w:p>
        </w:tc>
        <w:tc>
          <w:tcPr>
            <w:tcW w:w="692"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4.1C</w:t>
            </w:r>
          </w:p>
        </w:tc>
        <w:tc>
          <w:tcPr>
            <w:tcW w:w="111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2,118,337</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53"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2,149,930</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9"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2,153,175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7"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(34,838)</w:t>
            </w:r>
          </w:p>
        </w:tc>
      </w:tr>
      <w:tr w:rsidR="003E6989" w:rsidTr="006A5410">
        <w:trPr>
          <w:trHeight w:val="255"/>
        </w:trPr>
        <w:tc>
          <w:tcPr>
            <w:tcW w:w="3290"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Total financial assets</w:t>
            </w:r>
          </w:p>
        </w:tc>
        <w:tc>
          <w:tcPr>
            <w:tcW w:w="692"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18"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40,060,829</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53"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33,104,432</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9"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39,663,963</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7"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396,866</w:t>
            </w:r>
          </w:p>
        </w:tc>
      </w:tr>
      <w:tr w:rsidR="003E6989" w:rsidTr="006A5410">
        <w:trPr>
          <w:trHeight w:val="255"/>
        </w:trPr>
        <w:tc>
          <w:tcPr>
            <w:tcW w:w="3290"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692"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1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53"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69"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6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3290"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Non-financial assets</w:t>
            </w:r>
          </w:p>
        </w:tc>
        <w:tc>
          <w:tcPr>
            <w:tcW w:w="692"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1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53"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69"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6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329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Other non-financial assets</w:t>
            </w:r>
          </w:p>
        </w:tc>
        <w:tc>
          <w:tcPr>
            <w:tcW w:w="692"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4.2A</w:t>
            </w:r>
          </w:p>
        </w:tc>
        <w:tc>
          <w:tcPr>
            <w:tcW w:w="111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240</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53"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9"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523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7"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(283)</w:t>
            </w:r>
          </w:p>
        </w:tc>
      </w:tr>
      <w:tr w:rsidR="003E6989" w:rsidTr="006A5410">
        <w:trPr>
          <w:trHeight w:val="255"/>
        </w:trPr>
        <w:tc>
          <w:tcPr>
            <w:tcW w:w="3290"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Total non-financial assets</w:t>
            </w:r>
          </w:p>
        </w:tc>
        <w:tc>
          <w:tcPr>
            <w:tcW w:w="692"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18"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240</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53"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9"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523</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7"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(283)</w:t>
            </w:r>
          </w:p>
        </w:tc>
      </w:tr>
      <w:tr w:rsidR="003E6989" w:rsidTr="006A5410">
        <w:trPr>
          <w:trHeight w:val="255"/>
        </w:trPr>
        <w:tc>
          <w:tcPr>
            <w:tcW w:w="329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692"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18"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53"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9"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r>
      <w:tr w:rsidR="003E6989" w:rsidTr="006A5410">
        <w:trPr>
          <w:trHeight w:val="480"/>
        </w:trPr>
        <w:tc>
          <w:tcPr>
            <w:tcW w:w="3290"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Total assets administered on behalf of Government</w:t>
            </w:r>
          </w:p>
        </w:tc>
        <w:tc>
          <w:tcPr>
            <w:tcW w:w="692"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18"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40,061,069</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53"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33,104,432</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9"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39,664,486</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7"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396,583</w:t>
            </w:r>
          </w:p>
        </w:tc>
      </w:tr>
      <w:tr w:rsidR="003E6989" w:rsidTr="006A5410">
        <w:trPr>
          <w:trHeight w:val="255"/>
        </w:trPr>
        <w:tc>
          <w:tcPr>
            <w:tcW w:w="329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692"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18"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53"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9"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3290"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LIABILITIES</w:t>
            </w:r>
          </w:p>
        </w:tc>
        <w:tc>
          <w:tcPr>
            <w:tcW w:w="692"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18"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53"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9"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3290"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Payables</w:t>
            </w:r>
          </w:p>
        </w:tc>
        <w:tc>
          <w:tcPr>
            <w:tcW w:w="692"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18"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53"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9"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329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Suppliers</w:t>
            </w:r>
          </w:p>
        </w:tc>
        <w:tc>
          <w:tcPr>
            <w:tcW w:w="692"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4.3A</w:t>
            </w:r>
          </w:p>
        </w:tc>
        <w:tc>
          <w:tcPr>
            <w:tcW w:w="111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57,624</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53"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54,235</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9"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53,085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7"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4,539</w:t>
            </w:r>
          </w:p>
        </w:tc>
      </w:tr>
      <w:tr w:rsidR="003E6989" w:rsidTr="006A5410">
        <w:trPr>
          <w:trHeight w:val="255"/>
        </w:trPr>
        <w:tc>
          <w:tcPr>
            <w:tcW w:w="329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Personal benefits</w:t>
            </w:r>
          </w:p>
        </w:tc>
        <w:tc>
          <w:tcPr>
            <w:tcW w:w="692"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4.3B</w:t>
            </w:r>
          </w:p>
        </w:tc>
        <w:tc>
          <w:tcPr>
            <w:tcW w:w="111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149,271</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53"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9"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4,879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7"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144,392</w:t>
            </w:r>
            <w:r w:rsidRPr="00E84D20">
              <w:rPr>
                <w:rFonts w:cs="Calibri"/>
                <w:szCs w:val="18"/>
                <w:vertAlign w:val="superscript"/>
              </w:rPr>
              <w:t>4</w:t>
            </w:r>
          </w:p>
        </w:tc>
      </w:tr>
      <w:tr w:rsidR="003E6989" w:rsidTr="006A5410">
        <w:trPr>
          <w:trHeight w:val="255"/>
        </w:trPr>
        <w:tc>
          <w:tcPr>
            <w:tcW w:w="329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Grants</w:t>
            </w:r>
          </w:p>
        </w:tc>
        <w:tc>
          <w:tcPr>
            <w:tcW w:w="692"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4.3C</w:t>
            </w:r>
          </w:p>
        </w:tc>
        <w:tc>
          <w:tcPr>
            <w:tcW w:w="111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3,318</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53"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36,246</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9"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52,259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7"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(48,941)</w:t>
            </w:r>
          </w:p>
        </w:tc>
      </w:tr>
      <w:tr w:rsidR="003E6989" w:rsidTr="006A5410">
        <w:trPr>
          <w:trHeight w:val="255"/>
        </w:trPr>
        <w:tc>
          <w:tcPr>
            <w:tcW w:w="329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Other payables</w:t>
            </w:r>
          </w:p>
        </w:tc>
        <w:tc>
          <w:tcPr>
            <w:tcW w:w="692"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4.3D</w:t>
            </w:r>
          </w:p>
        </w:tc>
        <w:tc>
          <w:tcPr>
            <w:tcW w:w="111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37,081</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53"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17,701</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9"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19,489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7"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17,592</w:t>
            </w:r>
          </w:p>
        </w:tc>
      </w:tr>
      <w:tr w:rsidR="003E6989" w:rsidTr="006A5410">
        <w:trPr>
          <w:trHeight w:val="255"/>
        </w:trPr>
        <w:tc>
          <w:tcPr>
            <w:tcW w:w="3290"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Total payables</w:t>
            </w:r>
          </w:p>
        </w:tc>
        <w:tc>
          <w:tcPr>
            <w:tcW w:w="692"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18"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247,294</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53"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108,182</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9"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129,712</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7"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117,582</w:t>
            </w:r>
          </w:p>
        </w:tc>
      </w:tr>
      <w:tr w:rsidR="003E6989" w:rsidTr="006A5410">
        <w:trPr>
          <w:trHeight w:val="255"/>
        </w:trPr>
        <w:tc>
          <w:tcPr>
            <w:tcW w:w="3290"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 </w:t>
            </w:r>
          </w:p>
        </w:tc>
        <w:tc>
          <w:tcPr>
            <w:tcW w:w="692"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18" w:type="dxa"/>
            <w:tcBorders>
              <w:top w:val="nil"/>
              <w:left w:val="nil"/>
              <w:bottom w:val="nil"/>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53"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9"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7"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3290"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Provisions</w:t>
            </w:r>
          </w:p>
        </w:tc>
        <w:tc>
          <w:tcPr>
            <w:tcW w:w="692"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18" w:type="dxa"/>
            <w:tcBorders>
              <w:top w:val="nil"/>
              <w:left w:val="nil"/>
              <w:bottom w:val="nil"/>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53"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9"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7"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329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Provision of personal benefits</w:t>
            </w:r>
          </w:p>
        </w:tc>
        <w:tc>
          <w:tcPr>
            <w:tcW w:w="692"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4.4A</w:t>
            </w:r>
          </w:p>
        </w:tc>
        <w:tc>
          <w:tcPr>
            <w:tcW w:w="111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872,819</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3"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9"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7"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872,819</w:t>
            </w:r>
            <w:r w:rsidRPr="00E84D20">
              <w:rPr>
                <w:rFonts w:cs="Calibri"/>
                <w:szCs w:val="18"/>
                <w:vertAlign w:val="superscript"/>
              </w:rPr>
              <w:t>4</w:t>
            </w:r>
          </w:p>
        </w:tc>
      </w:tr>
      <w:tr w:rsidR="003E6989" w:rsidTr="006A5410">
        <w:trPr>
          <w:trHeight w:val="255"/>
        </w:trPr>
        <w:tc>
          <w:tcPr>
            <w:tcW w:w="329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Provision for grants</w:t>
            </w:r>
          </w:p>
        </w:tc>
        <w:tc>
          <w:tcPr>
            <w:tcW w:w="692"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4.4A</w:t>
            </w:r>
          </w:p>
        </w:tc>
        <w:tc>
          <w:tcPr>
            <w:tcW w:w="111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6,959,011</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3"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6,068,013</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9"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5,794,051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7"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1,164,960</w:t>
            </w:r>
            <w:r w:rsidRPr="00E84D20">
              <w:rPr>
                <w:rFonts w:cs="Calibri"/>
                <w:szCs w:val="18"/>
                <w:vertAlign w:val="superscript"/>
              </w:rPr>
              <w:t>5</w:t>
            </w:r>
          </w:p>
        </w:tc>
      </w:tr>
      <w:tr w:rsidR="003E6989" w:rsidTr="006A5410">
        <w:trPr>
          <w:trHeight w:val="255"/>
        </w:trPr>
        <w:tc>
          <w:tcPr>
            <w:tcW w:w="3290"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Total provisions</w:t>
            </w:r>
          </w:p>
        </w:tc>
        <w:tc>
          <w:tcPr>
            <w:tcW w:w="692"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18"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7,831,830</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53"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6,068,013</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9"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5,794,051</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7"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2,037,779</w:t>
            </w:r>
          </w:p>
        </w:tc>
      </w:tr>
      <w:tr w:rsidR="003E6989" w:rsidTr="006A5410">
        <w:trPr>
          <w:trHeight w:val="255"/>
        </w:trPr>
        <w:tc>
          <w:tcPr>
            <w:tcW w:w="329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692"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18"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53"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9"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r>
      <w:tr w:rsidR="003E6989" w:rsidTr="006A5410">
        <w:trPr>
          <w:trHeight w:val="480"/>
        </w:trPr>
        <w:tc>
          <w:tcPr>
            <w:tcW w:w="3290"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Total liabilities administered on behalf of Government</w:t>
            </w:r>
          </w:p>
        </w:tc>
        <w:tc>
          <w:tcPr>
            <w:tcW w:w="692" w:type="dxa"/>
            <w:tcBorders>
              <w:top w:val="nil"/>
              <w:left w:val="nil"/>
              <w:bottom w:val="single" w:sz="4" w:space="0" w:color="D9D9D9"/>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18"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8,079,124</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53"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6,176,195</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9"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5,923,763</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7"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2,155,361</w:t>
            </w:r>
          </w:p>
        </w:tc>
      </w:tr>
      <w:tr w:rsidR="003E6989" w:rsidTr="006A5410">
        <w:trPr>
          <w:trHeight w:val="255"/>
        </w:trPr>
        <w:tc>
          <w:tcPr>
            <w:tcW w:w="329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692"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18"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53"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9"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r>
      <w:tr w:rsidR="003E6989" w:rsidTr="006A5410">
        <w:trPr>
          <w:trHeight w:val="270"/>
        </w:trPr>
        <w:tc>
          <w:tcPr>
            <w:tcW w:w="3290"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Net assets (liabilities)</w:t>
            </w:r>
          </w:p>
        </w:tc>
        <w:tc>
          <w:tcPr>
            <w:tcW w:w="692"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118"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31,981,945</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53"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26,928,237</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9"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33,740,723</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7"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(1,758,778)</w:t>
            </w:r>
          </w:p>
        </w:tc>
      </w:tr>
      <w:tr w:rsidR="003E6989" w:rsidTr="006A5410">
        <w:trPr>
          <w:trHeight w:val="270"/>
        </w:trPr>
        <w:tc>
          <w:tcPr>
            <w:tcW w:w="3290"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692"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118"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53"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69"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6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r>
    </w:tbl>
    <w:p w:rsidR="003E6989" w:rsidRDefault="003E6989" w:rsidP="003E6989">
      <w:pPr>
        <w:pStyle w:val="GreyShadeTableBreak"/>
        <w:shd w:val="clear" w:color="auto" w:fill="auto"/>
        <w:sectPr w:rsidR="003E6989" w:rsidSect="006A5410">
          <w:headerReference w:type="default" r:id="rId24"/>
          <w:pgSz w:w="11906" w:h="16838"/>
          <w:pgMar w:top="1134" w:right="1134" w:bottom="1134" w:left="1134" w:header="958" w:footer="737" w:gutter="0"/>
          <w:cols w:space="720"/>
        </w:sectPr>
      </w:pPr>
      <w:bookmarkStart w:id="98" w:name="RANGE!D7:I39"/>
      <w:bookmarkStart w:id="99" w:name="RANGE!D7:H38"/>
      <w:bookmarkStart w:id="100" w:name="RANGE!D6:H80"/>
      <w:bookmarkStart w:id="101" w:name="RANGE!D6:H64"/>
      <w:bookmarkStart w:id="102" w:name="RANGE!D6:H50"/>
      <w:bookmarkStart w:id="103" w:name="RANGE!D6:H52"/>
      <w:bookmarkStart w:id="104" w:name="RANGE!D7:H53"/>
      <w:bookmarkStart w:id="105" w:name="RANGE!D7:H52"/>
      <w:bookmarkStart w:id="106" w:name="RANGE!D7:H33"/>
      <w:bookmarkStart w:id="107" w:name="RANGE!D7:H37"/>
      <w:bookmarkEnd w:id="98"/>
      <w:bookmarkEnd w:id="99"/>
      <w:bookmarkEnd w:id="100"/>
      <w:bookmarkEnd w:id="101"/>
      <w:bookmarkEnd w:id="102"/>
      <w:bookmarkEnd w:id="103"/>
      <w:bookmarkEnd w:id="104"/>
      <w:bookmarkEnd w:id="105"/>
      <w:bookmarkEnd w:id="106"/>
      <w:bookmarkEnd w:id="107"/>
    </w:p>
    <w:p w:rsidR="00403CAE" w:rsidRDefault="00403CAE" w:rsidP="00403CAE">
      <w:pPr>
        <w:pStyle w:val="Heading1"/>
      </w:pPr>
      <w:bookmarkStart w:id="108" w:name="_Toc464726278"/>
      <w:bookmarkStart w:id="109" w:name="_Toc464726560"/>
      <w:bookmarkStart w:id="110" w:name="_Toc464726614"/>
      <w:r>
        <w:lastRenderedPageBreak/>
        <w:t>Department of Education and Training</w:t>
      </w:r>
      <w:r>
        <w:br/>
        <w:t>BUDGETARY REPORTING</w:t>
      </w:r>
      <w:r>
        <w:br/>
        <w:t>as at 30 June 2016</w:t>
      </w:r>
      <w:bookmarkEnd w:id="108"/>
      <w:bookmarkEnd w:id="109"/>
      <w:bookmarkEnd w:id="110"/>
    </w:p>
    <w:p w:rsidR="003E6989" w:rsidRDefault="003E6989" w:rsidP="003E6989">
      <w:pPr>
        <w:pStyle w:val="GreyShadeTableBreak"/>
        <w:shd w:val="clear" w:color="auto" w:fill="auto"/>
      </w:pPr>
    </w:p>
    <w:p w:rsidR="003E6989" w:rsidRDefault="003E6989" w:rsidP="003E6989">
      <w:pPr>
        <w:pStyle w:val="GreyShadeTableBreak"/>
        <w:shd w:val="clear" w:color="auto" w:fill="auto"/>
      </w:pPr>
    </w:p>
    <w:p w:rsidR="003E6989" w:rsidRPr="009E3BA6" w:rsidRDefault="003E6989" w:rsidP="003E6989">
      <w:pPr>
        <w:pStyle w:val="PolicyTextAdminbold"/>
        <w:pBdr>
          <w:bottom w:val="single" w:sz="4" w:space="1" w:color="009560"/>
        </w:pBdr>
      </w:pPr>
    </w:p>
    <w:p w:rsidR="003E6989" w:rsidRPr="00B452C5" w:rsidRDefault="003E6989" w:rsidP="003E6989">
      <w:pPr>
        <w:pStyle w:val="PolicyTextAdminbold"/>
        <w:pBdr>
          <w:bottom w:val="single" w:sz="4" w:space="1" w:color="009560"/>
        </w:pBdr>
      </w:pPr>
      <w:r w:rsidRPr="00B452C5">
        <w:t>Budget Variances Commentary</w:t>
      </w:r>
    </w:p>
    <w:p w:rsidR="003E6989" w:rsidRPr="00C85147" w:rsidRDefault="003E6989" w:rsidP="003E6989">
      <w:pPr>
        <w:pStyle w:val="PolicyTextAdminbold"/>
        <w:pBdr>
          <w:bottom w:val="single" w:sz="4" w:space="1" w:color="009560"/>
        </w:pBdr>
      </w:pPr>
      <w:r>
        <w:t>Administered variances</w:t>
      </w:r>
    </w:p>
    <w:p w:rsidR="003E6989" w:rsidRDefault="003E6989" w:rsidP="003E6989">
      <w:pPr>
        <w:pStyle w:val="PolicyTextAdmin"/>
        <w:pBdr>
          <w:bottom w:val="single" w:sz="4" w:space="1" w:color="009560"/>
        </w:pBdr>
      </w:pPr>
      <w:r>
        <w:t xml:space="preserve">Variance explanations are provided for administered variances greater than 5 percent and $50 million. </w:t>
      </w:r>
    </w:p>
    <w:p w:rsidR="003E6989" w:rsidRDefault="003E6989" w:rsidP="003E6989">
      <w:pPr>
        <w:pStyle w:val="PolicyTextAdmin"/>
        <w:pBdr>
          <w:bottom w:val="single" w:sz="4" w:space="1" w:color="009560"/>
        </w:pBdr>
      </w:pPr>
    </w:p>
    <w:p w:rsidR="003E6989" w:rsidRDefault="003E6989" w:rsidP="003E6989">
      <w:pPr>
        <w:pStyle w:val="PolicyTextAdmin"/>
        <w:pBdr>
          <w:bottom w:val="single" w:sz="4" w:space="1" w:color="009560"/>
        </w:pBdr>
      </w:pPr>
      <w:r w:rsidRPr="0096226E">
        <w:rPr>
          <w:vertAlign w:val="superscript"/>
        </w:rPr>
        <w:t>1</w:t>
      </w:r>
      <w:r>
        <w:t xml:space="preserve"> The 2015-2016 Education Portfolio Budget Statements (PBS) as presented to Parliament contains the Original Budget. The PBS was completed prior to the finalisation of the 2014-15 Financial Statements. It is noted, during 2015-16 the Administrative Arrangements Order (AAO) of 21 September 2015 transferred the Early Childhood Education and Care functions from the Department of Social Services (DSS).</w:t>
      </w:r>
    </w:p>
    <w:p w:rsidR="003E6989" w:rsidRDefault="003E6989" w:rsidP="003E6989">
      <w:pPr>
        <w:pStyle w:val="PolicyTextAdmin"/>
        <w:pBdr>
          <w:bottom w:val="single" w:sz="4" w:space="1" w:color="009560"/>
        </w:pBdr>
      </w:pPr>
      <w:r w:rsidRPr="001B6DC8">
        <w:rPr>
          <w:vertAlign w:val="superscript"/>
        </w:rPr>
        <w:t>2</w:t>
      </w:r>
      <w:r>
        <w:t xml:space="preserve"> Supplier Expenses are less than anticipated at PBS largely due to underspends in a range of </w:t>
      </w:r>
      <w:r w:rsidRPr="00EA6349">
        <w:t>Building skills and capability programs</w:t>
      </w:r>
      <w:r>
        <w:t xml:space="preserve">. </w:t>
      </w:r>
    </w:p>
    <w:p w:rsidR="003E6989" w:rsidRDefault="003E6989" w:rsidP="003E6989">
      <w:pPr>
        <w:pStyle w:val="PolicyTextAdmin"/>
        <w:pBdr>
          <w:bottom w:val="single" w:sz="4" w:space="1" w:color="009560"/>
        </w:pBdr>
      </w:pPr>
      <w:r w:rsidRPr="001B6DC8">
        <w:rPr>
          <w:vertAlign w:val="superscript"/>
        </w:rPr>
        <w:t>3</w:t>
      </w:r>
      <w:r>
        <w:t xml:space="preserve"> Subsidy Expenses are less than expected due to underspends across the Building skills and capability programs. </w:t>
      </w:r>
    </w:p>
    <w:p w:rsidR="003E6989" w:rsidRPr="001B6DC8" w:rsidRDefault="003E6989" w:rsidP="003E6989">
      <w:pPr>
        <w:pStyle w:val="PolicyTextAdmin"/>
        <w:pBdr>
          <w:bottom w:val="single" w:sz="4" w:space="1" w:color="009560"/>
        </w:pBdr>
      </w:pPr>
      <w:r w:rsidRPr="001B6DC8">
        <w:rPr>
          <w:vertAlign w:val="superscript"/>
        </w:rPr>
        <w:t>4</w:t>
      </w:r>
      <w:r>
        <w:rPr>
          <w:vertAlign w:val="superscript"/>
        </w:rPr>
        <w:t xml:space="preserve"> </w:t>
      </w:r>
      <w:r>
        <w:t xml:space="preserve">The variance primarily relates to the transfer of the Early Childhood Education and Care functions from the Department of Social Services. </w:t>
      </w:r>
    </w:p>
    <w:p w:rsidR="003E6989" w:rsidRDefault="003E6989" w:rsidP="003E6989">
      <w:pPr>
        <w:pStyle w:val="PolicyTextAdmin"/>
        <w:pBdr>
          <w:bottom w:val="single" w:sz="4" w:space="1" w:color="009560"/>
        </w:pBdr>
      </w:pPr>
      <w:r w:rsidRPr="002753E3">
        <w:rPr>
          <w:vertAlign w:val="superscript"/>
        </w:rPr>
        <w:t>5</w:t>
      </w:r>
      <w:r>
        <w:t xml:space="preserve"> The variance is primarily due to the actuarial review on the Higher Education Superannuation Program (HESP) recognising additional grant expenditure relating to the Interest and Service costs. The balance of the program valuation and actuarial adjustments is recognised in Provision for grants liability. </w:t>
      </w:r>
    </w:p>
    <w:p w:rsidR="003E6989" w:rsidRDefault="003E6989" w:rsidP="003E6989">
      <w:pPr>
        <w:pStyle w:val="PolicyTextAdmin"/>
        <w:pBdr>
          <w:bottom w:val="single" w:sz="4" w:space="1" w:color="009560"/>
        </w:pBdr>
      </w:pPr>
      <w:r w:rsidRPr="002753E3">
        <w:rPr>
          <w:vertAlign w:val="superscript"/>
        </w:rPr>
        <w:t>6</w:t>
      </w:r>
      <w:r>
        <w:t xml:space="preserve"> The variance relates to the concessional loan discount on the Higher Education Loan Program (HELP) and the Trade Support Loan (TSL) program, subject to actuarial valuations. </w:t>
      </w:r>
    </w:p>
    <w:p w:rsidR="003E6989" w:rsidRDefault="003E6989" w:rsidP="003E6989">
      <w:pPr>
        <w:pStyle w:val="PolicyTextAdmin"/>
        <w:pBdr>
          <w:bottom w:val="single" w:sz="4" w:space="1" w:color="009560"/>
        </w:pBdr>
      </w:pPr>
      <w:r w:rsidRPr="00CC00B4">
        <w:rPr>
          <w:vertAlign w:val="superscript"/>
        </w:rPr>
        <w:t>7</w:t>
      </w:r>
      <w:r>
        <w:t xml:space="preserve"> The variance relates to the actuarial valuations for HELP and TSL. Additionally in the actual figures there is a netting off of the fair value loss and the fair value gain reported separately in the PBS. </w:t>
      </w:r>
    </w:p>
    <w:p w:rsidR="003E6989" w:rsidRDefault="003E6989" w:rsidP="003E6989">
      <w:pPr>
        <w:pStyle w:val="PolicyTextAdmin"/>
        <w:pBdr>
          <w:bottom w:val="single" w:sz="4" w:space="1" w:color="009560"/>
        </w:pBdr>
      </w:pPr>
      <w:r w:rsidRPr="00A60DBC">
        <w:rPr>
          <w:vertAlign w:val="superscript"/>
        </w:rPr>
        <w:t>8</w:t>
      </w:r>
      <w:r>
        <w:t xml:space="preserve"> The variances relate to the Special Account balances held by the department. Over 50 percent of the balance is due to the Early Years Quality Fund (EYQF) account transferred from DSS. The Special Account balances are not recorded in the PBS. </w:t>
      </w:r>
    </w:p>
    <w:p w:rsidR="003E6989" w:rsidRPr="00B452C5" w:rsidRDefault="003E6989" w:rsidP="003E6989">
      <w:pPr>
        <w:pStyle w:val="PolicyTextAdmin"/>
        <w:pBdr>
          <w:bottom w:val="single" w:sz="4" w:space="1" w:color="009560"/>
        </w:pBdr>
      </w:pPr>
    </w:p>
    <w:p w:rsidR="003E6989" w:rsidRDefault="003E6989" w:rsidP="003E6989">
      <w:pPr>
        <w:spacing w:line="240" w:lineRule="auto"/>
        <w:sectPr w:rsidR="003E6989" w:rsidSect="006A5410">
          <w:headerReference w:type="default" r:id="rId25"/>
          <w:pgSz w:w="11906" w:h="16838"/>
          <w:pgMar w:top="1134" w:right="1134" w:bottom="1134" w:left="1134" w:header="958" w:footer="737" w:gutter="0"/>
          <w:cols w:space="720"/>
        </w:sectPr>
      </w:pPr>
    </w:p>
    <w:p w:rsidR="00403CAE" w:rsidRDefault="00403CAE" w:rsidP="00403CAE">
      <w:pPr>
        <w:pStyle w:val="Heading1"/>
      </w:pPr>
      <w:bookmarkStart w:id="111" w:name="_Toc464726279"/>
      <w:bookmarkStart w:id="112" w:name="_Toc464726561"/>
      <w:bookmarkStart w:id="113" w:name="_Toc464726615"/>
      <w:bookmarkStart w:id="114" w:name="RANGE!E7:E35"/>
      <w:bookmarkStart w:id="115" w:name="Note_AEQTABLE1" w:colFirst="0" w:colLast="0"/>
      <w:r>
        <w:lastRenderedPageBreak/>
        <w:t>Department of Education and Training</w:t>
      </w:r>
      <w:r>
        <w:br/>
        <w:t>ADMINISTERED RECONCILIATION SCHEDULE</w:t>
      </w:r>
      <w:r>
        <w:br/>
        <w:t>for the period ended 30 June 2016</w:t>
      </w:r>
      <w:bookmarkEnd w:id="111"/>
      <w:bookmarkEnd w:id="112"/>
      <w:bookmarkEnd w:id="113"/>
    </w:p>
    <w:p w:rsidR="00403CAE" w:rsidRDefault="00403CAE" w:rsidP="006A5410">
      <w:pPr>
        <w:rPr>
          <w:rFonts w:ascii="Arial" w:hAnsi="Arial" w:cs="Arial"/>
          <w:sz w:val="16"/>
          <w:szCs w:val="16"/>
        </w:rPr>
        <w:sectPr w:rsidR="00403CAE" w:rsidSect="006A5410">
          <w:headerReference w:type="default" r:id="rId26"/>
          <w:pgSz w:w="11906" w:h="16838"/>
          <w:pgMar w:top="1134" w:right="1134" w:bottom="1134" w:left="1134" w:header="958" w:footer="737" w:gutter="0"/>
          <w:cols w:space="720"/>
        </w:sectPr>
      </w:pPr>
    </w:p>
    <w:tbl>
      <w:tblPr>
        <w:tblW w:w="9087" w:type="dxa"/>
        <w:tblInd w:w="80" w:type="dxa"/>
        <w:tblLayout w:type="fixed"/>
        <w:tblLook w:val="04A0" w:firstRow="1" w:lastRow="0" w:firstColumn="1" w:lastColumn="0" w:noHBand="0" w:noVBand="1"/>
      </w:tblPr>
      <w:tblGrid>
        <w:gridCol w:w="5777"/>
        <w:gridCol w:w="1687"/>
        <w:gridCol w:w="279"/>
        <w:gridCol w:w="1344"/>
      </w:tblGrid>
      <w:tr w:rsidR="003E6989" w:rsidTr="006A5410">
        <w:trPr>
          <w:trHeight w:val="255"/>
        </w:trPr>
        <w:tc>
          <w:tcPr>
            <w:tcW w:w="539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lastRenderedPageBreak/>
              <w:t> </w:t>
            </w:r>
            <w:bookmarkEnd w:id="114"/>
          </w:p>
        </w:tc>
        <w:tc>
          <w:tcPr>
            <w:tcW w:w="1576"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bookmarkStart w:id="116" w:name="RANGE!F7:F35"/>
            <w:r>
              <w:rPr>
                <w:rFonts w:cs="Calibri"/>
                <w:b/>
                <w:bCs/>
                <w:szCs w:val="18"/>
              </w:rPr>
              <w:t>2016</w:t>
            </w:r>
            <w:bookmarkEnd w:id="116"/>
          </w:p>
        </w:tc>
        <w:tc>
          <w:tcPr>
            <w:tcW w:w="261"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2015</w:t>
            </w:r>
          </w:p>
        </w:tc>
      </w:tr>
      <w:bookmarkEnd w:id="115"/>
      <w:tr w:rsidR="003E6989" w:rsidTr="006A5410">
        <w:trPr>
          <w:trHeight w:val="255"/>
        </w:trPr>
        <w:tc>
          <w:tcPr>
            <w:tcW w:w="539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576"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$'000</w:t>
            </w:r>
          </w:p>
        </w:tc>
        <w:tc>
          <w:tcPr>
            <w:tcW w:w="261"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539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Opening assets less liabilities as at 1 July</w:t>
            </w:r>
          </w:p>
        </w:tc>
        <w:tc>
          <w:tcPr>
            <w:tcW w:w="157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26,928,237</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20,341,243</w:t>
            </w:r>
          </w:p>
        </w:tc>
      </w:tr>
      <w:tr w:rsidR="003E6989" w:rsidTr="006A5410">
        <w:trPr>
          <w:trHeight w:val="255"/>
        </w:trPr>
        <w:tc>
          <w:tcPr>
            <w:tcW w:w="5396"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Adjustment for errors</w:t>
            </w:r>
          </w:p>
        </w:tc>
        <w:tc>
          <w:tcPr>
            <w:tcW w:w="157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 -</w:t>
            </w:r>
          </w:p>
        </w:tc>
        <w:tc>
          <w:tcPr>
            <w:tcW w:w="261"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 -</w:t>
            </w:r>
          </w:p>
        </w:tc>
      </w:tr>
      <w:tr w:rsidR="003E6989" w:rsidTr="006A5410">
        <w:trPr>
          <w:trHeight w:val="255"/>
        </w:trPr>
        <w:tc>
          <w:tcPr>
            <w:tcW w:w="5396"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Opening balance adjustment - retained earnings</w:t>
            </w:r>
          </w:p>
        </w:tc>
        <w:tc>
          <w:tcPr>
            <w:tcW w:w="157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c>
          <w:tcPr>
            <w:tcW w:w="261"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539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Adjusted opening assets less liabilities</w:t>
            </w:r>
          </w:p>
        </w:tc>
        <w:tc>
          <w:tcPr>
            <w:tcW w:w="157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26,928,237</w:t>
            </w:r>
          </w:p>
        </w:tc>
        <w:tc>
          <w:tcPr>
            <w:tcW w:w="261" w:type="dxa"/>
            <w:tcBorders>
              <w:top w:val="nil"/>
              <w:left w:val="nil"/>
              <w:bottom w:val="nil"/>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20,341,243</w:t>
            </w:r>
          </w:p>
        </w:tc>
      </w:tr>
      <w:tr w:rsidR="003E6989" w:rsidTr="006A5410">
        <w:trPr>
          <w:trHeight w:val="255"/>
        </w:trPr>
        <w:tc>
          <w:tcPr>
            <w:tcW w:w="539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Net cost of (contribution by) services</w:t>
            </w:r>
          </w:p>
        </w:tc>
        <w:tc>
          <w:tcPr>
            <w:tcW w:w="1576" w:type="dxa"/>
            <w:tcBorders>
              <w:top w:val="nil"/>
              <w:left w:val="nil"/>
              <w:bottom w:val="nil"/>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261" w:type="dxa"/>
            <w:tcBorders>
              <w:top w:val="nil"/>
              <w:left w:val="nil"/>
              <w:bottom w:val="nil"/>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5396"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Income</w:t>
            </w:r>
          </w:p>
        </w:tc>
        <w:tc>
          <w:tcPr>
            <w:tcW w:w="157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1,352,658</w:t>
            </w:r>
          </w:p>
        </w:tc>
        <w:tc>
          <w:tcPr>
            <w:tcW w:w="261"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2,641,817</w:t>
            </w:r>
          </w:p>
        </w:tc>
      </w:tr>
      <w:tr w:rsidR="003E6989" w:rsidTr="006A5410">
        <w:trPr>
          <w:trHeight w:val="255"/>
        </w:trPr>
        <w:tc>
          <w:tcPr>
            <w:tcW w:w="5396"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Expenses</w:t>
            </w:r>
          </w:p>
        </w:tc>
        <w:tc>
          <w:tcPr>
            <w:tcW w:w="1576" w:type="dxa"/>
            <w:tcBorders>
              <w:top w:val="nil"/>
              <w:left w:val="nil"/>
              <w:bottom w:val="nil"/>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261"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5396" w:type="dxa"/>
            <w:tcBorders>
              <w:top w:val="nil"/>
              <w:left w:val="nil"/>
              <w:bottom w:val="nil"/>
              <w:right w:val="nil"/>
            </w:tcBorders>
            <w:shd w:val="clear" w:color="000000" w:fill="D9D9D9"/>
            <w:noWrap/>
            <w:vAlign w:val="bottom"/>
            <w:hideMark/>
          </w:tcPr>
          <w:p w:rsidR="003E6989" w:rsidRDefault="003E6989" w:rsidP="003E6989">
            <w:pPr>
              <w:ind w:firstLineChars="200" w:firstLine="360"/>
              <w:rPr>
                <w:rFonts w:cs="Calibri"/>
                <w:szCs w:val="18"/>
              </w:rPr>
            </w:pPr>
            <w:r>
              <w:rPr>
                <w:rFonts w:cs="Calibri"/>
                <w:szCs w:val="18"/>
              </w:rPr>
              <w:t>Payments to entities other than Corporate Commonwealth entities</w:t>
            </w:r>
          </w:p>
        </w:tc>
        <w:tc>
          <w:tcPr>
            <w:tcW w:w="157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(33,457,409)</w:t>
            </w:r>
          </w:p>
        </w:tc>
        <w:tc>
          <w:tcPr>
            <w:tcW w:w="261" w:type="dxa"/>
            <w:tcBorders>
              <w:top w:val="nil"/>
              <w:left w:val="nil"/>
              <w:bottom w:val="nil"/>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(30,517,646)</w:t>
            </w:r>
          </w:p>
        </w:tc>
      </w:tr>
      <w:tr w:rsidR="003E6989" w:rsidTr="006A5410">
        <w:trPr>
          <w:trHeight w:val="255"/>
        </w:trPr>
        <w:tc>
          <w:tcPr>
            <w:tcW w:w="5396" w:type="dxa"/>
            <w:tcBorders>
              <w:top w:val="nil"/>
              <w:left w:val="nil"/>
              <w:bottom w:val="nil"/>
              <w:right w:val="nil"/>
            </w:tcBorders>
            <w:shd w:val="clear" w:color="000000" w:fill="D9D9D9"/>
            <w:noWrap/>
            <w:vAlign w:val="bottom"/>
            <w:hideMark/>
          </w:tcPr>
          <w:p w:rsidR="003E6989" w:rsidRDefault="003E6989" w:rsidP="003E6989">
            <w:pPr>
              <w:ind w:firstLineChars="200" w:firstLine="360"/>
              <w:rPr>
                <w:rFonts w:cs="Calibri"/>
                <w:szCs w:val="18"/>
              </w:rPr>
            </w:pPr>
            <w:r>
              <w:rPr>
                <w:rFonts w:cs="Calibri"/>
                <w:szCs w:val="18"/>
              </w:rPr>
              <w:t>Payments to Corporate Commonwealth Entities</w:t>
            </w:r>
          </w:p>
        </w:tc>
        <w:tc>
          <w:tcPr>
            <w:tcW w:w="157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(15,009)</w:t>
            </w:r>
          </w:p>
        </w:tc>
        <w:tc>
          <w:tcPr>
            <w:tcW w:w="261" w:type="dxa"/>
            <w:tcBorders>
              <w:top w:val="nil"/>
              <w:left w:val="nil"/>
              <w:bottom w:val="nil"/>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(13,370)</w:t>
            </w:r>
          </w:p>
        </w:tc>
      </w:tr>
      <w:tr w:rsidR="003E6989" w:rsidTr="006A5410">
        <w:trPr>
          <w:trHeight w:val="255"/>
        </w:trPr>
        <w:tc>
          <w:tcPr>
            <w:tcW w:w="539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Other comprehensive income</w:t>
            </w:r>
          </w:p>
        </w:tc>
        <w:tc>
          <w:tcPr>
            <w:tcW w:w="1576" w:type="dxa"/>
            <w:tcBorders>
              <w:top w:val="nil"/>
              <w:left w:val="nil"/>
              <w:bottom w:val="nil"/>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261" w:type="dxa"/>
            <w:tcBorders>
              <w:top w:val="nil"/>
              <w:left w:val="nil"/>
              <w:bottom w:val="nil"/>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5396" w:type="dxa"/>
            <w:tcBorders>
              <w:top w:val="nil"/>
              <w:left w:val="nil"/>
              <w:bottom w:val="nil"/>
              <w:right w:val="nil"/>
            </w:tcBorders>
            <w:shd w:val="clear" w:color="000000" w:fill="D9D9D9"/>
            <w:noWrap/>
            <w:vAlign w:val="bottom"/>
            <w:hideMark/>
          </w:tcPr>
          <w:p w:rsidR="003E6989" w:rsidRDefault="003E6989" w:rsidP="003E6989">
            <w:pPr>
              <w:ind w:firstLineChars="200" w:firstLine="360"/>
              <w:rPr>
                <w:rFonts w:cs="Calibri"/>
                <w:szCs w:val="18"/>
              </w:rPr>
            </w:pPr>
            <w:r>
              <w:rPr>
                <w:rFonts w:cs="Calibri"/>
                <w:szCs w:val="18"/>
              </w:rPr>
              <w:t>Revaluations transferred to (from) reserves</w:t>
            </w:r>
          </w:p>
        </w:tc>
        <w:tc>
          <w:tcPr>
            <w:tcW w:w="157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(31,593)</w:t>
            </w:r>
          </w:p>
        </w:tc>
        <w:tc>
          <w:tcPr>
            <w:tcW w:w="261" w:type="dxa"/>
            <w:tcBorders>
              <w:top w:val="nil"/>
              <w:left w:val="nil"/>
              <w:bottom w:val="nil"/>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904 </w:t>
            </w:r>
          </w:p>
        </w:tc>
      </w:tr>
      <w:tr w:rsidR="003E6989" w:rsidTr="006A5410">
        <w:trPr>
          <w:trHeight w:val="255"/>
        </w:trPr>
        <w:tc>
          <w:tcPr>
            <w:tcW w:w="539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Transfers (to) from the Australian Government:</w:t>
            </w:r>
          </w:p>
        </w:tc>
        <w:tc>
          <w:tcPr>
            <w:tcW w:w="157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61"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539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Appropriation transfers from Official Public Account</w:t>
            </w:r>
          </w:p>
        </w:tc>
        <w:tc>
          <w:tcPr>
            <w:tcW w:w="157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61"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5396"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Annual appropriations</w:t>
            </w:r>
          </w:p>
        </w:tc>
        <w:tc>
          <w:tcPr>
            <w:tcW w:w="157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61"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5396" w:type="dxa"/>
            <w:tcBorders>
              <w:top w:val="nil"/>
              <w:left w:val="nil"/>
              <w:bottom w:val="nil"/>
              <w:right w:val="nil"/>
            </w:tcBorders>
            <w:shd w:val="clear" w:color="000000" w:fill="D9D9D9"/>
            <w:noWrap/>
            <w:vAlign w:val="bottom"/>
            <w:hideMark/>
          </w:tcPr>
          <w:p w:rsidR="003E6989" w:rsidRDefault="003E6989" w:rsidP="003E6989">
            <w:pPr>
              <w:ind w:firstLineChars="200" w:firstLine="360"/>
              <w:rPr>
                <w:rFonts w:cs="Calibri"/>
                <w:szCs w:val="18"/>
              </w:rPr>
            </w:pPr>
            <w:r>
              <w:rPr>
                <w:rFonts w:cs="Calibri"/>
                <w:szCs w:val="18"/>
              </w:rPr>
              <w:t>Payments to entities other than Corporate Commonwealth entities</w:t>
            </w:r>
          </w:p>
        </w:tc>
        <w:tc>
          <w:tcPr>
            <w:tcW w:w="157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1,451,762 </w:t>
            </w:r>
          </w:p>
        </w:tc>
        <w:tc>
          <w:tcPr>
            <w:tcW w:w="261"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1,179,383 </w:t>
            </w:r>
          </w:p>
        </w:tc>
      </w:tr>
      <w:tr w:rsidR="003E6989" w:rsidTr="006A5410">
        <w:trPr>
          <w:trHeight w:val="255"/>
        </w:trPr>
        <w:tc>
          <w:tcPr>
            <w:tcW w:w="5396" w:type="dxa"/>
            <w:tcBorders>
              <w:top w:val="nil"/>
              <w:left w:val="nil"/>
              <w:bottom w:val="nil"/>
              <w:right w:val="nil"/>
            </w:tcBorders>
            <w:shd w:val="clear" w:color="000000" w:fill="D9D9D9"/>
            <w:noWrap/>
            <w:vAlign w:val="bottom"/>
            <w:hideMark/>
          </w:tcPr>
          <w:p w:rsidR="003E6989" w:rsidRDefault="003E6989" w:rsidP="003E6989">
            <w:pPr>
              <w:ind w:firstLineChars="200" w:firstLine="360"/>
              <w:rPr>
                <w:rFonts w:cs="Calibri"/>
                <w:szCs w:val="18"/>
              </w:rPr>
            </w:pPr>
            <w:r>
              <w:rPr>
                <w:rFonts w:cs="Calibri"/>
                <w:szCs w:val="18"/>
              </w:rPr>
              <w:t>Payments to Corporate Commonwealth Entities</w:t>
            </w:r>
          </w:p>
        </w:tc>
        <w:tc>
          <w:tcPr>
            <w:tcW w:w="157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15,009 </w:t>
            </w:r>
          </w:p>
        </w:tc>
        <w:tc>
          <w:tcPr>
            <w:tcW w:w="261"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13,370 </w:t>
            </w:r>
          </w:p>
        </w:tc>
      </w:tr>
      <w:tr w:rsidR="003E6989" w:rsidTr="006A5410">
        <w:trPr>
          <w:trHeight w:val="255"/>
        </w:trPr>
        <w:tc>
          <w:tcPr>
            <w:tcW w:w="5396"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 xml:space="preserve">Special appropriations (limited) </w:t>
            </w:r>
          </w:p>
        </w:tc>
        <w:tc>
          <w:tcPr>
            <w:tcW w:w="157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61"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5396" w:type="dxa"/>
            <w:tcBorders>
              <w:top w:val="nil"/>
              <w:left w:val="nil"/>
              <w:bottom w:val="nil"/>
              <w:right w:val="nil"/>
            </w:tcBorders>
            <w:shd w:val="clear" w:color="000000" w:fill="D9D9D9"/>
            <w:noWrap/>
            <w:vAlign w:val="bottom"/>
            <w:hideMark/>
          </w:tcPr>
          <w:p w:rsidR="003E6989" w:rsidRDefault="003E6989" w:rsidP="003E6989">
            <w:pPr>
              <w:ind w:firstLineChars="200" w:firstLine="360"/>
              <w:rPr>
                <w:rFonts w:cs="Calibri"/>
                <w:szCs w:val="18"/>
              </w:rPr>
            </w:pPr>
            <w:r>
              <w:rPr>
                <w:rFonts w:cs="Calibri"/>
                <w:szCs w:val="18"/>
              </w:rPr>
              <w:t>Payments to entities other than Corporate Commonwealth entities</w:t>
            </w:r>
          </w:p>
        </w:tc>
        <w:tc>
          <w:tcPr>
            <w:tcW w:w="157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 -</w:t>
            </w:r>
          </w:p>
        </w:tc>
        <w:tc>
          <w:tcPr>
            <w:tcW w:w="261"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5396"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 xml:space="preserve">Special appropriations (unlimited) </w:t>
            </w:r>
          </w:p>
        </w:tc>
        <w:tc>
          <w:tcPr>
            <w:tcW w:w="157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61"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5396" w:type="dxa"/>
            <w:tcBorders>
              <w:top w:val="nil"/>
              <w:left w:val="nil"/>
              <w:bottom w:val="nil"/>
              <w:right w:val="nil"/>
            </w:tcBorders>
            <w:shd w:val="clear" w:color="000000" w:fill="D9D9D9"/>
            <w:noWrap/>
            <w:vAlign w:val="bottom"/>
            <w:hideMark/>
          </w:tcPr>
          <w:p w:rsidR="003E6989" w:rsidRDefault="003E6989" w:rsidP="003E6989">
            <w:pPr>
              <w:ind w:firstLineChars="200" w:firstLine="360"/>
              <w:rPr>
                <w:rFonts w:cs="Calibri"/>
                <w:szCs w:val="18"/>
              </w:rPr>
            </w:pPr>
            <w:r>
              <w:rPr>
                <w:rFonts w:cs="Calibri"/>
                <w:szCs w:val="18"/>
              </w:rPr>
              <w:t>Payments to entities other than Corporate Commonwealth entities</w:t>
            </w:r>
          </w:p>
        </w:tc>
        <w:tc>
          <w:tcPr>
            <w:tcW w:w="157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38,466,432 </w:t>
            </w:r>
          </w:p>
        </w:tc>
        <w:tc>
          <w:tcPr>
            <w:tcW w:w="261"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34,755,501 </w:t>
            </w:r>
          </w:p>
        </w:tc>
      </w:tr>
      <w:tr w:rsidR="003E6989" w:rsidTr="006A5410">
        <w:trPr>
          <w:trHeight w:val="255"/>
        </w:trPr>
        <w:tc>
          <w:tcPr>
            <w:tcW w:w="5396"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Special accounts</w:t>
            </w:r>
          </w:p>
        </w:tc>
        <w:tc>
          <w:tcPr>
            <w:tcW w:w="157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 -</w:t>
            </w:r>
          </w:p>
        </w:tc>
        <w:tc>
          <w:tcPr>
            <w:tcW w:w="261"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539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Appropriation transfers to Official Public Account</w:t>
            </w:r>
          </w:p>
        </w:tc>
        <w:tc>
          <w:tcPr>
            <w:tcW w:w="157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61"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5396" w:type="dxa"/>
            <w:tcBorders>
              <w:top w:val="nil"/>
              <w:left w:val="nil"/>
              <w:bottom w:val="nil"/>
              <w:right w:val="nil"/>
            </w:tcBorders>
            <w:shd w:val="clear" w:color="000000" w:fill="D9D9D9"/>
            <w:noWrap/>
            <w:vAlign w:val="bottom"/>
            <w:hideMark/>
          </w:tcPr>
          <w:p w:rsidR="003E6989" w:rsidRDefault="003E6989" w:rsidP="003E6989">
            <w:pPr>
              <w:ind w:firstLineChars="200" w:firstLine="360"/>
              <w:rPr>
                <w:rFonts w:cs="Calibri"/>
                <w:szCs w:val="18"/>
              </w:rPr>
            </w:pPr>
            <w:r>
              <w:rPr>
                <w:rFonts w:cs="Calibri"/>
                <w:szCs w:val="18"/>
              </w:rPr>
              <w:t>Transfers to OPA</w:t>
            </w:r>
          </w:p>
        </w:tc>
        <w:tc>
          <w:tcPr>
            <w:tcW w:w="157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(2,279,438)</w:t>
            </w:r>
          </w:p>
        </w:tc>
        <w:tc>
          <w:tcPr>
            <w:tcW w:w="261"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(1,989,547)</w:t>
            </w:r>
          </w:p>
        </w:tc>
      </w:tr>
      <w:tr w:rsidR="003E6989" w:rsidTr="006A5410">
        <w:trPr>
          <w:trHeight w:val="255"/>
        </w:trPr>
        <w:tc>
          <w:tcPr>
            <w:tcW w:w="5396" w:type="dxa"/>
            <w:tcBorders>
              <w:top w:val="nil"/>
              <w:left w:val="nil"/>
              <w:bottom w:val="nil"/>
              <w:right w:val="nil"/>
            </w:tcBorders>
            <w:shd w:val="clear" w:color="000000" w:fill="D9D9D9"/>
            <w:noWrap/>
            <w:vAlign w:val="bottom"/>
            <w:hideMark/>
          </w:tcPr>
          <w:p w:rsidR="003E6989" w:rsidRDefault="003E6989" w:rsidP="003E6989">
            <w:pPr>
              <w:ind w:firstLineChars="200" w:firstLine="360"/>
              <w:rPr>
                <w:rFonts w:cs="Calibri"/>
                <w:szCs w:val="18"/>
              </w:rPr>
            </w:pPr>
            <w:r>
              <w:rPr>
                <w:rFonts w:cs="Calibri"/>
                <w:szCs w:val="18"/>
              </w:rPr>
              <w:t>Transfers to OPA (withholdings)</w:t>
            </w:r>
          </w:p>
        </w:tc>
        <w:tc>
          <w:tcPr>
            <w:tcW w:w="157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(14,374)</w:t>
            </w:r>
          </w:p>
        </w:tc>
        <w:tc>
          <w:tcPr>
            <w:tcW w:w="261"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(12,139)</w:t>
            </w:r>
          </w:p>
        </w:tc>
      </w:tr>
      <w:tr w:rsidR="003E6989" w:rsidTr="006A5410">
        <w:trPr>
          <w:trHeight w:val="255"/>
        </w:trPr>
        <w:tc>
          <w:tcPr>
            <w:tcW w:w="5396"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 xml:space="preserve">Restructuring </w:t>
            </w:r>
          </w:p>
        </w:tc>
        <w:tc>
          <w:tcPr>
            <w:tcW w:w="157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(434,327)</w:t>
            </w:r>
          </w:p>
        </w:tc>
        <w:tc>
          <w:tcPr>
            <w:tcW w:w="261"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528,753 </w:t>
            </w:r>
          </w:p>
        </w:tc>
      </w:tr>
      <w:tr w:rsidR="003E6989" w:rsidTr="006A5410">
        <w:trPr>
          <w:trHeight w:val="255"/>
        </w:trPr>
        <w:tc>
          <w:tcPr>
            <w:tcW w:w="5396" w:type="dxa"/>
            <w:tcBorders>
              <w:top w:val="nil"/>
              <w:left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Other movements</w:t>
            </w:r>
          </w:p>
        </w:tc>
        <w:tc>
          <w:tcPr>
            <w:tcW w:w="157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w:t>
            </w:r>
          </w:p>
        </w:tc>
        <w:tc>
          <w:tcPr>
            <w:tcW w:w="261" w:type="dxa"/>
            <w:tcBorders>
              <w:top w:val="nil"/>
              <w:left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(32)</w:t>
            </w:r>
          </w:p>
        </w:tc>
      </w:tr>
      <w:tr w:rsidR="003E6989" w:rsidTr="006A5410">
        <w:trPr>
          <w:trHeight w:val="270"/>
        </w:trPr>
        <w:tc>
          <w:tcPr>
            <w:tcW w:w="5396" w:type="dxa"/>
            <w:tcBorders>
              <w:top w:val="nil"/>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Closing assets less liabilities as at 30 June</w:t>
            </w:r>
          </w:p>
        </w:tc>
        <w:tc>
          <w:tcPr>
            <w:tcW w:w="157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31,981,945</w:t>
            </w:r>
          </w:p>
        </w:tc>
        <w:tc>
          <w:tcPr>
            <w:tcW w:w="261" w:type="dxa"/>
            <w:tcBorders>
              <w:top w:val="nil"/>
              <w:left w:val="nil"/>
              <w:bottom w:val="single" w:sz="24" w:space="0" w:color="D8D8D8"/>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125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26,928,237</w:t>
            </w:r>
          </w:p>
        </w:tc>
      </w:tr>
    </w:tbl>
    <w:p w:rsidR="003E6989" w:rsidRDefault="003E6989" w:rsidP="003E6989">
      <w:pPr>
        <w:pStyle w:val="GreyShadeTableBreak"/>
      </w:pPr>
      <w:bookmarkStart w:id="117" w:name="RANGE!E7:H35"/>
      <w:bookmarkStart w:id="118" w:name="RANGE!E7:H27"/>
      <w:bookmarkStart w:id="119" w:name="RANGE!D6:H56"/>
      <w:bookmarkStart w:id="120" w:name="RANGE!D6:H37"/>
      <w:bookmarkStart w:id="121" w:name="RANGE!D6:H36"/>
      <w:bookmarkStart w:id="122" w:name="RANGE!E7:H31"/>
      <w:bookmarkStart w:id="123" w:name="RANGE!E6:H30"/>
      <w:bookmarkStart w:id="124" w:name="RANGE!E6:H34"/>
      <w:bookmarkStart w:id="125" w:name="RANGE!E6:M33"/>
      <w:bookmarkStart w:id="126" w:name="RANGE!E6:M36"/>
      <w:bookmarkEnd w:id="117"/>
      <w:bookmarkEnd w:id="118"/>
      <w:bookmarkEnd w:id="119"/>
      <w:bookmarkEnd w:id="120"/>
      <w:bookmarkEnd w:id="121"/>
      <w:bookmarkEnd w:id="122"/>
      <w:bookmarkEnd w:id="123"/>
      <w:bookmarkEnd w:id="124"/>
      <w:bookmarkEnd w:id="125"/>
      <w:bookmarkEnd w:id="126"/>
    </w:p>
    <w:p w:rsidR="003E6989" w:rsidRDefault="003E6989" w:rsidP="003E6989">
      <w:pPr>
        <w:pStyle w:val="GreyShadeTableBreak"/>
      </w:pPr>
    </w:p>
    <w:p w:rsidR="003E6989" w:rsidRPr="004F0F98" w:rsidRDefault="003E6989" w:rsidP="003E6989">
      <w:pPr>
        <w:pStyle w:val="PolicyTextAdminbold"/>
      </w:pPr>
      <w:r w:rsidRPr="004F0F98">
        <w:t>Accounting Policy</w:t>
      </w:r>
    </w:p>
    <w:p w:rsidR="003E6989" w:rsidRPr="004F0F98" w:rsidRDefault="003E6989" w:rsidP="003E6989">
      <w:pPr>
        <w:pStyle w:val="PlicytextAdminUnderline"/>
      </w:pPr>
      <w:r w:rsidRPr="004F0F98">
        <w:t>Administered cash transfers to and from the Official Public Account</w:t>
      </w:r>
    </w:p>
    <w:p w:rsidR="003E6989" w:rsidRPr="006557EB" w:rsidRDefault="003E6989" w:rsidP="003E6989">
      <w:pPr>
        <w:pStyle w:val="PolicyTextAdmin"/>
      </w:pPr>
      <w:r w:rsidRPr="006557EB">
        <w:t xml:space="preserve">Revenue collected by the department for use by the Government rather than the department is administered revenue. Collections are transferred to the Official Public Account (OPA) maintained by the Department of Finance. Conversely, cash is drawn from the OPA to make payments under Parliamentary appropriation on behalf of Government. These transfers to and from the OPA are adjustments to the administered cash held by the department on behalf of the </w:t>
      </w:r>
      <w:r>
        <w:t xml:space="preserve">Government and reported as such in the administered cash flow statement. </w:t>
      </w:r>
    </w:p>
    <w:p w:rsidR="003E6989" w:rsidRDefault="003E6989" w:rsidP="003E6989">
      <w:pPr>
        <w:spacing w:line="240" w:lineRule="auto"/>
        <w:sectPr w:rsidR="003E6989" w:rsidSect="00403CAE">
          <w:type w:val="continuous"/>
          <w:pgSz w:w="11906" w:h="16838"/>
          <w:pgMar w:top="1134" w:right="1134" w:bottom="1134" w:left="1134" w:header="958" w:footer="737" w:gutter="0"/>
          <w:cols w:space="720"/>
        </w:sectPr>
      </w:pPr>
    </w:p>
    <w:p w:rsidR="00403CAE" w:rsidRDefault="00403CAE" w:rsidP="00403CAE">
      <w:pPr>
        <w:pStyle w:val="Heading1"/>
      </w:pPr>
      <w:bookmarkStart w:id="127" w:name="_Toc464726280"/>
      <w:bookmarkStart w:id="128" w:name="_Toc464726562"/>
      <w:bookmarkStart w:id="129" w:name="_Toc464726616"/>
      <w:bookmarkStart w:id="130" w:name="Note_ACFTABLE1" w:colFirst="0" w:colLast="0"/>
      <w:r>
        <w:lastRenderedPageBreak/>
        <w:t>Department of Education and Training</w:t>
      </w:r>
      <w:r>
        <w:br/>
        <w:t>ADMINISTERED CASH FLOW STATEMENT</w:t>
      </w:r>
      <w:r>
        <w:br/>
        <w:t>for the period ended 30 June 2016</w:t>
      </w:r>
      <w:bookmarkEnd w:id="127"/>
      <w:bookmarkEnd w:id="128"/>
      <w:bookmarkEnd w:id="129"/>
    </w:p>
    <w:p w:rsidR="00403CAE" w:rsidRDefault="00403CAE" w:rsidP="006A5410">
      <w:pPr>
        <w:rPr>
          <w:rFonts w:ascii="Arial" w:hAnsi="Arial" w:cs="Arial"/>
          <w:sz w:val="16"/>
          <w:szCs w:val="16"/>
        </w:rPr>
        <w:sectPr w:rsidR="00403CAE" w:rsidSect="006A5410">
          <w:headerReference w:type="default" r:id="rId27"/>
          <w:pgSz w:w="11906" w:h="16838"/>
          <w:pgMar w:top="1134" w:right="1134" w:bottom="1134" w:left="1134" w:header="958" w:footer="737" w:gutter="0"/>
          <w:cols w:space="720"/>
        </w:sectPr>
      </w:pPr>
    </w:p>
    <w:tbl>
      <w:tblPr>
        <w:tblW w:w="9087" w:type="dxa"/>
        <w:tblInd w:w="80" w:type="dxa"/>
        <w:tblLayout w:type="fixed"/>
        <w:tblLook w:val="04A0" w:firstRow="1" w:lastRow="0" w:firstColumn="1" w:lastColumn="0" w:noHBand="0" w:noVBand="1"/>
      </w:tblPr>
      <w:tblGrid>
        <w:gridCol w:w="4950"/>
        <w:gridCol w:w="1291"/>
        <w:gridCol w:w="1291"/>
        <w:gridCol w:w="264"/>
        <w:gridCol w:w="1291"/>
      </w:tblGrid>
      <w:tr w:rsidR="003E6989" w:rsidTr="006A5410">
        <w:trPr>
          <w:trHeight w:val="255"/>
        </w:trPr>
        <w:tc>
          <w:tcPr>
            <w:tcW w:w="481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lastRenderedPageBreak/>
              <w:t> </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ascii="Arial" w:hAnsi="Arial" w:cs="Arial"/>
                <w:b/>
                <w:bCs/>
                <w:szCs w:val="18"/>
              </w:rPr>
            </w:pPr>
            <w:r>
              <w:rPr>
                <w:rFonts w:ascii="Arial" w:hAnsi="Arial" w:cs="Arial"/>
                <w:b/>
                <w:bCs/>
                <w:szCs w:val="18"/>
              </w:rPr>
              <w:t> </w:t>
            </w:r>
          </w:p>
        </w:tc>
        <w:tc>
          <w:tcPr>
            <w:tcW w:w="1256" w:type="dxa"/>
            <w:tcBorders>
              <w:top w:val="nil"/>
              <w:left w:val="nil"/>
              <w:bottom w:val="single" w:sz="4" w:space="0" w:color="D9D9D9"/>
              <w:right w:val="single" w:sz="4" w:space="0" w:color="D9D9D9"/>
            </w:tcBorders>
            <w:shd w:val="clear" w:color="000000" w:fill="D9D9D9"/>
            <w:vAlign w:val="bottom"/>
            <w:hideMark/>
          </w:tcPr>
          <w:p w:rsidR="003E6989" w:rsidRDefault="003E6989" w:rsidP="006A5410">
            <w:pPr>
              <w:jc w:val="right"/>
              <w:rPr>
                <w:rFonts w:cs="Calibri"/>
                <w:b/>
                <w:bCs/>
                <w:szCs w:val="18"/>
              </w:rPr>
            </w:pPr>
            <w:r>
              <w:rPr>
                <w:rFonts w:cs="Calibri"/>
                <w:b/>
                <w:bCs/>
                <w:szCs w:val="18"/>
              </w:rPr>
              <w:t>2016</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2015</w:t>
            </w:r>
          </w:p>
        </w:tc>
      </w:tr>
      <w:bookmarkEnd w:id="130"/>
      <w:tr w:rsidR="003E6989" w:rsidTr="006A5410">
        <w:trPr>
          <w:trHeight w:val="255"/>
        </w:trPr>
        <w:tc>
          <w:tcPr>
            <w:tcW w:w="481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b/>
                <w:bCs/>
                <w:szCs w:val="18"/>
              </w:rPr>
            </w:pPr>
            <w:r>
              <w:rPr>
                <w:rFonts w:cs="Calibri"/>
                <w:b/>
                <w:bCs/>
                <w:szCs w:val="18"/>
              </w:rPr>
              <w:t>Notes</w:t>
            </w:r>
          </w:p>
        </w:tc>
        <w:tc>
          <w:tcPr>
            <w:tcW w:w="1256" w:type="dxa"/>
            <w:tcBorders>
              <w:top w:val="nil"/>
              <w:left w:val="nil"/>
              <w:bottom w:val="single" w:sz="4" w:space="0" w:color="D9D9D9"/>
              <w:right w:val="single" w:sz="4" w:space="0" w:color="D9D9D9"/>
            </w:tcBorders>
            <w:shd w:val="clear" w:color="000000" w:fill="D9D9D9"/>
            <w:vAlign w:val="bottom"/>
            <w:hideMark/>
          </w:tcPr>
          <w:p w:rsidR="003E6989" w:rsidRDefault="003E6989" w:rsidP="006A5410">
            <w:pPr>
              <w:jc w:val="right"/>
              <w:rPr>
                <w:rFonts w:cs="Calibri"/>
                <w:b/>
                <w:bCs/>
                <w:szCs w:val="18"/>
              </w:rPr>
            </w:pPr>
            <w:r>
              <w:rPr>
                <w:rFonts w:cs="Calibri"/>
                <w:b/>
                <w:bCs/>
                <w:szCs w:val="18"/>
              </w:rPr>
              <w:t>$'000</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481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OPERATING ACTIVITIES</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ascii="Arial" w:hAnsi="Arial" w:cs="Arial"/>
                <w:b/>
                <w:bCs/>
                <w:szCs w:val="18"/>
              </w:rPr>
            </w:pPr>
            <w:r>
              <w:rPr>
                <w:rFonts w:ascii="Arial" w:hAnsi="Arial" w:cs="Arial"/>
                <w:b/>
                <w:bCs/>
                <w:szCs w:val="18"/>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481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Cash received</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4816"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Interest</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7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337 </w:t>
            </w:r>
          </w:p>
        </w:tc>
      </w:tr>
      <w:tr w:rsidR="003E6989" w:rsidTr="006A5410">
        <w:trPr>
          <w:trHeight w:val="255"/>
        </w:trPr>
        <w:tc>
          <w:tcPr>
            <w:tcW w:w="4816"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Net GST received</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1,103,762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1,048,886 </w:t>
            </w:r>
          </w:p>
        </w:tc>
      </w:tr>
      <w:tr w:rsidR="003E6989" w:rsidTr="006A5410">
        <w:trPr>
          <w:trHeight w:val="255"/>
        </w:trPr>
        <w:tc>
          <w:tcPr>
            <w:tcW w:w="4816"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Levies</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10,144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8,576 </w:t>
            </w:r>
          </w:p>
        </w:tc>
      </w:tr>
      <w:tr w:rsidR="003E6989" w:rsidTr="006A5410">
        <w:trPr>
          <w:trHeight w:val="255"/>
        </w:trPr>
        <w:tc>
          <w:tcPr>
            <w:tcW w:w="4816"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Other</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137,654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317,296 </w:t>
            </w:r>
          </w:p>
        </w:tc>
      </w:tr>
      <w:tr w:rsidR="003E6989" w:rsidTr="006A5410">
        <w:trPr>
          <w:trHeight w:val="255"/>
        </w:trPr>
        <w:tc>
          <w:tcPr>
            <w:tcW w:w="481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Total cash received</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1,251,567</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1,375,095</w:t>
            </w:r>
          </w:p>
        </w:tc>
      </w:tr>
      <w:tr w:rsidR="003E6989" w:rsidTr="006A5410">
        <w:trPr>
          <w:trHeight w:val="255"/>
        </w:trPr>
        <w:tc>
          <w:tcPr>
            <w:tcW w:w="481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481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Cash used</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4816"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Suppliers</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1,726,548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1,359,700 </w:t>
            </w:r>
          </w:p>
        </w:tc>
      </w:tr>
      <w:tr w:rsidR="003E6989" w:rsidTr="006A5410">
        <w:trPr>
          <w:trHeight w:val="255"/>
        </w:trPr>
        <w:tc>
          <w:tcPr>
            <w:tcW w:w="4816"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Subsidies</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327,810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144,309 </w:t>
            </w:r>
          </w:p>
        </w:tc>
      </w:tr>
      <w:tr w:rsidR="003E6989" w:rsidTr="006A5410">
        <w:trPr>
          <w:trHeight w:val="255"/>
        </w:trPr>
        <w:tc>
          <w:tcPr>
            <w:tcW w:w="4816"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Personal benefits</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5,044,934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3,601,627 </w:t>
            </w:r>
          </w:p>
        </w:tc>
      </w:tr>
      <w:tr w:rsidR="003E6989" w:rsidTr="006A5410">
        <w:trPr>
          <w:trHeight w:val="255"/>
        </w:trPr>
        <w:tc>
          <w:tcPr>
            <w:tcW w:w="4816"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Grants</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25,735,881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24,254,785 </w:t>
            </w:r>
          </w:p>
        </w:tc>
      </w:tr>
      <w:tr w:rsidR="003E6989" w:rsidTr="006A5410">
        <w:trPr>
          <w:trHeight w:val="255"/>
        </w:trPr>
        <w:tc>
          <w:tcPr>
            <w:tcW w:w="4816"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Payments to Corporate Commonwealth Entities</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15,009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13,370 </w:t>
            </w:r>
          </w:p>
        </w:tc>
      </w:tr>
      <w:tr w:rsidR="003E6989" w:rsidTr="006A5410">
        <w:trPr>
          <w:trHeight w:val="255"/>
        </w:trPr>
        <w:tc>
          <w:tcPr>
            <w:tcW w:w="481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Total cash used</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32,850,182</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29,373,791</w:t>
            </w:r>
          </w:p>
        </w:tc>
      </w:tr>
      <w:tr w:rsidR="003E6989" w:rsidTr="006A5410">
        <w:trPr>
          <w:trHeight w:val="270"/>
        </w:trPr>
        <w:tc>
          <w:tcPr>
            <w:tcW w:w="4816"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Net cash from (used by) operating activities</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center"/>
              <w:rPr>
                <w:rFonts w:cs="Calibri"/>
                <w:szCs w:val="18"/>
              </w:rPr>
            </w:pPr>
            <w:r>
              <w:rPr>
                <w:rFonts w:cs="Calibri"/>
                <w:szCs w:val="18"/>
              </w:rPr>
              <w:t>5.5B</w:t>
            </w:r>
          </w:p>
        </w:tc>
        <w:tc>
          <w:tcPr>
            <w:tcW w:w="1256" w:type="dxa"/>
            <w:tcBorders>
              <w:top w:val="nil"/>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(31,598,615)</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(27,998,696)</w:t>
            </w:r>
          </w:p>
        </w:tc>
      </w:tr>
      <w:tr w:rsidR="003E6989" w:rsidTr="006A5410">
        <w:trPr>
          <w:trHeight w:val="270"/>
        </w:trPr>
        <w:tc>
          <w:tcPr>
            <w:tcW w:w="481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481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INVESTING ACTIVITIES</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481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Cash received</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4816"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Repayments of advances and loans</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2,165,832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1,924,200 </w:t>
            </w:r>
          </w:p>
        </w:tc>
      </w:tr>
      <w:tr w:rsidR="003E6989" w:rsidTr="006A5410">
        <w:trPr>
          <w:trHeight w:val="255"/>
        </w:trPr>
        <w:tc>
          <w:tcPr>
            <w:tcW w:w="481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Total cash received</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2,165,832</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1,924,200</w:t>
            </w:r>
          </w:p>
        </w:tc>
      </w:tr>
      <w:tr w:rsidR="003E6989" w:rsidTr="006A5410">
        <w:trPr>
          <w:trHeight w:val="255"/>
        </w:trPr>
        <w:tc>
          <w:tcPr>
            <w:tcW w:w="481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Cash used</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4816"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Loans made</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8,295,624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7,920,396 </w:t>
            </w:r>
          </w:p>
        </w:tc>
      </w:tr>
      <w:tr w:rsidR="003E6989" w:rsidTr="006A5410">
        <w:trPr>
          <w:trHeight w:val="255"/>
        </w:trPr>
        <w:tc>
          <w:tcPr>
            <w:tcW w:w="481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Total cash used</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8,295,624</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7,920,396</w:t>
            </w:r>
          </w:p>
        </w:tc>
      </w:tr>
      <w:tr w:rsidR="003E6989" w:rsidTr="006A5410">
        <w:trPr>
          <w:trHeight w:val="270"/>
        </w:trPr>
        <w:tc>
          <w:tcPr>
            <w:tcW w:w="4816"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Net cash from (used by) investing activities</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nil"/>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(6,129,792)</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(5,996,196)</w:t>
            </w:r>
          </w:p>
        </w:tc>
      </w:tr>
      <w:tr w:rsidR="003E6989" w:rsidTr="006A5410">
        <w:trPr>
          <w:trHeight w:val="270"/>
        </w:trPr>
        <w:tc>
          <w:tcPr>
            <w:tcW w:w="481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4816"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Net increase (decrease) in cash held</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(37,728,407)</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(33,994,892)</w:t>
            </w:r>
          </w:p>
        </w:tc>
      </w:tr>
      <w:tr w:rsidR="003E6989" w:rsidTr="006A5410">
        <w:trPr>
          <w:trHeight w:val="255"/>
        </w:trPr>
        <w:tc>
          <w:tcPr>
            <w:tcW w:w="481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481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 xml:space="preserve">Cash from the Official Public Account </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4816"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Appropriations</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39,933,192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35,948,329 </w:t>
            </w:r>
          </w:p>
        </w:tc>
      </w:tr>
      <w:tr w:rsidR="003E6989" w:rsidTr="006A5410">
        <w:trPr>
          <w:trHeight w:val="255"/>
        </w:trPr>
        <w:tc>
          <w:tcPr>
            <w:tcW w:w="4816"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GST appropriations</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89,706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84,848 </w:t>
            </w:r>
          </w:p>
        </w:tc>
      </w:tr>
      <w:tr w:rsidR="003E6989" w:rsidTr="006A5410">
        <w:trPr>
          <w:trHeight w:val="255"/>
        </w:trPr>
        <w:tc>
          <w:tcPr>
            <w:tcW w:w="4816"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Special accounts</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73,494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239,710 </w:t>
            </w:r>
          </w:p>
        </w:tc>
      </w:tr>
      <w:tr w:rsidR="003E6989" w:rsidTr="006A5410">
        <w:trPr>
          <w:trHeight w:val="255"/>
        </w:trPr>
        <w:tc>
          <w:tcPr>
            <w:tcW w:w="481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 xml:space="preserve">Total cash from the official public account </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40,096,392</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36,272,887</w:t>
            </w:r>
          </w:p>
        </w:tc>
      </w:tr>
      <w:tr w:rsidR="003E6989" w:rsidTr="006A5410">
        <w:trPr>
          <w:trHeight w:val="255"/>
        </w:trPr>
        <w:tc>
          <w:tcPr>
            <w:tcW w:w="481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481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 xml:space="preserve">Cash to the Official Public Account </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4816"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Appropriations</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(2,279,420)</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(2,026,805)</w:t>
            </w:r>
          </w:p>
        </w:tc>
      </w:tr>
      <w:tr w:rsidR="003E6989" w:rsidTr="006A5410">
        <w:trPr>
          <w:trHeight w:val="255"/>
        </w:trPr>
        <w:tc>
          <w:tcPr>
            <w:tcW w:w="4816"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Return of GST appropriations</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(71,577)</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(76,669)</w:t>
            </w:r>
          </w:p>
        </w:tc>
      </w:tr>
      <w:tr w:rsidR="003E6989" w:rsidTr="006A5410">
        <w:trPr>
          <w:trHeight w:val="255"/>
        </w:trPr>
        <w:tc>
          <w:tcPr>
            <w:tcW w:w="4816"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Special accounts</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(16,988)</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(174,521)</w:t>
            </w:r>
          </w:p>
        </w:tc>
      </w:tr>
      <w:tr w:rsidR="003E6989" w:rsidTr="006A5410">
        <w:trPr>
          <w:trHeight w:val="255"/>
        </w:trPr>
        <w:tc>
          <w:tcPr>
            <w:tcW w:w="481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 xml:space="preserve">Total cash to the official public account </w:t>
            </w:r>
          </w:p>
        </w:tc>
        <w:tc>
          <w:tcPr>
            <w:tcW w:w="1256" w:type="dxa"/>
            <w:tcBorders>
              <w:top w:val="nil"/>
              <w:left w:val="nil"/>
              <w:bottom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(2,367,985)</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(2,277,995)</w:t>
            </w:r>
          </w:p>
        </w:tc>
      </w:tr>
      <w:tr w:rsidR="003E6989" w:rsidTr="006A5410">
        <w:trPr>
          <w:trHeight w:val="255"/>
        </w:trPr>
        <w:tc>
          <w:tcPr>
            <w:tcW w:w="4816" w:type="dxa"/>
            <w:tcBorders>
              <w:top w:val="nil"/>
              <w:left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right w:val="nil"/>
            </w:tcBorders>
            <w:shd w:val="clear" w:color="000000" w:fill="D9D9D9"/>
            <w:noWrap/>
            <w:vAlign w:val="bottom"/>
            <w:hideMark/>
          </w:tcPr>
          <w:p w:rsidR="003E6989" w:rsidRDefault="003E6989" w:rsidP="006A5410">
            <w:pPr>
              <w:jc w:val="center"/>
              <w:rPr>
                <w:rFonts w:cs="Calibri"/>
                <w:szCs w:val="18"/>
              </w:rPr>
            </w:pPr>
            <w:r>
              <w:rPr>
                <w:rFonts w:cs="Calibri"/>
                <w:szCs w:val="18"/>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70"/>
        </w:trPr>
        <w:tc>
          <w:tcPr>
            <w:tcW w:w="4816" w:type="dxa"/>
            <w:tcBorders>
              <w:top w:val="nil"/>
              <w:left w:val="nil"/>
              <w:bottom w:val="single" w:sz="24" w:space="0" w:color="D8D8D8"/>
              <w:right w:val="nil"/>
            </w:tcBorders>
            <w:shd w:val="clear" w:color="000000" w:fill="D9D9D9"/>
            <w:vAlign w:val="bottom"/>
            <w:hideMark/>
          </w:tcPr>
          <w:p w:rsidR="003E6989" w:rsidRDefault="003E6989" w:rsidP="006A5410">
            <w:pPr>
              <w:rPr>
                <w:rFonts w:cs="Calibri"/>
                <w:b/>
                <w:bCs/>
                <w:szCs w:val="18"/>
              </w:rPr>
            </w:pPr>
            <w:r>
              <w:rPr>
                <w:rFonts w:cs="Calibri"/>
                <w:b/>
                <w:bCs/>
                <w:szCs w:val="18"/>
              </w:rPr>
              <w:t>Cash and cash equivalents at the end of the reporting period</w:t>
            </w:r>
          </w:p>
        </w:tc>
        <w:tc>
          <w:tcPr>
            <w:tcW w:w="1256" w:type="dxa"/>
            <w:tcBorders>
              <w:top w:val="nil"/>
              <w:left w:val="nil"/>
              <w:bottom w:val="single" w:sz="24" w:space="0" w:color="D8D8D8"/>
              <w:right w:val="nil"/>
            </w:tcBorders>
            <w:shd w:val="clear" w:color="000000" w:fill="D9D9D9"/>
            <w:noWrap/>
            <w:vAlign w:val="bottom"/>
            <w:hideMark/>
          </w:tcPr>
          <w:p w:rsidR="003E6989" w:rsidRDefault="003E6989" w:rsidP="006A5410">
            <w:pPr>
              <w:jc w:val="center"/>
              <w:rPr>
                <w:rFonts w:cs="Calibri"/>
                <w:szCs w:val="18"/>
              </w:rPr>
            </w:pPr>
            <w:r>
              <w:rPr>
                <w:rFonts w:cs="Calibri"/>
                <w:szCs w:val="18"/>
              </w:rPr>
              <w:t>5.5B</w:t>
            </w:r>
          </w:p>
        </w:tc>
        <w:tc>
          <w:tcPr>
            <w:tcW w:w="125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w:t>
            </w:r>
          </w:p>
        </w:tc>
        <w:tc>
          <w:tcPr>
            <w:tcW w:w="257" w:type="dxa"/>
            <w:tcBorders>
              <w:top w:val="single" w:sz="4" w:space="0" w:color="D9D9D9"/>
              <w:left w:val="nil"/>
              <w:bottom w:val="single" w:sz="24" w:space="0" w:color="D8D8D8"/>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w:t>
            </w:r>
          </w:p>
        </w:tc>
      </w:tr>
    </w:tbl>
    <w:p w:rsidR="003E6989" w:rsidRDefault="003E6989" w:rsidP="003E6989">
      <w:pPr>
        <w:spacing w:line="240" w:lineRule="auto"/>
        <w:sectPr w:rsidR="003E6989" w:rsidSect="00403CAE">
          <w:type w:val="continuous"/>
          <w:pgSz w:w="11906" w:h="16838"/>
          <w:pgMar w:top="1134" w:right="1134" w:bottom="1134" w:left="1134" w:header="958" w:footer="737" w:gutter="0"/>
          <w:cols w:space="720"/>
        </w:sectPr>
      </w:pPr>
      <w:bookmarkStart w:id="131" w:name="RANGE!E7:I54"/>
      <w:bookmarkStart w:id="132" w:name="RANGE!E7:I53"/>
      <w:bookmarkStart w:id="133" w:name="RANGE!E7:I52"/>
      <w:bookmarkStart w:id="134" w:name="RANGE!E6:I51"/>
      <w:bookmarkStart w:id="135" w:name="RANGE!E6:I54"/>
      <w:bookmarkEnd w:id="131"/>
      <w:bookmarkEnd w:id="132"/>
      <w:bookmarkEnd w:id="133"/>
      <w:bookmarkEnd w:id="134"/>
      <w:bookmarkEnd w:id="135"/>
    </w:p>
    <w:p w:rsidR="003E6989" w:rsidRDefault="003E6989" w:rsidP="003E6989">
      <w:pPr>
        <w:spacing w:line="240" w:lineRule="auto"/>
      </w:pPr>
      <w:bookmarkStart w:id="136" w:name="RANGE!D7:G35"/>
      <w:bookmarkStart w:id="137" w:name="RANGE!D7:G36"/>
      <w:bookmarkStart w:id="138" w:name="RANGE!D7:G17"/>
      <w:bookmarkEnd w:id="136"/>
      <w:bookmarkEnd w:id="137"/>
      <w:bookmarkEnd w:id="138"/>
      <w:r>
        <w:lastRenderedPageBreak/>
        <w:br w:type="page"/>
      </w:r>
    </w:p>
    <w:p w:rsidR="003E6989" w:rsidRDefault="003E6989" w:rsidP="003E6989">
      <w:pPr>
        <w:spacing w:line="240" w:lineRule="auto"/>
        <w:sectPr w:rsidR="003E6989" w:rsidSect="006A5410">
          <w:headerReference w:type="default" r:id="rId28"/>
          <w:type w:val="continuous"/>
          <w:pgSz w:w="11906" w:h="16838"/>
          <w:pgMar w:top="1134" w:right="1134" w:bottom="1134" w:left="1134" w:header="958" w:footer="737" w:gutter="0"/>
          <w:cols w:space="720"/>
        </w:sectPr>
      </w:pPr>
    </w:p>
    <w:p w:rsidR="00403CAE" w:rsidRDefault="00403CAE" w:rsidP="00403CAE">
      <w:pPr>
        <w:pStyle w:val="Heading1"/>
      </w:pPr>
      <w:bookmarkStart w:id="139" w:name="_Toc464726281"/>
      <w:bookmarkStart w:id="140" w:name="_Toc464726563"/>
      <w:bookmarkStart w:id="141" w:name="_Toc464726617"/>
      <w:r>
        <w:lastRenderedPageBreak/>
        <w:t>Department of Education and Training</w:t>
      </w:r>
      <w:r>
        <w:br/>
        <w:t>NOTES TO AND FORMING PART OF THE FINANCIAL STATEMENTS</w:t>
      </w:r>
      <w:bookmarkEnd w:id="139"/>
      <w:bookmarkEnd w:id="140"/>
      <w:bookmarkEnd w:id="141"/>
    </w:p>
    <w:p w:rsidR="00161F3A" w:rsidRDefault="00161F3A" w:rsidP="00161F3A">
      <w:pPr>
        <w:pStyle w:val="TOC1"/>
        <w:tabs>
          <w:tab w:val="right" w:pos="9628"/>
        </w:tabs>
        <w:spacing w:line="240" w:lineRule="auto"/>
        <w:contextualSpacing/>
        <w:rPr>
          <w:rFonts w:eastAsiaTheme="minorEastAsia" w:cstheme="minorBidi"/>
          <w:b w:val="0"/>
          <w:bCs w:val="0"/>
          <w:noProof/>
          <w:sz w:val="22"/>
          <w:szCs w:val="22"/>
          <w:lang w:eastAsia="en-AU"/>
        </w:rPr>
      </w:pPr>
      <w:r>
        <w:rPr>
          <w:b w:val="0"/>
          <w:bCs w:val="0"/>
        </w:rPr>
        <w:fldChar w:fldCharType="begin"/>
      </w:r>
      <w:r>
        <w:rPr>
          <w:b w:val="0"/>
          <w:bCs w:val="0"/>
        </w:rPr>
        <w:instrText xml:space="preserve"> TOC \o "1-2" \u </w:instrText>
      </w:r>
      <w:r>
        <w:rPr>
          <w:b w:val="0"/>
          <w:bCs w:val="0"/>
        </w:rPr>
        <w:fldChar w:fldCharType="separate"/>
      </w:r>
      <w:r>
        <w:rPr>
          <w:noProof/>
        </w:rPr>
        <w:t>Overview</w:t>
      </w:r>
      <w:r>
        <w:rPr>
          <w:noProof/>
        </w:rPr>
        <w:tab/>
      </w:r>
      <w:r>
        <w:rPr>
          <w:noProof/>
        </w:rPr>
        <w:fldChar w:fldCharType="begin"/>
      </w:r>
      <w:r>
        <w:rPr>
          <w:noProof/>
        </w:rPr>
        <w:instrText xml:space="preserve"> PAGEREF _Toc464726618 \h </w:instrText>
      </w:r>
      <w:r>
        <w:rPr>
          <w:noProof/>
        </w:rPr>
      </w:r>
      <w:r>
        <w:rPr>
          <w:noProof/>
        </w:rPr>
        <w:fldChar w:fldCharType="separate"/>
      </w:r>
      <w:r>
        <w:rPr>
          <w:noProof/>
        </w:rPr>
        <w:t>17</w:t>
      </w:r>
      <w:r>
        <w:rPr>
          <w:noProof/>
        </w:rPr>
        <w:fldChar w:fldCharType="end"/>
      </w:r>
    </w:p>
    <w:p w:rsidR="00161F3A" w:rsidRDefault="00161F3A" w:rsidP="00161F3A">
      <w:pPr>
        <w:pStyle w:val="TOC1"/>
        <w:tabs>
          <w:tab w:val="left" w:pos="540"/>
          <w:tab w:val="right" w:pos="9628"/>
        </w:tabs>
        <w:spacing w:line="240" w:lineRule="auto"/>
        <w:contextualSpacing/>
        <w:rPr>
          <w:rFonts w:eastAsiaTheme="minorEastAsia" w:cstheme="minorBidi"/>
          <w:b w:val="0"/>
          <w:bCs w:val="0"/>
          <w:noProof/>
          <w:sz w:val="22"/>
          <w:szCs w:val="22"/>
          <w:lang w:eastAsia="en-AU"/>
        </w:rPr>
      </w:pPr>
      <w:r>
        <w:rPr>
          <w:noProof/>
        </w:rPr>
        <w:t>1.</w:t>
      </w:r>
      <w:r>
        <w:rPr>
          <w:rFonts w:eastAsiaTheme="minorEastAsia" w:cstheme="minorBidi"/>
          <w:b w:val="0"/>
          <w:bCs w:val="0"/>
          <w:noProof/>
          <w:sz w:val="22"/>
          <w:szCs w:val="22"/>
          <w:lang w:eastAsia="en-AU"/>
        </w:rPr>
        <w:tab/>
      </w:r>
      <w:r>
        <w:rPr>
          <w:noProof/>
        </w:rPr>
        <w:t>Financial Performance</w:t>
      </w:r>
      <w:r>
        <w:rPr>
          <w:noProof/>
        </w:rPr>
        <w:tab/>
      </w:r>
      <w:r>
        <w:rPr>
          <w:noProof/>
        </w:rPr>
        <w:fldChar w:fldCharType="begin"/>
      </w:r>
      <w:r>
        <w:rPr>
          <w:noProof/>
        </w:rPr>
        <w:instrText xml:space="preserve"> PAGEREF _Toc464726619 \h </w:instrText>
      </w:r>
      <w:r>
        <w:rPr>
          <w:noProof/>
        </w:rPr>
      </w:r>
      <w:r>
        <w:rPr>
          <w:noProof/>
        </w:rPr>
        <w:fldChar w:fldCharType="separate"/>
      </w:r>
      <w:r>
        <w:rPr>
          <w:noProof/>
        </w:rPr>
        <w:t>20</w:t>
      </w:r>
      <w:r>
        <w:rPr>
          <w:noProof/>
        </w:rPr>
        <w:fldChar w:fldCharType="end"/>
      </w:r>
    </w:p>
    <w:p w:rsidR="00161F3A" w:rsidRDefault="00161F3A" w:rsidP="00161F3A">
      <w:pPr>
        <w:pStyle w:val="TOC2"/>
        <w:tabs>
          <w:tab w:val="right" w:pos="9628"/>
        </w:tabs>
        <w:spacing w:line="240" w:lineRule="auto"/>
        <w:contextualSpacing/>
        <w:rPr>
          <w:rFonts w:eastAsiaTheme="minorEastAsia" w:cstheme="minorBidi"/>
          <w:i w:val="0"/>
          <w:iCs w:val="0"/>
          <w:noProof/>
          <w:sz w:val="22"/>
          <w:szCs w:val="22"/>
          <w:lang w:eastAsia="en-AU"/>
        </w:rPr>
      </w:pPr>
      <w:r>
        <w:rPr>
          <w:noProof/>
        </w:rPr>
        <w:t>1.1. Expenses</w:t>
      </w:r>
      <w:r>
        <w:rPr>
          <w:noProof/>
        </w:rPr>
        <w:tab/>
      </w:r>
      <w:r>
        <w:rPr>
          <w:noProof/>
        </w:rPr>
        <w:fldChar w:fldCharType="begin"/>
      </w:r>
      <w:r>
        <w:rPr>
          <w:noProof/>
        </w:rPr>
        <w:instrText xml:space="preserve"> PAGEREF _Toc464726620 \h </w:instrText>
      </w:r>
      <w:r>
        <w:rPr>
          <w:noProof/>
        </w:rPr>
      </w:r>
      <w:r>
        <w:rPr>
          <w:noProof/>
        </w:rPr>
        <w:fldChar w:fldCharType="separate"/>
      </w:r>
      <w:r>
        <w:rPr>
          <w:noProof/>
        </w:rPr>
        <w:t>20</w:t>
      </w:r>
      <w:r>
        <w:rPr>
          <w:noProof/>
        </w:rPr>
        <w:fldChar w:fldCharType="end"/>
      </w:r>
    </w:p>
    <w:p w:rsidR="00161F3A" w:rsidRDefault="00161F3A" w:rsidP="00161F3A">
      <w:pPr>
        <w:pStyle w:val="TOC2"/>
        <w:tabs>
          <w:tab w:val="right" w:pos="9628"/>
        </w:tabs>
        <w:spacing w:line="240" w:lineRule="auto"/>
        <w:contextualSpacing/>
        <w:rPr>
          <w:rFonts w:eastAsiaTheme="minorEastAsia" w:cstheme="minorBidi"/>
          <w:i w:val="0"/>
          <w:iCs w:val="0"/>
          <w:noProof/>
          <w:sz w:val="22"/>
          <w:szCs w:val="22"/>
          <w:lang w:eastAsia="en-AU"/>
        </w:rPr>
      </w:pPr>
      <w:r>
        <w:rPr>
          <w:noProof/>
        </w:rPr>
        <w:t>1.2. Own-Source Revenue and Gains</w:t>
      </w:r>
      <w:r>
        <w:rPr>
          <w:noProof/>
        </w:rPr>
        <w:tab/>
      </w:r>
      <w:r>
        <w:rPr>
          <w:noProof/>
        </w:rPr>
        <w:fldChar w:fldCharType="begin"/>
      </w:r>
      <w:r>
        <w:rPr>
          <w:noProof/>
        </w:rPr>
        <w:instrText xml:space="preserve"> PAGEREF _Toc464726621 \h </w:instrText>
      </w:r>
      <w:r>
        <w:rPr>
          <w:noProof/>
        </w:rPr>
      </w:r>
      <w:r>
        <w:rPr>
          <w:noProof/>
        </w:rPr>
        <w:fldChar w:fldCharType="separate"/>
      </w:r>
      <w:r>
        <w:rPr>
          <w:noProof/>
        </w:rPr>
        <w:t>23</w:t>
      </w:r>
      <w:r>
        <w:rPr>
          <w:noProof/>
        </w:rPr>
        <w:fldChar w:fldCharType="end"/>
      </w:r>
    </w:p>
    <w:p w:rsidR="00161F3A" w:rsidRDefault="00161F3A" w:rsidP="00161F3A">
      <w:pPr>
        <w:pStyle w:val="TOC1"/>
        <w:tabs>
          <w:tab w:val="left" w:pos="540"/>
          <w:tab w:val="right" w:pos="9628"/>
        </w:tabs>
        <w:spacing w:line="240" w:lineRule="auto"/>
        <w:contextualSpacing/>
        <w:rPr>
          <w:rFonts w:eastAsiaTheme="minorEastAsia" w:cstheme="minorBidi"/>
          <w:b w:val="0"/>
          <w:bCs w:val="0"/>
          <w:noProof/>
          <w:sz w:val="22"/>
          <w:szCs w:val="22"/>
          <w:lang w:eastAsia="en-AU"/>
        </w:rPr>
      </w:pPr>
      <w:r>
        <w:rPr>
          <w:noProof/>
        </w:rPr>
        <w:t>2.</w:t>
      </w:r>
      <w:r>
        <w:rPr>
          <w:rFonts w:eastAsiaTheme="minorEastAsia" w:cstheme="minorBidi"/>
          <w:b w:val="0"/>
          <w:bCs w:val="0"/>
          <w:noProof/>
          <w:sz w:val="22"/>
          <w:szCs w:val="22"/>
          <w:lang w:eastAsia="en-AU"/>
        </w:rPr>
        <w:tab/>
      </w:r>
      <w:r>
        <w:rPr>
          <w:noProof/>
        </w:rPr>
        <w:t>Income and Expenses Administered on Behalf of Government</w:t>
      </w:r>
      <w:r>
        <w:rPr>
          <w:noProof/>
        </w:rPr>
        <w:tab/>
      </w:r>
      <w:r>
        <w:rPr>
          <w:noProof/>
        </w:rPr>
        <w:fldChar w:fldCharType="begin"/>
      </w:r>
      <w:r>
        <w:rPr>
          <w:noProof/>
        </w:rPr>
        <w:instrText xml:space="preserve"> PAGEREF _Toc464726622 \h </w:instrText>
      </w:r>
      <w:r>
        <w:rPr>
          <w:noProof/>
        </w:rPr>
      </w:r>
      <w:r>
        <w:rPr>
          <w:noProof/>
        </w:rPr>
        <w:fldChar w:fldCharType="separate"/>
      </w:r>
      <w:r>
        <w:rPr>
          <w:noProof/>
        </w:rPr>
        <w:t>25</w:t>
      </w:r>
      <w:r>
        <w:rPr>
          <w:noProof/>
        </w:rPr>
        <w:fldChar w:fldCharType="end"/>
      </w:r>
    </w:p>
    <w:p w:rsidR="00161F3A" w:rsidRDefault="00161F3A" w:rsidP="00161F3A">
      <w:pPr>
        <w:pStyle w:val="TOC2"/>
        <w:tabs>
          <w:tab w:val="right" w:pos="9628"/>
        </w:tabs>
        <w:spacing w:line="240" w:lineRule="auto"/>
        <w:contextualSpacing/>
        <w:rPr>
          <w:rFonts w:eastAsiaTheme="minorEastAsia" w:cstheme="minorBidi"/>
          <w:i w:val="0"/>
          <w:iCs w:val="0"/>
          <w:noProof/>
          <w:sz w:val="22"/>
          <w:szCs w:val="22"/>
          <w:lang w:eastAsia="en-AU"/>
        </w:rPr>
      </w:pPr>
      <w:r>
        <w:rPr>
          <w:noProof/>
        </w:rPr>
        <w:t>2.1. Administered – Expenses</w:t>
      </w:r>
      <w:r>
        <w:rPr>
          <w:noProof/>
        </w:rPr>
        <w:tab/>
      </w:r>
      <w:r>
        <w:rPr>
          <w:noProof/>
        </w:rPr>
        <w:fldChar w:fldCharType="begin"/>
      </w:r>
      <w:r>
        <w:rPr>
          <w:noProof/>
        </w:rPr>
        <w:instrText xml:space="preserve"> PAGEREF _Toc464726623 \h </w:instrText>
      </w:r>
      <w:r>
        <w:rPr>
          <w:noProof/>
        </w:rPr>
      </w:r>
      <w:r>
        <w:rPr>
          <w:noProof/>
        </w:rPr>
        <w:fldChar w:fldCharType="separate"/>
      </w:r>
      <w:r>
        <w:rPr>
          <w:noProof/>
        </w:rPr>
        <w:t>25</w:t>
      </w:r>
      <w:r>
        <w:rPr>
          <w:noProof/>
        </w:rPr>
        <w:fldChar w:fldCharType="end"/>
      </w:r>
    </w:p>
    <w:p w:rsidR="00161F3A" w:rsidRDefault="00161F3A" w:rsidP="00161F3A">
      <w:pPr>
        <w:pStyle w:val="TOC2"/>
        <w:tabs>
          <w:tab w:val="right" w:pos="9628"/>
        </w:tabs>
        <w:spacing w:line="240" w:lineRule="auto"/>
        <w:contextualSpacing/>
        <w:rPr>
          <w:rFonts w:eastAsiaTheme="minorEastAsia" w:cstheme="minorBidi"/>
          <w:i w:val="0"/>
          <w:iCs w:val="0"/>
          <w:noProof/>
          <w:sz w:val="22"/>
          <w:szCs w:val="22"/>
          <w:lang w:eastAsia="en-AU"/>
        </w:rPr>
      </w:pPr>
      <w:r>
        <w:rPr>
          <w:noProof/>
        </w:rPr>
        <w:t>2.2. Administered Income</w:t>
      </w:r>
      <w:r>
        <w:rPr>
          <w:noProof/>
        </w:rPr>
        <w:tab/>
      </w:r>
      <w:r>
        <w:rPr>
          <w:noProof/>
        </w:rPr>
        <w:fldChar w:fldCharType="begin"/>
      </w:r>
      <w:r>
        <w:rPr>
          <w:noProof/>
        </w:rPr>
        <w:instrText xml:space="preserve"> PAGEREF _Toc464726624 \h </w:instrText>
      </w:r>
      <w:r>
        <w:rPr>
          <w:noProof/>
        </w:rPr>
      </w:r>
      <w:r>
        <w:rPr>
          <w:noProof/>
        </w:rPr>
        <w:fldChar w:fldCharType="separate"/>
      </w:r>
      <w:r>
        <w:rPr>
          <w:noProof/>
        </w:rPr>
        <w:t>28</w:t>
      </w:r>
      <w:r>
        <w:rPr>
          <w:noProof/>
        </w:rPr>
        <w:fldChar w:fldCharType="end"/>
      </w:r>
    </w:p>
    <w:p w:rsidR="00161F3A" w:rsidRDefault="00161F3A" w:rsidP="00161F3A">
      <w:pPr>
        <w:pStyle w:val="TOC1"/>
        <w:tabs>
          <w:tab w:val="left" w:pos="540"/>
          <w:tab w:val="right" w:pos="9628"/>
        </w:tabs>
        <w:spacing w:line="240" w:lineRule="auto"/>
        <w:contextualSpacing/>
        <w:rPr>
          <w:rFonts w:eastAsiaTheme="minorEastAsia" w:cstheme="minorBidi"/>
          <w:b w:val="0"/>
          <w:bCs w:val="0"/>
          <w:noProof/>
          <w:sz w:val="22"/>
          <w:szCs w:val="22"/>
          <w:lang w:eastAsia="en-AU"/>
        </w:rPr>
      </w:pPr>
      <w:r>
        <w:rPr>
          <w:noProof/>
        </w:rPr>
        <w:t>3.</w:t>
      </w:r>
      <w:r>
        <w:rPr>
          <w:rFonts w:eastAsiaTheme="minorEastAsia" w:cstheme="minorBidi"/>
          <w:b w:val="0"/>
          <w:bCs w:val="0"/>
          <w:noProof/>
          <w:sz w:val="22"/>
          <w:szCs w:val="22"/>
          <w:lang w:eastAsia="en-AU"/>
        </w:rPr>
        <w:tab/>
      </w:r>
      <w:r>
        <w:rPr>
          <w:noProof/>
        </w:rPr>
        <w:t>Departmental Financial Position</w:t>
      </w:r>
      <w:r>
        <w:rPr>
          <w:noProof/>
        </w:rPr>
        <w:tab/>
      </w:r>
      <w:r>
        <w:rPr>
          <w:noProof/>
        </w:rPr>
        <w:fldChar w:fldCharType="begin"/>
      </w:r>
      <w:r>
        <w:rPr>
          <w:noProof/>
        </w:rPr>
        <w:instrText xml:space="preserve"> PAGEREF _Toc464726625 \h </w:instrText>
      </w:r>
      <w:r>
        <w:rPr>
          <w:noProof/>
        </w:rPr>
      </w:r>
      <w:r>
        <w:rPr>
          <w:noProof/>
        </w:rPr>
        <w:fldChar w:fldCharType="separate"/>
      </w:r>
      <w:r>
        <w:rPr>
          <w:noProof/>
        </w:rPr>
        <w:t>29</w:t>
      </w:r>
      <w:r>
        <w:rPr>
          <w:noProof/>
        </w:rPr>
        <w:fldChar w:fldCharType="end"/>
      </w:r>
    </w:p>
    <w:p w:rsidR="00161F3A" w:rsidRDefault="00161F3A" w:rsidP="00161F3A">
      <w:pPr>
        <w:pStyle w:val="TOC2"/>
        <w:tabs>
          <w:tab w:val="right" w:pos="9628"/>
        </w:tabs>
        <w:spacing w:line="240" w:lineRule="auto"/>
        <w:contextualSpacing/>
        <w:rPr>
          <w:rFonts w:eastAsiaTheme="minorEastAsia" w:cstheme="minorBidi"/>
          <w:i w:val="0"/>
          <w:iCs w:val="0"/>
          <w:noProof/>
          <w:sz w:val="22"/>
          <w:szCs w:val="22"/>
          <w:lang w:eastAsia="en-AU"/>
        </w:rPr>
      </w:pPr>
      <w:r>
        <w:rPr>
          <w:noProof/>
        </w:rPr>
        <w:t>3.1. Financial Assets</w:t>
      </w:r>
      <w:r>
        <w:rPr>
          <w:noProof/>
        </w:rPr>
        <w:tab/>
      </w:r>
      <w:r>
        <w:rPr>
          <w:noProof/>
        </w:rPr>
        <w:fldChar w:fldCharType="begin"/>
      </w:r>
      <w:r>
        <w:rPr>
          <w:noProof/>
        </w:rPr>
        <w:instrText xml:space="preserve"> PAGEREF _Toc464726626 \h </w:instrText>
      </w:r>
      <w:r>
        <w:rPr>
          <w:noProof/>
        </w:rPr>
      </w:r>
      <w:r>
        <w:rPr>
          <w:noProof/>
        </w:rPr>
        <w:fldChar w:fldCharType="separate"/>
      </w:r>
      <w:r>
        <w:rPr>
          <w:noProof/>
        </w:rPr>
        <w:t>29</w:t>
      </w:r>
      <w:r>
        <w:rPr>
          <w:noProof/>
        </w:rPr>
        <w:fldChar w:fldCharType="end"/>
      </w:r>
    </w:p>
    <w:p w:rsidR="00161F3A" w:rsidRDefault="00161F3A" w:rsidP="00161F3A">
      <w:pPr>
        <w:pStyle w:val="TOC2"/>
        <w:tabs>
          <w:tab w:val="right" w:pos="9628"/>
        </w:tabs>
        <w:spacing w:line="240" w:lineRule="auto"/>
        <w:contextualSpacing/>
        <w:rPr>
          <w:rFonts w:eastAsiaTheme="minorEastAsia" w:cstheme="minorBidi"/>
          <w:i w:val="0"/>
          <w:iCs w:val="0"/>
          <w:noProof/>
          <w:sz w:val="22"/>
          <w:szCs w:val="22"/>
          <w:lang w:eastAsia="en-AU"/>
        </w:rPr>
      </w:pPr>
      <w:r>
        <w:rPr>
          <w:noProof/>
        </w:rPr>
        <w:t>3.2. Non-Financial Assets</w:t>
      </w:r>
      <w:r>
        <w:rPr>
          <w:noProof/>
        </w:rPr>
        <w:tab/>
      </w:r>
      <w:r>
        <w:rPr>
          <w:noProof/>
        </w:rPr>
        <w:fldChar w:fldCharType="begin"/>
      </w:r>
      <w:r>
        <w:rPr>
          <w:noProof/>
        </w:rPr>
        <w:instrText xml:space="preserve"> PAGEREF _Toc464726627 \h </w:instrText>
      </w:r>
      <w:r>
        <w:rPr>
          <w:noProof/>
        </w:rPr>
      </w:r>
      <w:r>
        <w:rPr>
          <w:noProof/>
        </w:rPr>
        <w:fldChar w:fldCharType="separate"/>
      </w:r>
      <w:r>
        <w:rPr>
          <w:noProof/>
        </w:rPr>
        <w:t>31</w:t>
      </w:r>
      <w:r>
        <w:rPr>
          <w:noProof/>
        </w:rPr>
        <w:fldChar w:fldCharType="end"/>
      </w:r>
    </w:p>
    <w:p w:rsidR="00161F3A" w:rsidRDefault="00161F3A" w:rsidP="00161F3A">
      <w:pPr>
        <w:pStyle w:val="TOC2"/>
        <w:tabs>
          <w:tab w:val="right" w:pos="9628"/>
        </w:tabs>
        <w:spacing w:line="240" w:lineRule="auto"/>
        <w:contextualSpacing/>
        <w:rPr>
          <w:rFonts w:eastAsiaTheme="minorEastAsia" w:cstheme="minorBidi"/>
          <w:i w:val="0"/>
          <w:iCs w:val="0"/>
          <w:noProof/>
          <w:sz w:val="22"/>
          <w:szCs w:val="22"/>
          <w:lang w:eastAsia="en-AU"/>
        </w:rPr>
      </w:pPr>
      <w:r>
        <w:rPr>
          <w:noProof/>
        </w:rPr>
        <w:t>3.3. Payables</w:t>
      </w:r>
      <w:r>
        <w:rPr>
          <w:noProof/>
        </w:rPr>
        <w:tab/>
      </w:r>
      <w:r>
        <w:rPr>
          <w:noProof/>
        </w:rPr>
        <w:fldChar w:fldCharType="begin"/>
      </w:r>
      <w:r>
        <w:rPr>
          <w:noProof/>
        </w:rPr>
        <w:instrText xml:space="preserve"> PAGEREF _Toc464726628 \h </w:instrText>
      </w:r>
      <w:r>
        <w:rPr>
          <w:noProof/>
        </w:rPr>
      </w:r>
      <w:r>
        <w:rPr>
          <w:noProof/>
        </w:rPr>
        <w:fldChar w:fldCharType="separate"/>
      </w:r>
      <w:r>
        <w:rPr>
          <w:noProof/>
        </w:rPr>
        <w:t>36</w:t>
      </w:r>
      <w:r>
        <w:rPr>
          <w:noProof/>
        </w:rPr>
        <w:fldChar w:fldCharType="end"/>
      </w:r>
    </w:p>
    <w:p w:rsidR="00161F3A" w:rsidRDefault="00161F3A" w:rsidP="00161F3A">
      <w:pPr>
        <w:pStyle w:val="TOC2"/>
        <w:tabs>
          <w:tab w:val="right" w:pos="9628"/>
        </w:tabs>
        <w:spacing w:line="240" w:lineRule="auto"/>
        <w:contextualSpacing/>
        <w:rPr>
          <w:rFonts w:eastAsiaTheme="minorEastAsia" w:cstheme="minorBidi"/>
          <w:i w:val="0"/>
          <w:iCs w:val="0"/>
          <w:noProof/>
          <w:sz w:val="22"/>
          <w:szCs w:val="22"/>
          <w:lang w:eastAsia="en-AU"/>
        </w:rPr>
      </w:pPr>
      <w:r>
        <w:rPr>
          <w:noProof/>
        </w:rPr>
        <w:t>3.4. Other Provisions</w:t>
      </w:r>
      <w:r>
        <w:rPr>
          <w:noProof/>
        </w:rPr>
        <w:tab/>
      </w:r>
      <w:r>
        <w:rPr>
          <w:noProof/>
        </w:rPr>
        <w:fldChar w:fldCharType="begin"/>
      </w:r>
      <w:r>
        <w:rPr>
          <w:noProof/>
        </w:rPr>
        <w:instrText xml:space="preserve"> PAGEREF _Toc464726629 \h </w:instrText>
      </w:r>
      <w:r>
        <w:rPr>
          <w:noProof/>
        </w:rPr>
      </w:r>
      <w:r>
        <w:rPr>
          <w:noProof/>
        </w:rPr>
        <w:fldChar w:fldCharType="separate"/>
      </w:r>
      <w:r>
        <w:rPr>
          <w:noProof/>
        </w:rPr>
        <w:t>37</w:t>
      </w:r>
      <w:r>
        <w:rPr>
          <w:noProof/>
        </w:rPr>
        <w:fldChar w:fldCharType="end"/>
      </w:r>
    </w:p>
    <w:p w:rsidR="00161F3A" w:rsidRDefault="00161F3A" w:rsidP="00161F3A">
      <w:pPr>
        <w:pStyle w:val="TOC1"/>
        <w:tabs>
          <w:tab w:val="left" w:pos="540"/>
          <w:tab w:val="right" w:pos="9628"/>
        </w:tabs>
        <w:spacing w:line="240" w:lineRule="auto"/>
        <w:contextualSpacing/>
        <w:rPr>
          <w:rFonts w:eastAsiaTheme="minorEastAsia" w:cstheme="minorBidi"/>
          <w:b w:val="0"/>
          <w:bCs w:val="0"/>
          <w:noProof/>
          <w:sz w:val="22"/>
          <w:szCs w:val="22"/>
          <w:lang w:eastAsia="en-AU"/>
        </w:rPr>
      </w:pPr>
      <w:r>
        <w:rPr>
          <w:noProof/>
        </w:rPr>
        <w:t>4.</w:t>
      </w:r>
      <w:r>
        <w:rPr>
          <w:rFonts w:eastAsiaTheme="minorEastAsia" w:cstheme="minorBidi"/>
          <w:b w:val="0"/>
          <w:bCs w:val="0"/>
          <w:noProof/>
          <w:sz w:val="22"/>
          <w:szCs w:val="22"/>
          <w:lang w:eastAsia="en-AU"/>
        </w:rPr>
        <w:tab/>
      </w:r>
      <w:r>
        <w:rPr>
          <w:noProof/>
        </w:rPr>
        <w:t>Assets and Liabilities Administered on Behalf of Government</w:t>
      </w:r>
      <w:r>
        <w:rPr>
          <w:noProof/>
        </w:rPr>
        <w:tab/>
      </w:r>
      <w:r>
        <w:rPr>
          <w:noProof/>
        </w:rPr>
        <w:fldChar w:fldCharType="begin"/>
      </w:r>
      <w:r>
        <w:rPr>
          <w:noProof/>
        </w:rPr>
        <w:instrText xml:space="preserve"> PAGEREF _Toc464726630 \h </w:instrText>
      </w:r>
      <w:r>
        <w:rPr>
          <w:noProof/>
        </w:rPr>
      </w:r>
      <w:r>
        <w:rPr>
          <w:noProof/>
        </w:rPr>
        <w:fldChar w:fldCharType="separate"/>
      </w:r>
      <w:r>
        <w:rPr>
          <w:noProof/>
        </w:rPr>
        <w:t>38</w:t>
      </w:r>
      <w:r>
        <w:rPr>
          <w:noProof/>
        </w:rPr>
        <w:fldChar w:fldCharType="end"/>
      </w:r>
    </w:p>
    <w:p w:rsidR="00161F3A" w:rsidRDefault="00161F3A" w:rsidP="00161F3A">
      <w:pPr>
        <w:pStyle w:val="TOC2"/>
        <w:tabs>
          <w:tab w:val="right" w:pos="9628"/>
        </w:tabs>
        <w:spacing w:line="240" w:lineRule="auto"/>
        <w:contextualSpacing/>
        <w:rPr>
          <w:rFonts w:eastAsiaTheme="minorEastAsia" w:cstheme="minorBidi"/>
          <w:i w:val="0"/>
          <w:iCs w:val="0"/>
          <w:noProof/>
          <w:sz w:val="22"/>
          <w:szCs w:val="22"/>
          <w:lang w:eastAsia="en-AU"/>
        </w:rPr>
      </w:pPr>
      <w:r>
        <w:rPr>
          <w:noProof/>
        </w:rPr>
        <w:t>4.1. Administered – Financial Assets</w:t>
      </w:r>
      <w:r>
        <w:rPr>
          <w:noProof/>
        </w:rPr>
        <w:tab/>
      </w:r>
      <w:r>
        <w:rPr>
          <w:noProof/>
        </w:rPr>
        <w:fldChar w:fldCharType="begin"/>
      </w:r>
      <w:r>
        <w:rPr>
          <w:noProof/>
        </w:rPr>
        <w:instrText xml:space="preserve"> PAGEREF _Toc464726631 \h </w:instrText>
      </w:r>
      <w:r>
        <w:rPr>
          <w:noProof/>
        </w:rPr>
      </w:r>
      <w:r>
        <w:rPr>
          <w:noProof/>
        </w:rPr>
        <w:fldChar w:fldCharType="separate"/>
      </w:r>
      <w:r>
        <w:rPr>
          <w:noProof/>
        </w:rPr>
        <w:t>38</w:t>
      </w:r>
      <w:r>
        <w:rPr>
          <w:noProof/>
        </w:rPr>
        <w:fldChar w:fldCharType="end"/>
      </w:r>
    </w:p>
    <w:p w:rsidR="00161F3A" w:rsidRDefault="00161F3A" w:rsidP="00161F3A">
      <w:pPr>
        <w:pStyle w:val="TOC2"/>
        <w:tabs>
          <w:tab w:val="right" w:pos="9628"/>
        </w:tabs>
        <w:spacing w:line="240" w:lineRule="auto"/>
        <w:contextualSpacing/>
        <w:rPr>
          <w:rFonts w:eastAsiaTheme="minorEastAsia" w:cstheme="minorBidi"/>
          <w:i w:val="0"/>
          <w:iCs w:val="0"/>
          <w:noProof/>
          <w:sz w:val="22"/>
          <w:szCs w:val="22"/>
          <w:lang w:eastAsia="en-AU"/>
        </w:rPr>
      </w:pPr>
      <w:r>
        <w:rPr>
          <w:noProof/>
        </w:rPr>
        <w:t>4.2. Administered – Non-Financial Asset</w:t>
      </w:r>
      <w:r>
        <w:rPr>
          <w:noProof/>
        </w:rPr>
        <w:tab/>
      </w:r>
      <w:r>
        <w:rPr>
          <w:noProof/>
        </w:rPr>
        <w:fldChar w:fldCharType="begin"/>
      </w:r>
      <w:r>
        <w:rPr>
          <w:noProof/>
        </w:rPr>
        <w:instrText xml:space="preserve"> PAGEREF _Toc464726632 \h </w:instrText>
      </w:r>
      <w:r>
        <w:rPr>
          <w:noProof/>
        </w:rPr>
      </w:r>
      <w:r>
        <w:rPr>
          <w:noProof/>
        </w:rPr>
        <w:fldChar w:fldCharType="separate"/>
      </w:r>
      <w:r>
        <w:rPr>
          <w:noProof/>
        </w:rPr>
        <w:t>42</w:t>
      </w:r>
      <w:r>
        <w:rPr>
          <w:noProof/>
        </w:rPr>
        <w:fldChar w:fldCharType="end"/>
      </w:r>
    </w:p>
    <w:p w:rsidR="00161F3A" w:rsidRDefault="00161F3A" w:rsidP="00161F3A">
      <w:pPr>
        <w:pStyle w:val="TOC2"/>
        <w:tabs>
          <w:tab w:val="right" w:pos="9628"/>
        </w:tabs>
        <w:spacing w:line="240" w:lineRule="auto"/>
        <w:contextualSpacing/>
        <w:rPr>
          <w:rFonts w:eastAsiaTheme="minorEastAsia" w:cstheme="minorBidi"/>
          <w:i w:val="0"/>
          <w:iCs w:val="0"/>
          <w:noProof/>
          <w:sz w:val="22"/>
          <w:szCs w:val="22"/>
          <w:lang w:eastAsia="en-AU"/>
        </w:rPr>
      </w:pPr>
      <w:r>
        <w:rPr>
          <w:noProof/>
        </w:rPr>
        <w:t>4.3. Administered - Payables</w:t>
      </w:r>
      <w:r>
        <w:rPr>
          <w:noProof/>
        </w:rPr>
        <w:tab/>
      </w:r>
      <w:r>
        <w:rPr>
          <w:noProof/>
        </w:rPr>
        <w:fldChar w:fldCharType="begin"/>
      </w:r>
      <w:r>
        <w:rPr>
          <w:noProof/>
        </w:rPr>
        <w:instrText xml:space="preserve"> PAGEREF _Toc464726633 \h </w:instrText>
      </w:r>
      <w:r>
        <w:rPr>
          <w:noProof/>
        </w:rPr>
      </w:r>
      <w:r>
        <w:rPr>
          <w:noProof/>
        </w:rPr>
        <w:fldChar w:fldCharType="separate"/>
      </w:r>
      <w:r>
        <w:rPr>
          <w:noProof/>
        </w:rPr>
        <w:t>43</w:t>
      </w:r>
      <w:r>
        <w:rPr>
          <w:noProof/>
        </w:rPr>
        <w:fldChar w:fldCharType="end"/>
      </w:r>
    </w:p>
    <w:p w:rsidR="00161F3A" w:rsidRDefault="00161F3A" w:rsidP="00161F3A">
      <w:pPr>
        <w:pStyle w:val="TOC2"/>
        <w:tabs>
          <w:tab w:val="right" w:pos="9628"/>
        </w:tabs>
        <w:spacing w:line="240" w:lineRule="auto"/>
        <w:contextualSpacing/>
        <w:rPr>
          <w:rFonts w:eastAsiaTheme="minorEastAsia" w:cstheme="minorBidi"/>
          <w:i w:val="0"/>
          <w:iCs w:val="0"/>
          <w:noProof/>
          <w:sz w:val="22"/>
          <w:szCs w:val="22"/>
          <w:lang w:eastAsia="en-AU"/>
        </w:rPr>
      </w:pPr>
      <w:r>
        <w:rPr>
          <w:noProof/>
        </w:rPr>
        <w:t>4.4. Administered – Other Provisions</w:t>
      </w:r>
      <w:r>
        <w:rPr>
          <w:noProof/>
        </w:rPr>
        <w:tab/>
      </w:r>
      <w:r>
        <w:rPr>
          <w:noProof/>
        </w:rPr>
        <w:fldChar w:fldCharType="begin"/>
      </w:r>
      <w:r>
        <w:rPr>
          <w:noProof/>
        </w:rPr>
        <w:instrText xml:space="preserve"> PAGEREF _Toc464726634 \h </w:instrText>
      </w:r>
      <w:r>
        <w:rPr>
          <w:noProof/>
        </w:rPr>
      </w:r>
      <w:r>
        <w:rPr>
          <w:noProof/>
        </w:rPr>
        <w:fldChar w:fldCharType="separate"/>
      </w:r>
      <w:r>
        <w:rPr>
          <w:noProof/>
        </w:rPr>
        <w:t>44</w:t>
      </w:r>
      <w:r>
        <w:rPr>
          <w:noProof/>
        </w:rPr>
        <w:fldChar w:fldCharType="end"/>
      </w:r>
    </w:p>
    <w:p w:rsidR="00161F3A" w:rsidRDefault="00161F3A" w:rsidP="00161F3A">
      <w:pPr>
        <w:pStyle w:val="TOC1"/>
        <w:tabs>
          <w:tab w:val="left" w:pos="540"/>
          <w:tab w:val="right" w:pos="9628"/>
        </w:tabs>
        <w:spacing w:line="240" w:lineRule="auto"/>
        <w:contextualSpacing/>
        <w:rPr>
          <w:rFonts w:eastAsiaTheme="minorEastAsia" w:cstheme="minorBidi"/>
          <w:b w:val="0"/>
          <w:bCs w:val="0"/>
          <w:noProof/>
          <w:sz w:val="22"/>
          <w:szCs w:val="22"/>
          <w:lang w:eastAsia="en-AU"/>
        </w:rPr>
      </w:pPr>
      <w:r>
        <w:rPr>
          <w:noProof/>
        </w:rPr>
        <w:t>5.</w:t>
      </w:r>
      <w:r>
        <w:rPr>
          <w:rFonts w:eastAsiaTheme="minorEastAsia" w:cstheme="minorBidi"/>
          <w:b w:val="0"/>
          <w:bCs w:val="0"/>
          <w:noProof/>
          <w:sz w:val="22"/>
          <w:szCs w:val="22"/>
          <w:lang w:eastAsia="en-AU"/>
        </w:rPr>
        <w:tab/>
      </w:r>
      <w:r>
        <w:rPr>
          <w:noProof/>
        </w:rPr>
        <w:t>Funding</w:t>
      </w:r>
      <w:r>
        <w:rPr>
          <w:noProof/>
        </w:rPr>
        <w:tab/>
      </w:r>
      <w:r>
        <w:rPr>
          <w:noProof/>
        </w:rPr>
        <w:fldChar w:fldCharType="begin"/>
      </w:r>
      <w:r>
        <w:rPr>
          <w:noProof/>
        </w:rPr>
        <w:instrText xml:space="preserve"> PAGEREF _Toc464726635 \h </w:instrText>
      </w:r>
      <w:r>
        <w:rPr>
          <w:noProof/>
        </w:rPr>
      </w:r>
      <w:r>
        <w:rPr>
          <w:noProof/>
        </w:rPr>
        <w:fldChar w:fldCharType="separate"/>
      </w:r>
      <w:r>
        <w:rPr>
          <w:noProof/>
        </w:rPr>
        <w:t>46</w:t>
      </w:r>
      <w:r>
        <w:rPr>
          <w:noProof/>
        </w:rPr>
        <w:fldChar w:fldCharType="end"/>
      </w:r>
    </w:p>
    <w:p w:rsidR="00161F3A" w:rsidRDefault="00161F3A" w:rsidP="00161F3A">
      <w:pPr>
        <w:pStyle w:val="TOC2"/>
        <w:tabs>
          <w:tab w:val="right" w:pos="9628"/>
        </w:tabs>
        <w:spacing w:line="240" w:lineRule="auto"/>
        <w:contextualSpacing/>
        <w:rPr>
          <w:rFonts w:eastAsiaTheme="minorEastAsia" w:cstheme="minorBidi"/>
          <w:i w:val="0"/>
          <w:iCs w:val="0"/>
          <w:noProof/>
          <w:sz w:val="22"/>
          <w:szCs w:val="22"/>
          <w:lang w:eastAsia="en-AU"/>
        </w:rPr>
      </w:pPr>
      <w:r>
        <w:rPr>
          <w:noProof/>
        </w:rPr>
        <w:t>5.1. Appropriations</w:t>
      </w:r>
      <w:r>
        <w:rPr>
          <w:noProof/>
        </w:rPr>
        <w:tab/>
      </w:r>
      <w:r>
        <w:rPr>
          <w:noProof/>
        </w:rPr>
        <w:fldChar w:fldCharType="begin"/>
      </w:r>
      <w:r>
        <w:rPr>
          <w:noProof/>
        </w:rPr>
        <w:instrText xml:space="preserve"> PAGEREF _Toc464726636 \h </w:instrText>
      </w:r>
      <w:r>
        <w:rPr>
          <w:noProof/>
        </w:rPr>
      </w:r>
      <w:r>
        <w:rPr>
          <w:noProof/>
        </w:rPr>
        <w:fldChar w:fldCharType="separate"/>
      </w:r>
      <w:r>
        <w:rPr>
          <w:noProof/>
        </w:rPr>
        <w:t>46</w:t>
      </w:r>
      <w:r>
        <w:rPr>
          <w:noProof/>
        </w:rPr>
        <w:fldChar w:fldCharType="end"/>
      </w:r>
    </w:p>
    <w:p w:rsidR="00161F3A" w:rsidRDefault="00161F3A" w:rsidP="00161F3A">
      <w:pPr>
        <w:pStyle w:val="TOC2"/>
        <w:tabs>
          <w:tab w:val="right" w:pos="9628"/>
        </w:tabs>
        <w:spacing w:line="240" w:lineRule="auto"/>
        <w:contextualSpacing/>
        <w:rPr>
          <w:rFonts w:eastAsiaTheme="minorEastAsia" w:cstheme="minorBidi"/>
          <w:i w:val="0"/>
          <w:iCs w:val="0"/>
          <w:noProof/>
          <w:sz w:val="22"/>
          <w:szCs w:val="22"/>
          <w:lang w:eastAsia="en-AU"/>
        </w:rPr>
      </w:pPr>
      <w:r>
        <w:rPr>
          <w:noProof/>
        </w:rPr>
        <w:t>5.2. Special Accounts</w:t>
      </w:r>
      <w:r>
        <w:rPr>
          <w:noProof/>
        </w:rPr>
        <w:tab/>
      </w:r>
      <w:r>
        <w:rPr>
          <w:noProof/>
        </w:rPr>
        <w:fldChar w:fldCharType="begin"/>
      </w:r>
      <w:r>
        <w:rPr>
          <w:noProof/>
        </w:rPr>
        <w:instrText xml:space="preserve"> PAGEREF _Toc464726637 \h </w:instrText>
      </w:r>
      <w:r>
        <w:rPr>
          <w:noProof/>
        </w:rPr>
      </w:r>
      <w:r>
        <w:rPr>
          <w:noProof/>
        </w:rPr>
        <w:fldChar w:fldCharType="separate"/>
      </w:r>
      <w:r>
        <w:rPr>
          <w:noProof/>
        </w:rPr>
        <w:t>52</w:t>
      </w:r>
      <w:r>
        <w:rPr>
          <w:noProof/>
        </w:rPr>
        <w:fldChar w:fldCharType="end"/>
      </w:r>
    </w:p>
    <w:p w:rsidR="00161F3A" w:rsidRDefault="00161F3A" w:rsidP="00161F3A">
      <w:pPr>
        <w:pStyle w:val="TOC2"/>
        <w:tabs>
          <w:tab w:val="right" w:pos="9628"/>
        </w:tabs>
        <w:spacing w:line="240" w:lineRule="auto"/>
        <w:contextualSpacing/>
        <w:rPr>
          <w:rFonts w:eastAsiaTheme="minorEastAsia" w:cstheme="minorBidi"/>
          <w:i w:val="0"/>
          <w:iCs w:val="0"/>
          <w:noProof/>
          <w:sz w:val="22"/>
          <w:szCs w:val="22"/>
          <w:lang w:eastAsia="en-AU"/>
        </w:rPr>
      </w:pPr>
      <w:r>
        <w:rPr>
          <w:noProof/>
        </w:rPr>
        <w:t>5.3. Regulatory Charging Summary</w:t>
      </w:r>
      <w:r>
        <w:rPr>
          <w:noProof/>
        </w:rPr>
        <w:tab/>
      </w:r>
      <w:r>
        <w:rPr>
          <w:noProof/>
        </w:rPr>
        <w:fldChar w:fldCharType="begin"/>
      </w:r>
      <w:r>
        <w:rPr>
          <w:noProof/>
        </w:rPr>
        <w:instrText xml:space="preserve"> PAGEREF _Toc464726638 \h </w:instrText>
      </w:r>
      <w:r>
        <w:rPr>
          <w:noProof/>
        </w:rPr>
      </w:r>
      <w:r>
        <w:rPr>
          <w:noProof/>
        </w:rPr>
        <w:fldChar w:fldCharType="separate"/>
      </w:r>
      <w:r>
        <w:rPr>
          <w:noProof/>
        </w:rPr>
        <w:t>55</w:t>
      </w:r>
      <w:r>
        <w:rPr>
          <w:noProof/>
        </w:rPr>
        <w:fldChar w:fldCharType="end"/>
      </w:r>
    </w:p>
    <w:p w:rsidR="00161F3A" w:rsidRDefault="00161F3A" w:rsidP="00161F3A">
      <w:pPr>
        <w:pStyle w:val="TOC2"/>
        <w:tabs>
          <w:tab w:val="right" w:pos="9628"/>
        </w:tabs>
        <w:spacing w:line="240" w:lineRule="auto"/>
        <w:contextualSpacing/>
        <w:rPr>
          <w:rFonts w:eastAsiaTheme="minorEastAsia" w:cstheme="minorBidi"/>
          <w:i w:val="0"/>
          <w:iCs w:val="0"/>
          <w:noProof/>
          <w:sz w:val="22"/>
          <w:szCs w:val="22"/>
          <w:lang w:eastAsia="en-AU"/>
        </w:rPr>
      </w:pPr>
      <w:r>
        <w:rPr>
          <w:noProof/>
        </w:rPr>
        <w:t>5.4. Net Cash Appropriation Arrangements</w:t>
      </w:r>
      <w:r>
        <w:rPr>
          <w:noProof/>
        </w:rPr>
        <w:tab/>
      </w:r>
      <w:r>
        <w:rPr>
          <w:noProof/>
        </w:rPr>
        <w:fldChar w:fldCharType="begin"/>
      </w:r>
      <w:r>
        <w:rPr>
          <w:noProof/>
        </w:rPr>
        <w:instrText xml:space="preserve"> PAGEREF _Toc464726639 \h </w:instrText>
      </w:r>
      <w:r>
        <w:rPr>
          <w:noProof/>
        </w:rPr>
      </w:r>
      <w:r>
        <w:rPr>
          <w:noProof/>
        </w:rPr>
        <w:fldChar w:fldCharType="separate"/>
      </w:r>
      <w:r>
        <w:rPr>
          <w:noProof/>
        </w:rPr>
        <w:t>56</w:t>
      </w:r>
      <w:r>
        <w:rPr>
          <w:noProof/>
        </w:rPr>
        <w:fldChar w:fldCharType="end"/>
      </w:r>
    </w:p>
    <w:p w:rsidR="00161F3A" w:rsidRDefault="00161F3A" w:rsidP="00161F3A">
      <w:pPr>
        <w:pStyle w:val="TOC2"/>
        <w:tabs>
          <w:tab w:val="right" w:pos="9628"/>
        </w:tabs>
        <w:spacing w:line="240" w:lineRule="auto"/>
        <w:contextualSpacing/>
        <w:rPr>
          <w:rFonts w:eastAsiaTheme="minorEastAsia" w:cstheme="minorBidi"/>
          <w:i w:val="0"/>
          <w:iCs w:val="0"/>
          <w:noProof/>
          <w:sz w:val="22"/>
          <w:szCs w:val="22"/>
          <w:lang w:eastAsia="en-AU"/>
        </w:rPr>
      </w:pPr>
      <w:r>
        <w:rPr>
          <w:noProof/>
          <w:lang w:eastAsia="en-AU"/>
        </w:rPr>
        <w:t>5.5. Cash Flow Reconciliation</w:t>
      </w:r>
      <w:r>
        <w:rPr>
          <w:noProof/>
        </w:rPr>
        <w:tab/>
      </w:r>
      <w:r>
        <w:rPr>
          <w:noProof/>
        </w:rPr>
        <w:fldChar w:fldCharType="begin"/>
      </w:r>
      <w:r>
        <w:rPr>
          <w:noProof/>
        </w:rPr>
        <w:instrText xml:space="preserve"> PAGEREF _Toc464726640 \h </w:instrText>
      </w:r>
      <w:r>
        <w:rPr>
          <w:noProof/>
        </w:rPr>
      </w:r>
      <w:r>
        <w:rPr>
          <w:noProof/>
        </w:rPr>
        <w:fldChar w:fldCharType="separate"/>
      </w:r>
      <w:r>
        <w:rPr>
          <w:noProof/>
        </w:rPr>
        <w:t>57</w:t>
      </w:r>
      <w:r>
        <w:rPr>
          <w:noProof/>
        </w:rPr>
        <w:fldChar w:fldCharType="end"/>
      </w:r>
    </w:p>
    <w:p w:rsidR="00161F3A" w:rsidRDefault="00161F3A" w:rsidP="00161F3A">
      <w:pPr>
        <w:pStyle w:val="TOC1"/>
        <w:tabs>
          <w:tab w:val="left" w:pos="540"/>
          <w:tab w:val="right" w:pos="9628"/>
        </w:tabs>
        <w:spacing w:line="240" w:lineRule="auto"/>
        <w:contextualSpacing/>
        <w:rPr>
          <w:rFonts w:eastAsiaTheme="minorEastAsia" w:cstheme="minorBidi"/>
          <w:b w:val="0"/>
          <w:bCs w:val="0"/>
          <w:noProof/>
          <w:sz w:val="22"/>
          <w:szCs w:val="22"/>
          <w:lang w:eastAsia="en-AU"/>
        </w:rPr>
      </w:pPr>
      <w:r>
        <w:rPr>
          <w:noProof/>
          <w:lang w:eastAsia="en-AU"/>
        </w:rPr>
        <w:t>6.</w:t>
      </w:r>
      <w:r>
        <w:rPr>
          <w:rFonts w:eastAsiaTheme="minorEastAsia" w:cstheme="minorBidi"/>
          <w:b w:val="0"/>
          <w:bCs w:val="0"/>
          <w:noProof/>
          <w:sz w:val="22"/>
          <w:szCs w:val="22"/>
          <w:lang w:eastAsia="en-AU"/>
        </w:rPr>
        <w:tab/>
      </w:r>
      <w:r>
        <w:rPr>
          <w:noProof/>
          <w:lang w:eastAsia="en-AU"/>
        </w:rPr>
        <w:t>People and Relationships</w:t>
      </w:r>
      <w:r>
        <w:rPr>
          <w:noProof/>
        </w:rPr>
        <w:tab/>
      </w:r>
      <w:r>
        <w:rPr>
          <w:noProof/>
        </w:rPr>
        <w:fldChar w:fldCharType="begin"/>
      </w:r>
      <w:r>
        <w:rPr>
          <w:noProof/>
        </w:rPr>
        <w:instrText xml:space="preserve"> PAGEREF _Toc464726641 \h </w:instrText>
      </w:r>
      <w:r>
        <w:rPr>
          <w:noProof/>
        </w:rPr>
      </w:r>
      <w:r>
        <w:rPr>
          <w:noProof/>
        </w:rPr>
        <w:fldChar w:fldCharType="separate"/>
      </w:r>
      <w:r>
        <w:rPr>
          <w:noProof/>
        </w:rPr>
        <w:t>59</w:t>
      </w:r>
      <w:r>
        <w:rPr>
          <w:noProof/>
        </w:rPr>
        <w:fldChar w:fldCharType="end"/>
      </w:r>
    </w:p>
    <w:p w:rsidR="00161F3A" w:rsidRDefault="00161F3A" w:rsidP="00161F3A">
      <w:pPr>
        <w:pStyle w:val="TOC2"/>
        <w:tabs>
          <w:tab w:val="right" w:pos="9628"/>
        </w:tabs>
        <w:spacing w:line="240" w:lineRule="auto"/>
        <w:contextualSpacing/>
        <w:rPr>
          <w:rFonts w:eastAsiaTheme="minorEastAsia" w:cstheme="minorBidi"/>
          <w:i w:val="0"/>
          <w:iCs w:val="0"/>
          <w:noProof/>
          <w:sz w:val="22"/>
          <w:szCs w:val="22"/>
          <w:lang w:eastAsia="en-AU"/>
        </w:rPr>
      </w:pPr>
      <w:r>
        <w:rPr>
          <w:noProof/>
          <w:lang w:eastAsia="en-AU"/>
        </w:rPr>
        <w:t>6.1. Employee Provisions</w:t>
      </w:r>
      <w:r>
        <w:rPr>
          <w:noProof/>
        </w:rPr>
        <w:tab/>
      </w:r>
      <w:r>
        <w:rPr>
          <w:noProof/>
        </w:rPr>
        <w:fldChar w:fldCharType="begin"/>
      </w:r>
      <w:r>
        <w:rPr>
          <w:noProof/>
        </w:rPr>
        <w:instrText xml:space="preserve"> PAGEREF _Toc464726642 \h </w:instrText>
      </w:r>
      <w:r>
        <w:rPr>
          <w:noProof/>
        </w:rPr>
      </w:r>
      <w:r>
        <w:rPr>
          <w:noProof/>
        </w:rPr>
        <w:fldChar w:fldCharType="separate"/>
      </w:r>
      <w:r>
        <w:rPr>
          <w:noProof/>
        </w:rPr>
        <w:t>59</w:t>
      </w:r>
      <w:r>
        <w:rPr>
          <w:noProof/>
        </w:rPr>
        <w:fldChar w:fldCharType="end"/>
      </w:r>
    </w:p>
    <w:p w:rsidR="00161F3A" w:rsidRDefault="00161F3A" w:rsidP="00161F3A">
      <w:pPr>
        <w:pStyle w:val="TOC2"/>
        <w:tabs>
          <w:tab w:val="right" w:pos="9628"/>
        </w:tabs>
        <w:spacing w:line="240" w:lineRule="auto"/>
        <w:contextualSpacing/>
        <w:rPr>
          <w:rFonts w:eastAsiaTheme="minorEastAsia" w:cstheme="minorBidi"/>
          <w:i w:val="0"/>
          <w:iCs w:val="0"/>
          <w:noProof/>
          <w:sz w:val="22"/>
          <w:szCs w:val="22"/>
          <w:lang w:eastAsia="en-AU"/>
        </w:rPr>
      </w:pPr>
      <w:r>
        <w:rPr>
          <w:noProof/>
          <w:lang w:eastAsia="en-AU"/>
        </w:rPr>
        <w:t>6.2. Senior Management Personnel Remuneration</w:t>
      </w:r>
      <w:r>
        <w:rPr>
          <w:noProof/>
        </w:rPr>
        <w:tab/>
      </w:r>
      <w:r>
        <w:rPr>
          <w:noProof/>
        </w:rPr>
        <w:fldChar w:fldCharType="begin"/>
      </w:r>
      <w:r>
        <w:rPr>
          <w:noProof/>
        </w:rPr>
        <w:instrText xml:space="preserve"> PAGEREF _Toc464726643 \h </w:instrText>
      </w:r>
      <w:r>
        <w:rPr>
          <w:noProof/>
        </w:rPr>
      </w:r>
      <w:r>
        <w:rPr>
          <w:noProof/>
        </w:rPr>
        <w:fldChar w:fldCharType="separate"/>
      </w:r>
      <w:r>
        <w:rPr>
          <w:noProof/>
        </w:rPr>
        <w:t>60</w:t>
      </w:r>
      <w:r>
        <w:rPr>
          <w:noProof/>
        </w:rPr>
        <w:fldChar w:fldCharType="end"/>
      </w:r>
    </w:p>
    <w:p w:rsidR="00161F3A" w:rsidRDefault="00161F3A" w:rsidP="00161F3A">
      <w:pPr>
        <w:pStyle w:val="TOC1"/>
        <w:tabs>
          <w:tab w:val="left" w:pos="540"/>
          <w:tab w:val="right" w:pos="9628"/>
        </w:tabs>
        <w:spacing w:line="240" w:lineRule="auto"/>
        <w:contextualSpacing/>
        <w:rPr>
          <w:rFonts w:eastAsiaTheme="minorEastAsia" w:cstheme="minorBidi"/>
          <w:b w:val="0"/>
          <w:bCs w:val="0"/>
          <w:noProof/>
          <w:sz w:val="22"/>
          <w:szCs w:val="22"/>
          <w:lang w:eastAsia="en-AU"/>
        </w:rPr>
      </w:pPr>
      <w:r>
        <w:rPr>
          <w:noProof/>
          <w:lang w:eastAsia="en-AU"/>
        </w:rPr>
        <w:t>7.</w:t>
      </w:r>
      <w:r>
        <w:rPr>
          <w:rFonts w:eastAsiaTheme="minorEastAsia" w:cstheme="minorBidi"/>
          <w:b w:val="0"/>
          <w:bCs w:val="0"/>
          <w:noProof/>
          <w:sz w:val="22"/>
          <w:szCs w:val="22"/>
          <w:lang w:eastAsia="en-AU"/>
        </w:rPr>
        <w:tab/>
      </w:r>
      <w:r>
        <w:rPr>
          <w:noProof/>
          <w:lang w:eastAsia="en-AU"/>
        </w:rPr>
        <w:t>Managing Uncertainties</w:t>
      </w:r>
      <w:r>
        <w:rPr>
          <w:noProof/>
        </w:rPr>
        <w:tab/>
      </w:r>
      <w:r>
        <w:rPr>
          <w:noProof/>
        </w:rPr>
        <w:fldChar w:fldCharType="begin"/>
      </w:r>
      <w:r>
        <w:rPr>
          <w:noProof/>
        </w:rPr>
        <w:instrText xml:space="preserve"> PAGEREF _Toc464726644 \h </w:instrText>
      </w:r>
      <w:r>
        <w:rPr>
          <w:noProof/>
        </w:rPr>
      </w:r>
      <w:r>
        <w:rPr>
          <w:noProof/>
        </w:rPr>
        <w:fldChar w:fldCharType="separate"/>
      </w:r>
      <w:r>
        <w:rPr>
          <w:noProof/>
        </w:rPr>
        <w:t>61</w:t>
      </w:r>
      <w:r>
        <w:rPr>
          <w:noProof/>
        </w:rPr>
        <w:fldChar w:fldCharType="end"/>
      </w:r>
    </w:p>
    <w:p w:rsidR="00161F3A" w:rsidRDefault="00161F3A" w:rsidP="00161F3A">
      <w:pPr>
        <w:pStyle w:val="TOC2"/>
        <w:tabs>
          <w:tab w:val="right" w:pos="9628"/>
        </w:tabs>
        <w:spacing w:line="240" w:lineRule="auto"/>
        <w:contextualSpacing/>
        <w:rPr>
          <w:rFonts w:eastAsiaTheme="minorEastAsia" w:cstheme="minorBidi"/>
          <w:i w:val="0"/>
          <w:iCs w:val="0"/>
          <w:noProof/>
          <w:sz w:val="22"/>
          <w:szCs w:val="22"/>
          <w:lang w:eastAsia="en-AU"/>
        </w:rPr>
      </w:pPr>
      <w:r>
        <w:rPr>
          <w:noProof/>
        </w:rPr>
        <w:t>7.1. Contingent Assets and Liabilities</w:t>
      </w:r>
      <w:r>
        <w:rPr>
          <w:noProof/>
        </w:rPr>
        <w:tab/>
      </w:r>
      <w:r>
        <w:rPr>
          <w:noProof/>
        </w:rPr>
        <w:fldChar w:fldCharType="begin"/>
      </w:r>
      <w:r>
        <w:rPr>
          <w:noProof/>
        </w:rPr>
        <w:instrText xml:space="preserve"> PAGEREF _Toc464726645 \h </w:instrText>
      </w:r>
      <w:r>
        <w:rPr>
          <w:noProof/>
        </w:rPr>
      </w:r>
      <w:r>
        <w:rPr>
          <w:noProof/>
        </w:rPr>
        <w:fldChar w:fldCharType="separate"/>
      </w:r>
      <w:r>
        <w:rPr>
          <w:noProof/>
        </w:rPr>
        <w:t>61</w:t>
      </w:r>
      <w:r>
        <w:rPr>
          <w:noProof/>
        </w:rPr>
        <w:fldChar w:fldCharType="end"/>
      </w:r>
    </w:p>
    <w:p w:rsidR="00161F3A" w:rsidRDefault="00161F3A" w:rsidP="00161F3A">
      <w:pPr>
        <w:pStyle w:val="TOC2"/>
        <w:tabs>
          <w:tab w:val="right" w:pos="9628"/>
        </w:tabs>
        <w:spacing w:line="240" w:lineRule="auto"/>
        <w:contextualSpacing/>
        <w:rPr>
          <w:rFonts w:eastAsiaTheme="minorEastAsia" w:cstheme="minorBidi"/>
          <w:i w:val="0"/>
          <w:iCs w:val="0"/>
          <w:noProof/>
          <w:sz w:val="22"/>
          <w:szCs w:val="22"/>
          <w:lang w:eastAsia="en-AU"/>
        </w:rPr>
      </w:pPr>
      <w:r>
        <w:rPr>
          <w:noProof/>
        </w:rPr>
        <w:t>7.2. Financial Instruments</w:t>
      </w:r>
      <w:r>
        <w:rPr>
          <w:noProof/>
        </w:rPr>
        <w:tab/>
      </w:r>
      <w:r>
        <w:rPr>
          <w:noProof/>
        </w:rPr>
        <w:fldChar w:fldCharType="begin"/>
      </w:r>
      <w:r>
        <w:rPr>
          <w:noProof/>
        </w:rPr>
        <w:instrText xml:space="preserve"> PAGEREF _Toc464726646 \h </w:instrText>
      </w:r>
      <w:r>
        <w:rPr>
          <w:noProof/>
        </w:rPr>
      </w:r>
      <w:r>
        <w:rPr>
          <w:noProof/>
        </w:rPr>
        <w:fldChar w:fldCharType="separate"/>
      </w:r>
      <w:r>
        <w:rPr>
          <w:noProof/>
        </w:rPr>
        <w:t>62</w:t>
      </w:r>
      <w:r>
        <w:rPr>
          <w:noProof/>
        </w:rPr>
        <w:fldChar w:fldCharType="end"/>
      </w:r>
    </w:p>
    <w:p w:rsidR="00161F3A" w:rsidRDefault="00161F3A" w:rsidP="00161F3A">
      <w:pPr>
        <w:pStyle w:val="TOC2"/>
        <w:tabs>
          <w:tab w:val="right" w:pos="9628"/>
        </w:tabs>
        <w:spacing w:line="240" w:lineRule="auto"/>
        <w:contextualSpacing/>
        <w:rPr>
          <w:rFonts w:eastAsiaTheme="minorEastAsia" w:cstheme="minorBidi"/>
          <w:i w:val="0"/>
          <w:iCs w:val="0"/>
          <w:noProof/>
          <w:sz w:val="22"/>
          <w:szCs w:val="22"/>
          <w:lang w:eastAsia="en-AU"/>
        </w:rPr>
      </w:pPr>
      <w:r>
        <w:rPr>
          <w:noProof/>
        </w:rPr>
        <w:t>7.3. Administered – Financial Instruments</w:t>
      </w:r>
      <w:r>
        <w:rPr>
          <w:noProof/>
        </w:rPr>
        <w:tab/>
      </w:r>
      <w:r>
        <w:rPr>
          <w:noProof/>
        </w:rPr>
        <w:fldChar w:fldCharType="begin"/>
      </w:r>
      <w:r>
        <w:rPr>
          <w:noProof/>
        </w:rPr>
        <w:instrText xml:space="preserve"> PAGEREF _Toc464726647 \h </w:instrText>
      </w:r>
      <w:r>
        <w:rPr>
          <w:noProof/>
        </w:rPr>
      </w:r>
      <w:r>
        <w:rPr>
          <w:noProof/>
        </w:rPr>
        <w:fldChar w:fldCharType="separate"/>
      </w:r>
      <w:r>
        <w:rPr>
          <w:noProof/>
        </w:rPr>
        <w:t>64</w:t>
      </w:r>
      <w:r>
        <w:rPr>
          <w:noProof/>
        </w:rPr>
        <w:fldChar w:fldCharType="end"/>
      </w:r>
    </w:p>
    <w:p w:rsidR="00161F3A" w:rsidRDefault="00161F3A" w:rsidP="00161F3A">
      <w:pPr>
        <w:pStyle w:val="TOC2"/>
        <w:tabs>
          <w:tab w:val="right" w:pos="9628"/>
        </w:tabs>
        <w:spacing w:line="240" w:lineRule="auto"/>
        <w:contextualSpacing/>
        <w:rPr>
          <w:rFonts w:eastAsiaTheme="minorEastAsia" w:cstheme="minorBidi"/>
          <w:i w:val="0"/>
          <w:iCs w:val="0"/>
          <w:noProof/>
          <w:sz w:val="22"/>
          <w:szCs w:val="22"/>
          <w:lang w:eastAsia="en-AU"/>
        </w:rPr>
      </w:pPr>
      <w:r>
        <w:rPr>
          <w:noProof/>
        </w:rPr>
        <w:t>7.4. Fair Value Measurement</w:t>
      </w:r>
      <w:r>
        <w:rPr>
          <w:noProof/>
        </w:rPr>
        <w:tab/>
      </w:r>
      <w:r>
        <w:rPr>
          <w:noProof/>
        </w:rPr>
        <w:fldChar w:fldCharType="begin"/>
      </w:r>
      <w:r>
        <w:rPr>
          <w:noProof/>
        </w:rPr>
        <w:instrText xml:space="preserve"> PAGEREF _Toc464726648 \h </w:instrText>
      </w:r>
      <w:r>
        <w:rPr>
          <w:noProof/>
        </w:rPr>
      </w:r>
      <w:r>
        <w:rPr>
          <w:noProof/>
        </w:rPr>
        <w:fldChar w:fldCharType="separate"/>
      </w:r>
      <w:r>
        <w:rPr>
          <w:noProof/>
        </w:rPr>
        <w:t>67</w:t>
      </w:r>
      <w:r>
        <w:rPr>
          <w:noProof/>
        </w:rPr>
        <w:fldChar w:fldCharType="end"/>
      </w:r>
    </w:p>
    <w:p w:rsidR="00161F3A" w:rsidRDefault="00161F3A" w:rsidP="00161F3A">
      <w:pPr>
        <w:pStyle w:val="TOC2"/>
        <w:tabs>
          <w:tab w:val="right" w:pos="9628"/>
        </w:tabs>
        <w:spacing w:line="240" w:lineRule="auto"/>
        <w:contextualSpacing/>
        <w:rPr>
          <w:rFonts w:eastAsiaTheme="minorEastAsia" w:cstheme="minorBidi"/>
          <w:i w:val="0"/>
          <w:iCs w:val="0"/>
          <w:noProof/>
          <w:sz w:val="22"/>
          <w:szCs w:val="22"/>
          <w:lang w:eastAsia="en-AU"/>
        </w:rPr>
      </w:pPr>
      <w:r>
        <w:rPr>
          <w:noProof/>
        </w:rPr>
        <w:t>7.5. Administered – Fair Value Measurement</w:t>
      </w:r>
      <w:r>
        <w:rPr>
          <w:noProof/>
        </w:rPr>
        <w:tab/>
      </w:r>
      <w:r>
        <w:rPr>
          <w:noProof/>
        </w:rPr>
        <w:fldChar w:fldCharType="begin"/>
      </w:r>
      <w:r>
        <w:rPr>
          <w:noProof/>
        </w:rPr>
        <w:instrText xml:space="preserve"> PAGEREF _Toc464726649 \h </w:instrText>
      </w:r>
      <w:r>
        <w:rPr>
          <w:noProof/>
        </w:rPr>
      </w:r>
      <w:r>
        <w:rPr>
          <w:noProof/>
        </w:rPr>
        <w:fldChar w:fldCharType="separate"/>
      </w:r>
      <w:r>
        <w:rPr>
          <w:noProof/>
        </w:rPr>
        <w:t>69</w:t>
      </w:r>
      <w:r>
        <w:rPr>
          <w:noProof/>
        </w:rPr>
        <w:fldChar w:fldCharType="end"/>
      </w:r>
    </w:p>
    <w:p w:rsidR="00161F3A" w:rsidRDefault="00161F3A" w:rsidP="00161F3A">
      <w:pPr>
        <w:pStyle w:val="TOC1"/>
        <w:tabs>
          <w:tab w:val="left" w:pos="540"/>
          <w:tab w:val="right" w:pos="9628"/>
        </w:tabs>
        <w:spacing w:line="240" w:lineRule="auto"/>
        <w:contextualSpacing/>
        <w:rPr>
          <w:rFonts w:eastAsiaTheme="minorEastAsia" w:cstheme="minorBidi"/>
          <w:b w:val="0"/>
          <w:bCs w:val="0"/>
          <w:noProof/>
          <w:sz w:val="22"/>
          <w:szCs w:val="22"/>
          <w:lang w:eastAsia="en-AU"/>
        </w:rPr>
      </w:pPr>
      <w:r>
        <w:rPr>
          <w:noProof/>
        </w:rPr>
        <w:t>8.</w:t>
      </w:r>
      <w:r>
        <w:rPr>
          <w:rFonts w:eastAsiaTheme="minorEastAsia" w:cstheme="minorBidi"/>
          <w:b w:val="0"/>
          <w:bCs w:val="0"/>
          <w:noProof/>
          <w:sz w:val="22"/>
          <w:szCs w:val="22"/>
          <w:lang w:eastAsia="en-AU"/>
        </w:rPr>
        <w:tab/>
      </w:r>
      <w:r>
        <w:rPr>
          <w:noProof/>
        </w:rPr>
        <w:t>Other Information</w:t>
      </w:r>
      <w:r>
        <w:rPr>
          <w:noProof/>
        </w:rPr>
        <w:tab/>
      </w:r>
      <w:r>
        <w:rPr>
          <w:noProof/>
        </w:rPr>
        <w:fldChar w:fldCharType="begin"/>
      </w:r>
      <w:r>
        <w:rPr>
          <w:noProof/>
        </w:rPr>
        <w:instrText xml:space="preserve"> PAGEREF _Toc464726650 \h </w:instrText>
      </w:r>
      <w:r>
        <w:rPr>
          <w:noProof/>
        </w:rPr>
      </w:r>
      <w:r>
        <w:rPr>
          <w:noProof/>
        </w:rPr>
        <w:fldChar w:fldCharType="separate"/>
      </w:r>
      <w:r>
        <w:rPr>
          <w:noProof/>
        </w:rPr>
        <w:t>71</w:t>
      </w:r>
      <w:r>
        <w:rPr>
          <w:noProof/>
        </w:rPr>
        <w:fldChar w:fldCharType="end"/>
      </w:r>
    </w:p>
    <w:p w:rsidR="00161F3A" w:rsidRDefault="00161F3A" w:rsidP="00161F3A">
      <w:pPr>
        <w:pStyle w:val="TOC2"/>
        <w:tabs>
          <w:tab w:val="right" w:pos="9628"/>
        </w:tabs>
        <w:spacing w:line="240" w:lineRule="auto"/>
        <w:contextualSpacing/>
        <w:rPr>
          <w:rFonts w:eastAsiaTheme="minorEastAsia" w:cstheme="minorBidi"/>
          <w:i w:val="0"/>
          <w:iCs w:val="0"/>
          <w:noProof/>
          <w:sz w:val="22"/>
          <w:szCs w:val="22"/>
          <w:lang w:eastAsia="en-AU"/>
        </w:rPr>
      </w:pPr>
      <w:r>
        <w:rPr>
          <w:noProof/>
        </w:rPr>
        <w:t>8.1. Restructuring</w:t>
      </w:r>
      <w:r>
        <w:rPr>
          <w:noProof/>
        </w:rPr>
        <w:tab/>
      </w:r>
      <w:r>
        <w:rPr>
          <w:noProof/>
        </w:rPr>
        <w:fldChar w:fldCharType="begin"/>
      </w:r>
      <w:r>
        <w:rPr>
          <w:noProof/>
        </w:rPr>
        <w:instrText xml:space="preserve"> PAGEREF _Toc464726651 \h </w:instrText>
      </w:r>
      <w:r>
        <w:rPr>
          <w:noProof/>
        </w:rPr>
      </w:r>
      <w:r>
        <w:rPr>
          <w:noProof/>
        </w:rPr>
        <w:fldChar w:fldCharType="separate"/>
      </w:r>
      <w:r>
        <w:rPr>
          <w:noProof/>
        </w:rPr>
        <w:t>71</w:t>
      </w:r>
      <w:r>
        <w:rPr>
          <w:noProof/>
        </w:rPr>
        <w:fldChar w:fldCharType="end"/>
      </w:r>
    </w:p>
    <w:p w:rsidR="00161F3A" w:rsidRDefault="00161F3A" w:rsidP="00161F3A">
      <w:pPr>
        <w:pStyle w:val="TOC2"/>
        <w:tabs>
          <w:tab w:val="right" w:pos="9628"/>
        </w:tabs>
        <w:spacing w:line="240" w:lineRule="auto"/>
        <w:contextualSpacing/>
        <w:rPr>
          <w:rFonts w:eastAsiaTheme="minorEastAsia" w:cstheme="minorBidi"/>
          <w:i w:val="0"/>
          <w:iCs w:val="0"/>
          <w:noProof/>
          <w:sz w:val="22"/>
          <w:szCs w:val="22"/>
          <w:lang w:eastAsia="en-AU"/>
        </w:rPr>
      </w:pPr>
      <w:r>
        <w:rPr>
          <w:noProof/>
        </w:rPr>
        <w:t>8.2. Reporting of Outcomes</w:t>
      </w:r>
      <w:r>
        <w:rPr>
          <w:noProof/>
        </w:rPr>
        <w:tab/>
      </w:r>
      <w:r>
        <w:rPr>
          <w:noProof/>
        </w:rPr>
        <w:fldChar w:fldCharType="begin"/>
      </w:r>
      <w:r>
        <w:rPr>
          <w:noProof/>
        </w:rPr>
        <w:instrText xml:space="preserve"> PAGEREF _Toc464726652 \h </w:instrText>
      </w:r>
      <w:r>
        <w:rPr>
          <w:noProof/>
        </w:rPr>
      </w:r>
      <w:r>
        <w:rPr>
          <w:noProof/>
        </w:rPr>
        <w:fldChar w:fldCharType="separate"/>
      </w:r>
      <w:r>
        <w:rPr>
          <w:noProof/>
        </w:rPr>
        <w:t>75</w:t>
      </w:r>
      <w:r>
        <w:rPr>
          <w:noProof/>
        </w:rPr>
        <w:fldChar w:fldCharType="end"/>
      </w:r>
    </w:p>
    <w:p w:rsidR="003E6989" w:rsidRDefault="00161F3A" w:rsidP="003E6989">
      <w:pPr>
        <w:spacing w:line="240" w:lineRule="auto"/>
        <w:contextualSpacing/>
        <w:rPr>
          <w:lang w:eastAsia="en-AU"/>
        </w:rPr>
      </w:pPr>
      <w:r>
        <w:rPr>
          <w:rFonts w:asciiTheme="minorHAnsi" w:hAnsiTheme="minorHAnsi" w:cstheme="minorHAnsi"/>
          <w:b/>
          <w:bCs/>
          <w:sz w:val="20"/>
        </w:rPr>
        <w:fldChar w:fldCharType="end"/>
      </w:r>
      <w:r>
        <w:rPr>
          <w:lang w:eastAsia="en-AU"/>
        </w:rPr>
        <w:br w:type="page"/>
      </w:r>
    </w:p>
    <w:p w:rsidR="003E6989" w:rsidRDefault="003E6989" w:rsidP="003E6989">
      <w:pPr>
        <w:spacing w:line="240" w:lineRule="auto"/>
        <w:sectPr w:rsidR="003E6989" w:rsidSect="006A5410">
          <w:headerReference w:type="default" r:id="rId29"/>
          <w:footerReference w:type="default" r:id="rId30"/>
          <w:pgSz w:w="11906" w:h="16838"/>
          <w:pgMar w:top="1134" w:right="1134" w:bottom="1134" w:left="1134" w:header="958" w:footer="737" w:gutter="0"/>
          <w:cols w:space="720"/>
        </w:sectPr>
      </w:pPr>
    </w:p>
    <w:p w:rsidR="003E6989" w:rsidRDefault="003E6989" w:rsidP="003E6989">
      <w:pPr>
        <w:pStyle w:val="SectionHeading"/>
        <w:numPr>
          <w:ilvl w:val="0"/>
          <w:numId w:val="0"/>
        </w:numPr>
        <w:ind w:left="360" w:hanging="360"/>
      </w:pPr>
      <w:bookmarkStart w:id="142" w:name="_Toc443469521"/>
      <w:bookmarkStart w:id="143" w:name="_Toc443577395"/>
      <w:bookmarkStart w:id="144" w:name="_Toc444267415"/>
      <w:bookmarkStart w:id="145" w:name="_Toc444267550"/>
      <w:bookmarkStart w:id="146" w:name="_Toc455416727"/>
      <w:bookmarkStart w:id="147" w:name="_Toc463440697"/>
      <w:bookmarkStart w:id="148" w:name="_Toc464726282"/>
      <w:bookmarkStart w:id="149" w:name="_Toc464726618"/>
      <w:r>
        <w:lastRenderedPageBreak/>
        <w:t>Overview</w:t>
      </w:r>
      <w:bookmarkEnd w:id="142"/>
      <w:bookmarkEnd w:id="143"/>
      <w:bookmarkEnd w:id="144"/>
      <w:bookmarkEnd w:id="145"/>
      <w:bookmarkEnd w:id="146"/>
      <w:bookmarkEnd w:id="147"/>
      <w:bookmarkEnd w:id="148"/>
      <w:bookmarkEnd w:id="149"/>
    </w:p>
    <w:p w:rsidR="003E6989" w:rsidRPr="00E95939" w:rsidRDefault="003E6989" w:rsidP="003E6989">
      <w:pPr>
        <w:spacing w:after="120" w:line="120" w:lineRule="atLeast"/>
        <w:rPr>
          <w:rFonts w:ascii="Arial" w:hAnsi="Arial"/>
          <w:b/>
          <w:bCs/>
          <w:sz w:val="4"/>
          <w:szCs w:val="4"/>
        </w:rPr>
      </w:pPr>
    </w:p>
    <w:p w:rsidR="003E6989" w:rsidRPr="00242230" w:rsidRDefault="003E6989" w:rsidP="003E6989">
      <w:pPr>
        <w:spacing w:after="240" w:line="240" w:lineRule="auto"/>
        <w:rPr>
          <w:rFonts w:ascii="Arial" w:hAnsi="Arial" w:cs="Arial"/>
          <w:b/>
          <w:bCs/>
          <w:color w:val="009560"/>
          <w:szCs w:val="18"/>
          <w:lang w:eastAsia="en-AU"/>
        </w:rPr>
      </w:pPr>
      <w:r w:rsidRPr="00C12BB6">
        <w:rPr>
          <w:rFonts w:ascii="Arial" w:hAnsi="Arial" w:cs="Arial"/>
          <w:b/>
          <w:bCs/>
          <w:color w:val="009560"/>
          <w:szCs w:val="18"/>
          <w:lang w:eastAsia="en-AU"/>
        </w:rPr>
        <w:t xml:space="preserve">Objectives of the </w:t>
      </w:r>
      <w:r w:rsidR="00403CAE">
        <w:rPr>
          <w:rFonts w:ascii="Arial" w:hAnsi="Arial" w:cs="Arial"/>
          <w:b/>
          <w:bCs/>
          <w:color w:val="009560"/>
          <w:szCs w:val="18"/>
          <w:lang w:eastAsia="en-AU"/>
        </w:rPr>
        <w:t>Department of Education and Training</w:t>
      </w:r>
    </w:p>
    <w:p w:rsidR="003E6989" w:rsidRPr="00075D25" w:rsidRDefault="003E6989" w:rsidP="003E6989">
      <w:pPr>
        <w:pStyle w:val="NotesText0"/>
      </w:pPr>
      <w:r w:rsidRPr="00075D25">
        <w:t xml:space="preserve">The </w:t>
      </w:r>
      <w:r w:rsidR="00403CAE">
        <w:t>Department of Education and Training</w:t>
      </w:r>
      <w:r>
        <w:t xml:space="preserve"> </w:t>
      </w:r>
      <w:r w:rsidRPr="00075D25">
        <w:t>(the department) is an Australia</w:t>
      </w:r>
      <w:r>
        <w:t xml:space="preserve">n Government controlled </w:t>
      </w:r>
      <w:r w:rsidRPr="00075D25">
        <w:t>not-for-profit entity.</w:t>
      </w:r>
    </w:p>
    <w:p w:rsidR="003E6989" w:rsidRPr="00075D25" w:rsidRDefault="003E6989" w:rsidP="003E6989">
      <w:pPr>
        <w:pStyle w:val="NotesText0"/>
      </w:pPr>
      <w:r w:rsidRPr="00075D25">
        <w:t>The department provides advice to the Government and administers programs to achieve the Government’s objectives for education</w:t>
      </w:r>
      <w:r>
        <w:t xml:space="preserve"> and training</w:t>
      </w:r>
      <w:r w:rsidRPr="00075D25">
        <w:t>. The department works in partnership with the states and territories, non-government authorities, providers and industry.</w:t>
      </w:r>
    </w:p>
    <w:p w:rsidR="003E6989" w:rsidRPr="00075D25" w:rsidRDefault="003E6989" w:rsidP="003E6989">
      <w:pPr>
        <w:pStyle w:val="NotesText0"/>
      </w:pPr>
      <w:r>
        <w:t>For the financial year ended 30 June 2016, t</w:t>
      </w:r>
      <w:r w:rsidRPr="00075D25">
        <w:t xml:space="preserve">he department </w:t>
      </w:r>
      <w:r>
        <w:t xml:space="preserve">was </w:t>
      </w:r>
      <w:r w:rsidRPr="00075D25">
        <w:t>structured to meet the following outcomes:</w:t>
      </w:r>
    </w:p>
    <w:p w:rsidR="003E6989" w:rsidRPr="00DE355B" w:rsidRDefault="003E6989" w:rsidP="003E6989">
      <w:pPr>
        <w:pStyle w:val="NotesText0"/>
      </w:pPr>
      <w:r w:rsidRPr="00DE355B">
        <w:t>Outcome 1: Improved early learning, schooling, student educational outcomes and transitions to and from school through access to quality</w:t>
      </w:r>
      <w:r>
        <w:t xml:space="preserve"> child care</w:t>
      </w:r>
      <w:r w:rsidRPr="00DE355B">
        <w:t xml:space="preserve"> support, parent engagement, quality teaching and learning environments.</w:t>
      </w:r>
    </w:p>
    <w:p w:rsidR="003E6989" w:rsidRPr="00DE355B" w:rsidRDefault="003E6989" w:rsidP="003E6989">
      <w:pPr>
        <w:pStyle w:val="NotesText0"/>
      </w:pPr>
      <w:r w:rsidRPr="00DE355B">
        <w:t>Outcome 2: Promote growth in economic productivity and social wellbeing through access to quality higher education, international education, and international quality research, skills and training.</w:t>
      </w:r>
    </w:p>
    <w:p w:rsidR="003E6989" w:rsidRPr="00075D25" w:rsidRDefault="003E6989" w:rsidP="003E6989">
      <w:pPr>
        <w:pStyle w:val="NotesText0"/>
      </w:pPr>
      <w:r w:rsidRPr="00075D25">
        <w:t>The department</w:t>
      </w:r>
      <w:r>
        <w:t xml:space="preserve">’s responsibilities changed as a result of the Administrative Arrangement Orders (AAO) that took effect on </w:t>
      </w:r>
      <w:r>
        <w:br/>
        <w:t xml:space="preserve">21 September 2015.  Responsibility for child care and early childhood development transferred from the Department of Social Services.  The transfer of function encompasses programs 1.7 to 1.10.  </w:t>
      </w:r>
    </w:p>
    <w:p w:rsidR="003E6989" w:rsidRPr="00075D25" w:rsidRDefault="003E6989" w:rsidP="003E6989">
      <w:pPr>
        <w:pStyle w:val="NotesText0"/>
      </w:pPr>
      <w:r w:rsidRPr="00075D25">
        <w:t>The continued existence of the department in its present form and with its present programs is dependent on Government policy and on continuing funding by Parliament for the department’s administration and program</w:t>
      </w:r>
      <w:r>
        <w:t>s</w:t>
      </w:r>
      <w:r w:rsidRPr="00075D25">
        <w:t>.</w:t>
      </w:r>
    </w:p>
    <w:p w:rsidR="003E6989" w:rsidRDefault="003E6989" w:rsidP="003E6989">
      <w:pPr>
        <w:spacing w:before="100" w:after="100" w:line="240" w:lineRule="auto"/>
        <w:rPr>
          <w:rFonts w:ascii="Arial" w:hAnsi="Arial" w:cs="Arial"/>
          <w:szCs w:val="18"/>
          <w:lang w:eastAsia="en-AU"/>
        </w:rPr>
      </w:pPr>
      <w:r w:rsidRPr="00075D25">
        <w:t>The department’s activities contributing toward these outcomes are classified as either departmental or administered.  Departmental activities involve the use of assets, liabilities, income and expenses controlled or incurred by the department in its own right.  Administered activities involve the management or oversight by the department, on behalf of the Government, of items controlled or incurred by the Government.</w:t>
      </w:r>
    </w:p>
    <w:p w:rsidR="003E6989" w:rsidRPr="00242230" w:rsidRDefault="003E6989" w:rsidP="003E6989">
      <w:pPr>
        <w:spacing w:before="240" w:after="240" w:line="240" w:lineRule="auto"/>
        <w:rPr>
          <w:rFonts w:ascii="Arial" w:hAnsi="Arial" w:cs="Arial"/>
          <w:b/>
          <w:bCs/>
          <w:color w:val="009560"/>
          <w:szCs w:val="18"/>
          <w:lang w:eastAsia="en-AU"/>
        </w:rPr>
      </w:pPr>
      <w:r>
        <w:rPr>
          <w:rFonts w:ascii="Arial" w:hAnsi="Arial" w:cs="Arial"/>
          <w:b/>
          <w:bCs/>
          <w:color w:val="009560"/>
          <w:szCs w:val="18"/>
          <w:lang w:eastAsia="en-AU"/>
        </w:rPr>
        <w:t>The Basis of Preparation</w:t>
      </w:r>
    </w:p>
    <w:p w:rsidR="003E6989" w:rsidRPr="00075D25" w:rsidRDefault="003E6989" w:rsidP="003E6989">
      <w:pPr>
        <w:pStyle w:val="NotesText0"/>
      </w:pPr>
      <w:r w:rsidRPr="00075D25">
        <w:t>The financial statements are general purpose financial statements and are required by section 4</w:t>
      </w:r>
      <w:r>
        <w:t>2</w:t>
      </w:r>
      <w:r w:rsidRPr="00075D25">
        <w:t xml:space="preserve"> of the</w:t>
      </w:r>
      <w:r w:rsidRPr="00075D25">
        <w:rPr>
          <w:bCs/>
        </w:rPr>
        <w:t xml:space="preserve"> </w:t>
      </w:r>
      <w:r>
        <w:rPr>
          <w:bCs/>
          <w:i/>
        </w:rPr>
        <w:t>Public Governance, Performance and Accountability Act 2013 (PGPA Act)</w:t>
      </w:r>
      <w:r w:rsidRPr="00075D25">
        <w:t>.</w:t>
      </w:r>
    </w:p>
    <w:p w:rsidR="003E6989" w:rsidRPr="00075D25" w:rsidRDefault="003E6989" w:rsidP="003E6989">
      <w:pPr>
        <w:pStyle w:val="NotesText0"/>
      </w:pPr>
      <w:r w:rsidRPr="00075D25">
        <w:t>The financial statements have been prepared in accordance with:</w:t>
      </w:r>
    </w:p>
    <w:p w:rsidR="003E6989" w:rsidRPr="008104A5" w:rsidRDefault="003E6989" w:rsidP="003E6989">
      <w:pPr>
        <w:pStyle w:val="NotesText0"/>
        <w:numPr>
          <w:ilvl w:val="0"/>
          <w:numId w:val="16"/>
        </w:numPr>
      </w:pPr>
      <w:r w:rsidRPr="00F03562">
        <w:rPr>
          <w:i/>
        </w:rPr>
        <w:t>PGPA</w:t>
      </w:r>
      <w:r>
        <w:rPr>
          <w:i/>
        </w:rPr>
        <w:t xml:space="preserve"> </w:t>
      </w:r>
      <w:r w:rsidRPr="007D3EBD">
        <w:t>Act</w:t>
      </w:r>
      <w:r w:rsidRPr="00F03562">
        <w:rPr>
          <w:i/>
        </w:rPr>
        <w:t xml:space="preserve"> (Financial Reporting Rule) 201</w:t>
      </w:r>
      <w:r>
        <w:rPr>
          <w:i/>
        </w:rPr>
        <w:t>6</w:t>
      </w:r>
      <w:r>
        <w:t xml:space="preserve"> (FRR) for reporting</w:t>
      </w:r>
      <w:r w:rsidRPr="008104A5">
        <w:t xml:space="preserve"> periods </w:t>
      </w:r>
      <w:r>
        <w:t>commencing 1 July 2015; and</w:t>
      </w:r>
    </w:p>
    <w:p w:rsidR="003E6989" w:rsidRPr="008104A5" w:rsidRDefault="003E6989" w:rsidP="003E6989">
      <w:pPr>
        <w:pStyle w:val="NotesText0"/>
        <w:numPr>
          <w:ilvl w:val="0"/>
          <w:numId w:val="16"/>
        </w:numPr>
      </w:pPr>
      <w:r w:rsidRPr="008104A5">
        <w:t>Australian Accounting Standards and Interpretations issued by the Australian Accounting Standards Board (AASB) that apply for the reporting period.</w:t>
      </w:r>
    </w:p>
    <w:p w:rsidR="003E6989" w:rsidRPr="00075D25" w:rsidRDefault="003E6989" w:rsidP="003E6989">
      <w:pPr>
        <w:pStyle w:val="NotesText0"/>
      </w:pPr>
      <w:r w:rsidRPr="00075D25">
        <w:t xml:space="preserve">The financial statements have been prepared on an accrual basis and are in accordance with the historical cost convention, except for certain assets </w:t>
      </w:r>
      <w:r>
        <w:t xml:space="preserve">and liabilities at fair value. </w:t>
      </w:r>
      <w:r w:rsidRPr="00075D25">
        <w:t>Except where stated, no allowance is made for the effect of changing prices on the results or the financial position.</w:t>
      </w:r>
    </w:p>
    <w:p w:rsidR="003E6989" w:rsidRDefault="003E6989" w:rsidP="003E6989">
      <w:pPr>
        <w:pStyle w:val="NotesText0"/>
      </w:pPr>
      <w:r w:rsidRPr="00075D25">
        <w:t>The financial statements are presented in Australian dollars and values are rounded to the nearest thousand dollars unless otherwise specified.</w:t>
      </w:r>
    </w:p>
    <w:p w:rsidR="003E6989" w:rsidRPr="00D31BED" w:rsidRDefault="003E6989" w:rsidP="003E6989">
      <w:pPr>
        <w:spacing w:before="240" w:after="240" w:line="240" w:lineRule="auto"/>
        <w:rPr>
          <w:rFonts w:ascii="Arial" w:hAnsi="Arial" w:cs="Arial"/>
          <w:b/>
          <w:bCs/>
          <w:color w:val="009560"/>
          <w:szCs w:val="18"/>
          <w:lang w:eastAsia="en-AU"/>
        </w:rPr>
      </w:pPr>
      <w:r w:rsidRPr="003A70A7">
        <w:rPr>
          <w:rFonts w:ascii="Arial" w:hAnsi="Arial" w:cs="Arial"/>
          <w:b/>
          <w:bCs/>
          <w:color w:val="009560"/>
          <w:szCs w:val="18"/>
          <w:lang w:eastAsia="en-AU"/>
        </w:rPr>
        <w:t>Significant Accounting Judgements and Estimates</w:t>
      </w:r>
      <w:r w:rsidRPr="00D31BED">
        <w:rPr>
          <w:rFonts w:ascii="Arial" w:hAnsi="Arial" w:cs="Arial"/>
          <w:b/>
          <w:bCs/>
          <w:color w:val="009560"/>
          <w:szCs w:val="18"/>
          <w:lang w:eastAsia="en-AU"/>
        </w:rPr>
        <w:t xml:space="preserve"> </w:t>
      </w:r>
    </w:p>
    <w:p w:rsidR="003E6989" w:rsidRPr="00075D25" w:rsidRDefault="003E6989" w:rsidP="003E6989">
      <w:pPr>
        <w:pStyle w:val="NotesText0"/>
      </w:pPr>
      <w:r w:rsidRPr="00075D25">
        <w:t xml:space="preserve">In the process of applying the accounting policies listed in this note, the department has not identified accounting assumptions or estimates that have a significant risk of causing a material adjustment to carrying amounts of assets and liabilities within the next reporting period. </w:t>
      </w:r>
    </w:p>
    <w:p w:rsidR="003E6989" w:rsidRPr="00075D25" w:rsidRDefault="003E6989" w:rsidP="003E6989">
      <w:pPr>
        <w:pStyle w:val="NotesText0"/>
      </w:pPr>
      <w:r w:rsidRPr="00075D25">
        <w:t>During the 201</w:t>
      </w:r>
      <w:r>
        <w:t>5-16</w:t>
      </w:r>
      <w:r w:rsidRPr="00075D25">
        <w:t xml:space="preserve"> financial year the department made the following judgements that had a significant impact on the amounts recorded in the financial statements.</w:t>
      </w:r>
    </w:p>
    <w:p w:rsidR="003E6989" w:rsidRPr="0025580A" w:rsidRDefault="003E6989" w:rsidP="003E6989">
      <w:pPr>
        <w:pStyle w:val="GreyShadeTableBreak"/>
        <w:spacing w:before="100" w:after="100" w:line="240" w:lineRule="auto"/>
        <w:rPr>
          <w:rFonts w:asciiTheme="minorHAnsi" w:hAnsiTheme="minorHAnsi" w:cs="Arial"/>
          <w:szCs w:val="18"/>
          <w:lang w:eastAsia="en-AU"/>
        </w:rPr>
      </w:pPr>
      <w:bookmarkStart w:id="150" w:name="_Toc419266935"/>
      <w:r w:rsidRPr="0025580A">
        <w:rPr>
          <w:rFonts w:asciiTheme="minorHAnsi" w:hAnsiTheme="minorHAnsi" w:cs="Arial"/>
          <w:i/>
          <w:szCs w:val="18"/>
          <w:lang w:eastAsia="en-AU"/>
        </w:rPr>
        <w:t>Child Care Fee Assistance</w:t>
      </w:r>
      <w:r w:rsidRPr="0025580A">
        <w:rPr>
          <w:rFonts w:asciiTheme="minorHAnsi" w:hAnsiTheme="minorHAnsi" w:cs="Arial"/>
          <w:szCs w:val="18"/>
          <w:lang w:eastAsia="en-AU"/>
        </w:rPr>
        <w:br/>
        <w:t>The Child Care</w:t>
      </w:r>
      <w:r>
        <w:rPr>
          <w:rFonts w:asciiTheme="minorHAnsi" w:hAnsiTheme="minorHAnsi" w:cs="Arial"/>
          <w:szCs w:val="18"/>
          <w:lang w:eastAsia="en-AU"/>
        </w:rPr>
        <w:t xml:space="preserve"> Fee Assistance (CCFA) program</w:t>
      </w:r>
      <w:r w:rsidRPr="0025580A">
        <w:rPr>
          <w:rFonts w:asciiTheme="minorHAnsi" w:hAnsiTheme="minorHAnsi" w:cs="Arial"/>
          <w:szCs w:val="18"/>
          <w:lang w:eastAsia="en-AU"/>
        </w:rPr>
        <w:t xml:space="preserve"> is aimed at assisting families with the cost of child care. Recipients receive an estimated entitlement fortnightly, either as a fee reduction via the child care provider or in some instances directly. Recipients may also receive certain benefits quarterly or annually. The benefits are paid on the basis of an estimate of taxable income and the subsequent lodgement of their tax return establishes actual income and an adjustment to the recipient’s entitlement.</w:t>
      </w:r>
    </w:p>
    <w:p w:rsidR="003E6989" w:rsidRPr="0025580A" w:rsidRDefault="003E6989" w:rsidP="003E6989">
      <w:pPr>
        <w:pStyle w:val="GreyShadeTableBreak"/>
        <w:spacing w:before="100" w:after="100" w:line="240" w:lineRule="auto"/>
        <w:rPr>
          <w:rFonts w:asciiTheme="minorHAnsi" w:hAnsiTheme="minorHAnsi" w:cs="Arial"/>
          <w:szCs w:val="18"/>
          <w:lang w:eastAsia="en-AU"/>
        </w:rPr>
      </w:pPr>
      <w:r w:rsidRPr="0025580A">
        <w:rPr>
          <w:rFonts w:asciiTheme="minorHAnsi" w:hAnsiTheme="minorHAnsi" w:cs="Arial"/>
          <w:szCs w:val="18"/>
          <w:lang w:eastAsia="en-AU"/>
        </w:rPr>
        <w:t xml:space="preserve">At any point in time there are recipients entitled to receive CCFA who have not yet received their full entitlement from the Australian Government. The department estimates a provision for these entitlements. The amount recognised as a provision is the best estimate of the consideration required to settle the present obligation as at the reporting date, taking into account the risks and uncertainties that surround the events and circumstances that affect the provision as required by </w:t>
      </w:r>
      <w:r w:rsidRPr="004061CB">
        <w:rPr>
          <w:rFonts w:asciiTheme="minorHAnsi" w:hAnsiTheme="minorHAnsi" w:cs="Arial"/>
          <w:i/>
          <w:szCs w:val="18"/>
          <w:lang w:eastAsia="en-AU"/>
        </w:rPr>
        <w:t>AASB 137 – Provision</w:t>
      </w:r>
      <w:r>
        <w:rPr>
          <w:rFonts w:asciiTheme="minorHAnsi" w:hAnsiTheme="minorHAnsi" w:cs="Arial"/>
          <w:i/>
          <w:szCs w:val="18"/>
          <w:lang w:eastAsia="en-AU"/>
        </w:rPr>
        <w:t>s</w:t>
      </w:r>
      <w:r w:rsidRPr="004061CB">
        <w:rPr>
          <w:rFonts w:asciiTheme="minorHAnsi" w:hAnsiTheme="minorHAnsi" w:cs="Arial"/>
          <w:i/>
          <w:szCs w:val="18"/>
          <w:lang w:eastAsia="en-AU"/>
        </w:rPr>
        <w:t>, Contingent Liabilities and Contingent Assets</w:t>
      </w:r>
      <w:r w:rsidRPr="0025580A">
        <w:rPr>
          <w:rFonts w:asciiTheme="minorHAnsi" w:hAnsiTheme="minorHAnsi" w:cs="Arial"/>
          <w:szCs w:val="18"/>
          <w:lang w:eastAsia="en-AU"/>
        </w:rPr>
        <w:t xml:space="preserve">. The provision calculates the current year and earlier years’ liability for claims that have yet to be realised. The methodology considers the likely lodgement profiles associated with reconciliation top-ups, lump sum claims, and quarterly and fortnightly payments, including the impact of new measures. There are also a number of eligible recipients who have received in excess of their entitlement and owe money </w:t>
      </w:r>
      <w:r w:rsidRPr="0025580A">
        <w:rPr>
          <w:rFonts w:asciiTheme="minorHAnsi" w:hAnsiTheme="minorHAnsi" w:cs="Arial"/>
          <w:szCs w:val="18"/>
          <w:lang w:eastAsia="en-AU"/>
        </w:rPr>
        <w:lastRenderedPageBreak/>
        <w:t xml:space="preserve">to the department. The department estimates a receivable for these benefits. The methodology to determine the department’s receivable considers historic recipient behaviours adjusted for the impact of new measures. The impairment allowance account for the CCFA receivable has been calculated by the Australian Government Actuary in accordance with the overall requirement of </w:t>
      </w:r>
      <w:r w:rsidRPr="004061CB">
        <w:rPr>
          <w:rFonts w:asciiTheme="minorHAnsi" w:hAnsiTheme="minorHAnsi" w:cs="Arial"/>
          <w:i/>
          <w:szCs w:val="18"/>
          <w:lang w:eastAsia="en-AU"/>
        </w:rPr>
        <w:t>AASB 136 – Impairment of Assets</w:t>
      </w:r>
      <w:r w:rsidRPr="0025580A">
        <w:rPr>
          <w:rFonts w:asciiTheme="minorHAnsi" w:hAnsiTheme="minorHAnsi" w:cs="Arial"/>
          <w:szCs w:val="18"/>
          <w:lang w:eastAsia="en-AU"/>
        </w:rPr>
        <w:t>, which relies on a profile of past customer behaviour.</w:t>
      </w:r>
    </w:p>
    <w:p w:rsidR="003E6989" w:rsidRPr="0025580A" w:rsidRDefault="003E6989" w:rsidP="003E6989">
      <w:pPr>
        <w:pStyle w:val="GreyShadeTableBreak"/>
        <w:spacing w:before="100" w:after="100" w:line="240" w:lineRule="auto"/>
        <w:rPr>
          <w:rFonts w:asciiTheme="minorHAnsi" w:hAnsiTheme="minorHAnsi" w:cs="Arial"/>
          <w:i/>
          <w:szCs w:val="18"/>
          <w:lang w:eastAsia="en-AU"/>
        </w:rPr>
      </w:pPr>
      <w:r w:rsidRPr="0025580A">
        <w:rPr>
          <w:rFonts w:asciiTheme="minorHAnsi" w:hAnsiTheme="minorHAnsi" w:cs="Arial"/>
          <w:i/>
          <w:szCs w:val="18"/>
          <w:lang w:eastAsia="en-AU"/>
        </w:rPr>
        <w:t>Higher Education Loan Program</w:t>
      </w:r>
      <w:bookmarkEnd w:id="150"/>
    </w:p>
    <w:p w:rsidR="003E6989" w:rsidRPr="0025580A" w:rsidRDefault="003E6989" w:rsidP="003E6989">
      <w:pPr>
        <w:pStyle w:val="GreyShadeTableBreak"/>
        <w:spacing w:before="100" w:after="100" w:line="240" w:lineRule="auto"/>
        <w:rPr>
          <w:rFonts w:asciiTheme="minorHAnsi" w:hAnsiTheme="minorHAnsi" w:cs="Arial"/>
          <w:szCs w:val="18"/>
          <w:lang w:eastAsia="en-AU"/>
        </w:rPr>
      </w:pPr>
      <w:r w:rsidRPr="0025580A">
        <w:rPr>
          <w:rFonts w:asciiTheme="minorHAnsi" w:hAnsiTheme="minorHAnsi" w:cs="Arial"/>
          <w:szCs w:val="18"/>
          <w:lang w:eastAsia="en-AU"/>
        </w:rPr>
        <w:t>The value of the Higher Education Loan Program (HELP) receivable is calculated each year by actuarial assessment. The two main measures impacting on the calculation of the HELP asset are the face value of the debt not expected to be repaid and the fair value of the remaining receivable, calculated as the present value of projected future cash flows.</w:t>
      </w:r>
      <w:r w:rsidR="001F2C80">
        <w:rPr>
          <w:rFonts w:asciiTheme="minorHAnsi" w:hAnsiTheme="minorHAnsi" w:cs="Arial"/>
          <w:szCs w:val="18"/>
          <w:lang w:eastAsia="en-AU"/>
        </w:rPr>
        <w:t xml:space="preserve"> </w:t>
      </w:r>
    </w:p>
    <w:p w:rsidR="003E6989" w:rsidRPr="0025580A" w:rsidDel="008B4962" w:rsidRDefault="003E6989" w:rsidP="003E6989">
      <w:pPr>
        <w:pStyle w:val="GreyShadeTableBreak"/>
        <w:spacing w:before="100" w:after="100" w:line="240" w:lineRule="auto"/>
        <w:rPr>
          <w:rFonts w:asciiTheme="minorHAnsi" w:hAnsiTheme="minorHAnsi" w:cs="Arial"/>
          <w:i/>
          <w:szCs w:val="18"/>
          <w:lang w:eastAsia="en-AU"/>
        </w:rPr>
      </w:pPr>
      <w:bookmarkStart w:id="151" w:name="_Toc419266936"/>
      <w:r>
        <w:rPr>
          <w:rFonts w:asciiTheme="minorHAnsi" w:hAnsiTheme="minorHAnsi" w:cs="Arial"/>
          <w:i/>
          <w:szCs w:val="18"/>
          <w:lang w:eastAsia="en-AU"/>
        </w:rPr>
        <w:t>Higher Education</w:t>
      </w:r>
      <w:r w:rsidRPr="0025580A" w:rsidDel="008B4962">
        <w:rPr>
          <w:rFonts w:asciiTheme="minorHAnsi" w:hAnsiTheme="minorHAnsi" w:cs="Arial"/>
          <w:i/>
          <w:szCs w:val="18"/>
          <w:lang w:eastAsia="en-AU"/>
        </w:rPr>
        <w:t xml:space="preserve"> Superannuation</w:t>
      </w:r>
      <w:bookmarkEnd w:id="151"/>
    </w:p>
    <w:p w:rsidR="003E6989" w:rsidRPr="0025580A" w:rsidRDefault="003E6989" w:rsidP="003E6989">
      <w:pPr>
        <w:pStyle w:val="GreyShadeTableBreak"/>
        <w:spacing w:before="100" w:after="100" w:line="240" w:lineRule="auto"/>
        <w:rPr>
          <w:rFonts w:asciiTheme="minorHAnsi" w:hAnsiTheme="minorHAnsi" w:cs="Arial"/>
          <w:szCs w:val="18"/>
          <w:lang w:eastAsia="en-AU"/>
        </w:rPr>
      </w:pPr>
      <w:r w:rsidRPr="0025580A">
        <w:rPr>
          <w:rFonts w:asciiTheme="minorHAnsi" w:hAnsiTheme="minorHAnsi" w:cs="Arial"/>
          <w:szCs w:val="18"/>
          <w:lang w:eastAsia="en-AU"/>
        </w:rPr>
        <w:t>The fair value of the p</w:t>
      </w:r>
      <w:r w:rsidRPr="0025580A" w:rsidDel="008B4962">
        <w:rPr>
          <w:rFonts w:asciiTheme="minorHAnsi" w:hAnsiTheme="minorHAnsi" w:cs="Arial"/>
          <w:szCs w:val="18"/>
          <w:lang w:eastAsia="en-AU"/>
        </w:rPr>
        <w:t xml:space="preserve">rovision for </w:t>
      </w:r>
      <w:r w:rsidRPr="0025580A">
        <w:rPr>
          <w:rFonts w:asciiTheme="minorHAnsi" w:hAnsiTheme="minorHAnsi" w:cs="Arial"/>
          <w:szCs w:val="18"/>
          <w:lang w:eastAsia="en-AU"/>
        </w:rPr>
        <w:t>Higher Education Superannuation in 2015-16</w:t>
      </w:r>
      <w:r w:rsidRPr="0025580A" w:rsidDel="008B4962">
        <w:rPr>
          <w:rFonts w:asciiTheme="minorHAnsi" w:hAnsiTheme="minorHAnsi" w:cs="Arial"/>
          <w:szCs w:val="18"/>
          <w:lang w:eastAsia="en-AU"/>
        </w:rPr>
        <w:t xml:space="preserve"> $</w:t>
      </w:r>
      <w:r>
        <w:rPr>
          <w:rFonts w:asciiTheme="minorHAnsi" w:hAnsiTheme="minorHAnsi" w:cs="Arial"/>
          <w:szCs w:val="18"/>
          <w:lang w:eastAsia="en-AU"/>
        </w:rPr>
        <w:t>6.950</w:t>
      </w:r>
      <w:r w:rsidRPr="0025580A">
        <w:rPr>
          <w:rFonts w:asciiTheme="minorHAnsi" w:hAnsiTheme="minorHAnsi" w:cs="Arial"/>
          <w:szCs w:val="18"/>
          <w:lang w:eastAsia="en-AU"/>
        </w:rPr>
        <w:t xml:space="preserve"> billion (2015</w:t>
      </w:r>
      <w:r w:rsidRPr="0025580A" w:rsidDel="008B4962">
        <w:rPr>
          <w:rFonts w:asciiTheme="minorHAnsi" w:hAnsiTheme="minorHAnsi" w:cs="Arial"/>
          <w:szCs w:val="18"/>
          <w:lang w:eastAsia="en-AU"/>
        </w:rPr>
        <w:t xml:space="preserve"> $6.</w:t>
      </w:r>
      <w:r w:rsidRPr="0025580A">
        <w:rPr>
          <w:rFonts w:asciiTheme="minorHAnsi" w:hAnsiTheme="minorHAnsi" w:cs="Arial"/>
          <w:szCs w:val="18"/>
          <w:lang w:eastAsia="en-AU"/>
        </w:rPr>
        <w:t>068</w:t>
      </w:r>
      <w:r w:rsidRPr="0025580A" w:rsidDel="008B4962">
        <w:rPr>
          <w:rFonts w:asciiTheme="minorHAnsi" w:hAnsiTheme="minorHAnsi" w:cs="Arial"/>
          <w:szCs w:val="18"/>
          <w:lang w:eastAsia="en-AU"/>
        </w:rPr>
        <w:t xml:space="preserve"> billion) is calculated annually by actuarial assessment. The provision is valued in accordance with the requirements of </w:t>
      </w:r>
      <w:r w:rsidRPr="004061CB" w:rsidDel="008B4962">
        <w:rPr>
          <w:rFonts w:asciiTheme="minorHAnsi" w:hAnsiTheme="minorHAnsi" w:cs="Arial"/>
          <w:i/>
          <w:szCs w:val="18"/>
          <w:lang w:eastAsia="en-AU"/>
        </w:rPr>
        <w:t>AASB119, Employee Benefits</w:t>
      </w:r>
      <w:r w:rsidRPr="0025580A" w:rsidDel="008B4962">
        <w:rPr>
          <w:rFonts w:asciiTheme="minorHAnsi" w:hAnsiTheme="minorHAnsi" w:cs="Arial"/>
          <w:szCs w:val="18"/>
          <w:lang w:eastAsia="en-AU"/>
        </w:rPr>
        <w:t xml:space="preserve">.  The discount rate used is based on the yields available on government bonds. The prevailing rate as at 30 </w:t>
      </w:r>
      <w:r w:rsidRPr="0025580A">
        <w:rPr>
          <w:rFonts w:asciiTheme="minorHAnsi" w:hAnsiTheme="minorHAnsi" w:cs="Arial"/>
          <w:szCs w:val="18"/>
          <w:lang w:eastAsia="en-AU"/>
        </w:rPr>
        <w:t>June 2016</w:t>
      </w:r>
      <w:r w:rsidRPr="0025580A" w:rsidDel="008B4962">
        <w:rPr>
          <w:rFonts w:asciiTheme="minorHAnsi" w:hAnsiTheme="minorHAnsi" w:cs="Arial"/>
          <w:szCs w:val="18"/>
          <w:lang w:eastAsia="en-AU"/>
        </w:rPr>
        <w:t xml:space="preserve"> is </w:t>
      </w:r>
      <w:r>
        <w:rPr>
          <w:rFonts w:asciiTheme="minorHAnsi" w:hAnsiTheme="minorHAnsi" w:cs="Arial"/>
          <w:szCs w:val="18"/>
          <w:lang w:eastAsia="en-AU"/>
        </w:rPr>
        <w:t>2.7</w:t>
      </w:r>
      <w:r w:rsidRPr="0025580A">
        <w:rPr>
          <w:rFonts w:asciiTheme="minorHAnsi" w:hAnsiTheme="minorHAnsi" w:cs="Arial"/>
          <w:szCs w:val="18"/>
          <w:lang w:eastAsia="en-AU"/>
        </w:rPr>
        <w:t>% (2015 3.7</w:t>
      </w:r>
      <w:r w:rsidRPr="0025580A" w:rsidDel="008B4962">
        <w:rPr>
          <w:rFonts w:asciiTheme="minorHAnsi" w:hAnsiTheme="minorHAnsi" w:cs="Arial"/>
          <w:szCs w:val="18"/>
          <w:lang w:eastAsia="en-AU"/>
        </w:rPr>
        <w:t>%).</w:t>
      </w:r>
    </w:p>
    <w:p w:rsidR="003E6989" w:rsidRPr="002257EA" w:rsidRDefault="003E6989" w:rsidP="003E6989">
      <w:pPr>
        <w:pStyle w:val="PolicyTextAdminbold"/>
        <w:shd w:val="clear" w:color="auto" w:fill="D9D9D9" w:themeFill="background1" w:themeFillShade="D9"/>
        <w:spacing w:before="100" w:after="100" w:line="240" w:lineRule="auto"/>
      </w:pPr>
      <w:r w:rsidRPr="002257EA">
        <w:t>Reporting of administered activities</w:t>
      </w:r>
    </w:p>
    <w:p w:rsidR="003E6989" w:rsidRDefault="003E6989" w:rsidP="003E6989">
      <w:pPr>
        <w:pStyle w:val="PolicyTextAdmin"/>
        <w:shd w:val="clear" w:color="auto" w:fill="D9D9D9" w:themeFill="background1" w:themeFillShade="D9"/>
        <w:spacing w:before="100" w:after="100" w:line="240" w:lineRule="auto"/>
      </w:pPr>
      <w:r w:rsidRPr="00E95939">
        <w:t xml:space="preserve">Administered revenues, expenses, assets, liabilities and cash flows are disclosed in the administered schedules and related notes. </w:t>
      </w:r>
    </w:p>
    <w:p w:rsidR="003E6989" w:rsidRPr="00E95939" w:rsidRDefault="003E6989" w:rsidP="003E6989">
      <w:pPr>
        <w:pStyle w:val="PolicyTextAdmin"/>
        <w:shd w:val="clear" w:color="auto" w:fill="D9D9D9" w:themeFill="background1" w:themeFillShade="D9"/>
        <w:spacing w:before="100" w:after="100" w:line="240" w:lineRule="auto"/>
      </w:pPr>
      <w:r>
        <w:t>Unless</w:t>
      </w:r>
      <w:r w:rsidRPr="00E95939">
        <w:t xml:space="preserve"> otherwise stated, administered items are accounted for on the same basis and using the same policies as for departmental items, including the application of Australian Accounting Standards.</w:t>
      </w:r>
    </w:p>
    <w:p w:rsidR="003E6989" w:rsidRPr="00C12BB6" w:rsidRDefault="003E6989" w:rsidP="003E6989">
      <w:pPr>
        <w:spacing w:before="240" w:after="240" w:line="240" w:lineRule="auto"/>
        <w:rPr>
          <w:rFonts w:ascii="Arial" w:hAnsi="Arial" w:cs="Arial"/>
          <w:b/>
          <w:bCs/>
          <w:color w:val="009560"/>
          <w:szCs w:val="18"/>
          <w:lang w:eastAsia="en-AU"/>
        </w:rPr>
      </w:pPr>
      <w:r w:rsidRPr="00C12BB6">
        <w:rPr>
          <w:rFonts w:ascii="Arial" w:hAnsi="Arial" w:cs="Arial"/>
          <w:b/>
          <w:bCs/>
          <w:color w:val="009560"/>
          <w:szCs w:val="18"/>
          <w:lang w:eastAsia="en-AU"/>
        </w:rPr>
        <w:t>New Australian Accounting Standards</w:t>
      </w:r>
    </w:p>
    <w:p w:rsidR="003E6989" w:rsidRDefault="003E6989" w:rsidP="003E6989">
      <w:pPr>
        <w:spacing w:before="100" w:after="100" w:line="120" w:lineRule="atLeast"/>
        <w:rPr>
          <w:rFonts w:asciiTheme="minorHAnsi" w:hAnsiTheme="minorHAnsi" w:cs="Arial"/>
          <w:i/>
          <w:szCs w:val="18"/>
          <w:u w:val="single"/>
          <w:lang w:eastAsia="en-AU"/>
        </w:rPr>
      </w:pPr>
      <w:r w:rsidRPr="00242230">
        <w:rPr>
          <w:rFonts w:asciiTheme="minorHAnsi" w:hAnsiTheme="minorHAnsi" w:cs="Arial"/>
          <w:i/>
          <w:szCs w:val="18"/>
          <w:u w:val="single"/>
          <w:lang w:eastAsia="en-AU"/>
        </w:rPr>
        <w:t>Adoption of new Australian Accounting Standard requirements</w:t>
      </w:r>
    </w:p>
    <w:p w:rsidR="003E6989" w:rsidRDefault="003E6989" w:rsidP="003E6989">
      <w:pPr>
        <w:spacing w:before="100" w:after="100" w:line="240" w:lineRule="auto"/>
      </w:pPr>
      <w:r>
        <w:rPr>
          <w:szCs w:val="18"/>
        </w:rPr>
        <w:t>No accounting standard has been adopted earlier than the application as stated in the standard.  There have been no new standards, amended standards or interpretations that were issued by the Australian Accounting Standards Board prior to the sign-off date that are applicable to the current reporting period and have a material impact on the department.</w:t>
      </w:r>
    </w:p>
    <w:p w:rsidR="003E6989" w:rsidRPr="00A1196B" w:rsidRDefault="003E6989" w:rsidP="003E6989">
      <w:pPr>
        <w:pStyle w:val="NotesText0"/>
      </w:pPr>
      <w:r w:rsidRPr="00A1196B">
        <w:t>Future Australian Accounting Standard Requirements</w:t>
      </w:r>
    </w:p>
    <w:p w:rsidR="003E6989" w:rsidRPr="00AE681F" w:rsidRDefault="003E6989" w:rsidP="003E6989">
      <w:pPr>
        <w:pStyle w:val="NotesText0"/>
      </w:pPr>
      <w:r w:rsidRPr="00AE681F">
        <w:t>The following new standards, revised standards, interpretations and amending standards were issued by the Australian Accounting Standards B</w:t>
      </w:r>
      <w:r>
        <w:t>oard prior to the sign-off date. T</w:t>
      </w:r>
      <w:r w:rsidRPr="00AE681F">
        <w:t>hey are expected to have a financial impact on the department for future reporting periods:</w:t>
      </w:r>
    </w:p>
    <w:tbl>
      <w:tblPr>
        <w:tblW w:w="9087" w:type="dxa"/>
        <w:tblInd w:w="93" w:type="dxa"/>
        <w:tblLook w:val="04A0" w:firstRow="1" w:lastRow="0" w:firstColumn="1" w:lastColumn="0" w:noHBand="0" w:noVBand="1"/>
      </w:tblPr>
      <w:tblGrid>
        <w:gridCol w:w="1575"/>
        <w:gridCol w:w="7512"/>
      </w:tblGrid>
      <w:tr w:rsidR="003E6989" w:rsidRPr="00EF3318" w:rsidTr="006A5410">
        <w:trPr>
          <w:trHeight w:val="410"/>
        </w:trPr>
        <w:tc>
          <w:tcPr>
            <w:tcW w:w="1575" w:type="dxa"/>
            <w:noWrap/>
          </w:tcPr>
          <w:p w:rsidR="003E6989" w:rsidRPr="00803335" w:rsidRDefault="003E6989" w:rsidP="006A5410">
            <w:pPr>
              <w:spacing w:before="100" w:after="100" w:line="240" w:lineRule="auto"/>
              <w:rPr>
                <w:rFonts w:asciiTheme="minorHAnsi" w:hAnsiTheme="minorHAnsi" w:cstheme="minorHAnsi"/>
                <w:color w:val="000000"/>
                <w:szCs w:val="18"/>
              </w:rPr>
            </w:pPr>
            <w:r>
              <w:rPr>
                <w:rFonts w:asciiTheme="minorHAnsi" w:hAnsiTheme="minorHAnsi" w:cstheme="minorHAnsi"/>
                <w:color w:val="000000"/>
                <w:szCs w:val="18"/>
              </w:rPr>
              <w:t>AASB 124</w:t>
            </w:r>
          </w:p>
        </w:tc>
        <w:tc>
          <w:tcPr>
            <w:tcW w:w="7512" w:type="dxa"/>
          </w:tcPr>
          <w:p w:rsidR="003E6989" w:rsidRDefault="003E6989" w:rsidP="006A5410">
            <w:pPr>
              <w:spacing w:before="100" w:after="100" w:line="240" w:lineRule="auto"/>
              <w:rPr>
                <w:rFonts w:asciiTheme="minorHAnsi" w:hAnsiTheme="minorHAnsi" w:cstheme="minorHAnsi"/>
                <w:color w:val="000000"/>
                <w:szCs w:val="18"/>
              </w:rPr>
            </w:pPr>
            <w:r>
              <w:rPr>
                <w:rFonts w:asciiTheme="minorHAnsi" w:hAnsiTheme="minorHAnsi" w:cstheme="minorHAnsi"/>
                <w:color w:val="000000"/>
                <w:szCs w:val="18"/>
              </w:rPr>
              <w:t>Related Party Disclosure – applies from 1 July 2016. Entities will be required to identify related parties and related party transactions. A separate disclosure is required where activity is collectively material or significant in nature.</w:t>
            </w:r>
          </w:p>
        </w:tc>
      </w:tr>
      <w:tr w:rsidR="003E6989" w:rsidRPr="00EF3318" w:rsidTr="006A5410">
        <w:trPr>
          <w:trHeight w:val="410"/>
        </w:trPr>
        <w:tc>
          <w:tcPr>
            <w:tcW w:w="1575" w:type="dxa"/>
            <w:noWrap/>
          </w:tcPr>
          <w:p w:rsidR="003E6989" w:rsidRPr="00803335" w:rsidRDefault="003E6989" w:rsidP="006A5410">
            <w:pPr>
              <w:spacing w:before="100" w:after="100" w:line="240" w:lineRule="auto"/>
              <w:rPr>
                <w:rFonts w:asciiTheme="minorHAnsi" w:hAnsiTheme="minorHAnsi" w:cstheme="minorHAnsi"/>
                <w:color w:val="000000"/>
                <w:szCs w:val="18"/>
              </w:rPr>
            </w:pPr>
            <w:r w:rsidRPr="00803335">
              <w:rPr>
                <w:rFonts w:asciiTheme="minorHAnsi" w:hAnsiTheme="minorHAnsi" w:cstheme="minorHAnsi"/>
                <w:color w:val="000000"/>
                <w:szCs w:val="18"/>
              </w:rPr>
              <w:t>AASB 9</w:t>
            </w:r>
          </w:p>
        </w:tc>
        <w:tc>
          <w:tcPr>
            <w:tcW w:w="7512" w:type="dxa"/>
          </w:tcPr>
          <w:p w:rsidR="003E6989" w:rsidRPr="00803335" w:rsidRDefault="003E6989" w:rsidP="006A5410">
            <w:pPr>
              <w:spacing w:before="100" w:after="100" w:line="240" w:lineRule="auto"/>
              <w:rPr>
                <w:rFonts w:asciiTheme="minorHAnsi" w:hAnsiTheme="minorHAnsi" w:cstheme="minorHAnsi"/>
                <w:color w:val="000000"/>
                <w:szCs w:val="18"/>
              </w:rPr>
            </w:pPr>
            <w:r>
              <w:rPr>
                <w:rFonts w:asciiTheme="minorHAnsi" w:hAnsiTheme="minorHAnsi" w:cstheme="minorHAnsi"/>
                <w:color w:val="000000"/>
                <w:szCs w:val="18"/>
              </w:rPr>
              <w:t xml:space="preserve">Financial Instruments </w:t>
            </w:r>
            <w:r w:rsidRPr="00803335">
              <w:rPr>
                <w:rFonts w:asciiTheme="minorHAnsi" w:hAnsiTheme="minorHAnsi" w:cstheme="minorHAnsi"/>
                <w:color w:val="000000"/>
                <w:szCs w:val="18"/>
              </w:rPr>
              <w:t>–</w:t>
            </w:r>
            <w:r>
              <w:rPr>
                <w:rFonts w:asciiTheme="minorHAnsi" w:hAnsiTheme="minorHAnsi" w:cstheme="minorHAnsi"/>
                <w:color w:val="000000"/>
                <w:szCs w:val="18"/>
              </w:rPr>
              <w:t xml:space="preserve"> ap</w:t>
            </w:r>
            <w:r w:rsidRPr="00803335">
              <w:rPr>
                <w:rFonts w:asciiTheme="minorHAnsi" w:hAnsiTheme="minorHAnsi" w:cstheme="minorHAnsi"/>
                <w:color w:val="000000"/>
                <w:szCs w:val="18"/>
              </w:rPr>
              <w:t>plies fro</w:t>
            </w:r>
            <w:r>
              <w:rPr>
                <w:rFonts w:asciiTheme="minorHAnsi" w:hAnsiTheme="minorHAnsi" w:cstheme="minorHAnsi"/>
                <w:color w:val="000000"/>
                <w:szCs w:val="18"/>
              </w:rPr>
              <w:t>m 1 January 2017</w:t>
            </w:r>
            <w:r w:rsidRPr="00803335">
              <w:rPr>
                <w:rFonts w:asciiTheme="minorHAnsi" w:hAnsiTheme="minorHAnsi" w:cstheme="minorHAnsi"/>
                <w:color w:val="000000"/>
                <w:szCs w:val="18"/>
              </w:rPr>
              <w:t>.  Potential impact on measurement of post initial recognition and recognition of gains and losses from financial instruments is yet to be assessed.</w:t>
            </w:r>
          </w:p>
        </w:tc>
      </w:tr>
      <w:tr w:rsidR="003E6989" w:rsidRPr="00EF3318" w:rsidTr="006A5410">
        <w:trPr>
          <w:trHeight w:val="410"/>
        </w:trPr>
        <w:tc>
          <w:tcPr>
            <w:tcW w:w="1575" w:type="dxa"/>
            <w:noWrap/>
          </w:tcPr>
          <w:p w:rsidR="003E6989" w:rsidRPr="00803335" w:rsidRDefault="003E6989" w:rsidP="006A5410">
            <w:pPr>
              <w:spacing w:before="100" w:after="100" w:line="240" w:lineRule="auto"/>
              <w:rPr>
                <w:rFonts w:asciiTheme="minorHAnsi" w:hAnsiTheme="minorHAnsi" w:cstheme="minorHAnsi"/>
                <w:color w:val="000000"/>
                <w:szCs w:val="18"/>
              </w:rPr>
            </w:pPr>
            <w:r w:rsidRPr="00803335">
              <w:rPr>
                <w:rFonts w:asciiTheme="minorHAnsi" w:hAnsiTheme="minorHAnsi" w:cstheme="minorHAnsi"/>
                <w:color w:val="000000"/>
                <w:szCs w:val="18"/>
              </w:rPr>
              <w:t>AASB 2010-7</w:t>
            </w:r>
          </w:p>
        </w:tc>
        <w:tc>
          <w:tcPr>
            <w:tcW w:w="7512" w:type="dxa"/>
          </w:tcPr>
          <w:p w:rsidR="003E6989" w:rsidRPr="00803335" w:rsidRDefault="003E6989" w:rsidP="006A5410">
            <w:pPr>
              <w:spacing w:before="100" w:after="100" w:line="240" w:lineRule="auto"/>
              <w:rPr>
                <w:rFonts w:asciiTheme="minorHAnsi" w:hAnsiTheme="minorHAnsi" w:cstheme="minorHAnsi"/>
                <w:color w:val="000000"/>
                <w:szCs w:val="18"/>
              </w:rPr>
            </w:pPr>
            <w:r w:rsidRPr="00803335">
              <w:rPr>
                <w:rFonts w:asciiTheme="minorHAnsi" w:hAnsiTheme="minorHAnsi" w:cstheme="minorHAnsi"/>
                <w:color w:val="000000"/>
                <w:szCs w:val="18"/>
              </w:rPr>
              <w:t>Amendments to Australian Accounting Standards arising from AASB 9</w:t>
            </w:r>
            <w:r>
              <w:rPr>
                <w:rFonts w:asciiTheme="minorHAnsi" w:hAnsiTheme="minorHAnsi" w:cstheme="minorHAnsi"/>
                <w:color w:val="000000"/>
                <w:szCs w:val="18"/>
              </w:rPr>
              <w:t xml:space="preserve"> - applies</w:t>
            </w:r>
            <w:r w:rsidRPr="00803335">
              <w:rPr>
                <w:rFonts w:asciiTheme="minorHAnsi" w:hAnsiTheme="minorHAnsi" w:cstheme="minorHAnsi"/>
                <w:color w:val="000000"/>
                <w:szCs w:val="18"/>
              </w:rPr>
              <w:t xml:space="preserve"> from </w:t>
            </w:r>
            <w:r>
              <w:rPr>
                <w:rFonts w:asciiTheme="minorHAnsi" w:hAnsiTheme="minorHAnsi" w:cstheme="minorHAnsi"/>
                <w:color w:val="000000"/>
                <w:szCs w:val="18"/>
              </w:rPr>
              <w:t>1 January 2018.</w:t>
            </w:r>
          </w:p>
        </w:tc>
      </w:tr>
      <w:tr w:rsidR="003E6989" w:rsidTr="006A5410">
        <w:tblPrEx>
          <w:tblCellMar>
            <w:left w:w="0" w:type="dxa"/>
            <w:right w:w="0" w:type="dxa"/>
          </w:tblCellMar>
        </w:tblPrEx>
        <w:trPr>
          <w:trHeight w:val="414"/>
        </w:trPr>
        <w:tc>
          <w:tcPr>
            <w:tcW w:w="1575" w:type="dxa"/>
            <w:noWrap/>
            <w:tcMar>
              <w:top w:w="0" w:type="dxa"/>
              <w:left w:w="108" w:type="dxa"/>
              <w:bottom w:w="0" w:type="dxa"/>
              <w:right w:w="108" w:type="dxa"/>
            </w:tcMar>
          </w:tcPr>
          <w:p w:rsidR="003E6989" w:rsidRPr="00803335" w:rsidRDefault="003E6989" w:rsidP="006A5410">
            <w:pPr>
              <w:spacing w:before="100" w:after="100" w:line="240" w:lineRule="auto"/>
              <w:rPr>
                <w:color w:val="000000"/>
                <w:szCs w:val="18"/>
              </w:rPr>
            </w:pPr>
            <w:r w:rsidRPr="00803335">
              <w:rPr>
                <w:color w:val="000000"/>
                <w:szCs w:val="18"/>
              </w:rPr>
              <w:t>AASB 15</w:t>
            </w:r>
          </w:p>
        </w:tc>
        <w:tc>
          <w:tcPr>
            <w:tcW w:w="7512" w:type="dxa"/>
            <w:tcMar>
              <w:top w:w="0" w:type="dxa"/>
              <w:left w:w="108" w:type="dxa"/>
              <w:bottom w:w="0" w:type="dxa"/>
              <w:right w:w="108" w:type="dxa"/>
            </w:tcMar>
          </w:tcPr>
          <w:p w:rsidR="003E6989" w:rsidRPr="00803335" w:rsidRDefault="003E6989" w:rsidP="006A5410">
            <w:pPr>
              <w:spacing w:before="100" w:after="100" w:line="240" w:lineRule="auto"/>
              <w:rPr>
                <w:rFonts w:cs="Calibri"/>
                <w:color w:val="000000"/>
                <w:szCs w:val="18"/>
              </w:rPr>
            </w:pPr>
            <w:r w:rsidRPr="00803335">
              <w:rPr>
                <w:rFonts w:cs="Calibri"/>
                <w:color w:val="000000"/>
                <w:szCs w:val="18"/>
              </w:rPr>
              <w:t xml:space="preserve">Revenue from Contracts with Customers – </w:t>
            </w:r>
            <w:r>
              <w:rPr>
                <w:rFonts w:cs="Calibri"/>
                <w:color w:val="000000"/>
                <w:szCs w:val="18"/>
              </w:rPr>
              <w:t xml:space="preserve">applies from 1 January 2018 and </w:t>
            </w:r>
            <w:r w:rsidRPr="00803335">
              <w:rPr>
                <w:rFonts w:cs="Calibri"/>
                <w:color w:val="000000"/>
                <w:szCs w:val="18"/>
              </w:rPr>
              <w:t>specifies the accounting treatment for all revenue arising from contracts with customers. The department is yet to undertake a detailed assessment of the impact of AASB15 however this is not expected to have a material impact.</w:t>
            </w:r>
          </w:p>
        </w:tc>
      </w:tr>
      <w:tr w:rsidR="003E6989" w:rsidRPr="00EF3318" w:rsidTr="006A5410">
        <w:trPr>
          <w:trHeight w:val="410"/>
        </w:trPr>
        <w:tc>
          <w:tcPr>
            <w:tcW w:w="1575" w:type="dxa"/>
            <w:noWrap/>
          </w:tcPr>
          <w:p w:rsidR="003E6989" w:rsidRPr="00803335" w:rsidRDefault="003E6989" w:rsidP="006A5410">
            <w:pPr>
              <w:spacing w:before="100" w:after="100" w:line="240" w:lineRule="auto"/>
              <w:rPr>
                <w:rFonts w:asciiTheme="minorHAnsi" w:hAnsiTheme="minorHAnsi" w:cstheme="minorHAnsi"/>
                <w:color w:val="000000"/>
                <w:szCs w:val="18"/>
              </w:rPr>
            </w:pPr>
            <w:r>
              <w:rPr>
                <w:rFonts w:asciiTheme="minorHAnsi" w:hAnsiTheme="minorHAnsi" w:cstheme="minorHAnsi"/>
                <w:color w:val="000000"/>
                <w:szCs w:val="18"/>
              </w:rPr>
              <w:t>AASB 16</w:t>
            </w:r>
          </w:p>
        </w:tc>
        <w:tc>
          <w:tcPr>
            <w:tcW w:w="7512" w:type="dxa"/>
          </w:tcPr>
          <w:p w:rsidR="003E6989" w:rsidRPr="00803335" w:rsidRDefault="003E6989" w:rsidP="006A5410">
            <w:pPr>
              <w:spacing w:before="100" w:after="100" w:line="240" w:lineRule="auto"/>
              <w:rPr>
                <w:rFonts w:asciiTheme="minorHAnsi" w:hAnsiTheme="minorHAnsi" w:cstheme="minorHAnsi"/>
                <w:color w:val="000000"/>
                <w:szCs w:val="18"/>
              </w:rPr>
            </w:pPr>
            <w:r>
              <w:rPr>
                <w:rFonts w:asciiTheme="minorHAnsi" w:hAnsiTheme="minorHAnsi" w:cstheme="minorHAnsi"/>
                <w:color w:val="000000"/>
                <w:szCs w:val="18"/>
              </w:rPr>
              <w:t>Leases – a</w:t>
            </w:r>
            <w:r w:rsidRPr="00675740">
              <w:rPr>
                <w:rFonts w:asciiTheme="minorHAnsi" w:hAnsiTheme="minorHAnsi" w:cstheme="minorHAnsi"/>
                <w:color w:val="000000"/>
                <w:szCs w:val="18"/>
              </w:rPr>
              <w:t xml:space="preserve">pplies from 1 January 2019. Potential </w:t>
            </w:r>
            <w:r>
              <w:rPr>
                <w:rFonts w:asciiTheme="minorHAnsi" w:hAnsiTheme="minorHAnsi" w:cstheme="minorHAnsi"/>
                <w:color w:val="000000"/>
                <w:szCs w:val="18"/>
              </w:rPr>
              <w:t>impact is yet to be assessed.</w:t>
            </w:r>
          </w:p>
        </w:tc>
      </w:tr>
    </w:tbl>
    <w:p w:rsidR="003E6989" w:rsidRPr="00C12BB6" w:rsidRDefault="003E6989" w:rsidP="003E6989">
      <w:pPr>
        <w:spacing w:before="240" w:after="240" w:line="240" w:lineRule="auto"/>
        <w:rPr>
          <w:rFonts w:ascii="Arial" w:hAnsi="Arial" w:cs="Arial"/>
          <w:b/>
          <w:bCs/>
          <w:color w:val="009560"/>
          <w:szCs w:val="18"/>
          <w:lang w:eastAsia="en-AU"/>
        </w:rPr>
      </w:pPr>
      <w:r>
        <w:rPr>
          <w:rFonts w:ascii="Arial" w:hAnsi="Arial" w:cs="Arial"/>
          <w:b/>
          <w:bCs/>
          <w:color w:val="009560"/>
          <w:szCs w:val="18"/>
          <w:lang w:eastAsia="en-AU"/>
        </w:rPr>
        <w:t>Taxation</w:t>
      </w:r>
    </w:p>
    <w:p w:rsidR="003E6989" w:rsidRPr="00075D25" w:rsidRDefault="003E6989" w:rsidP="003E6989">
      <w:pPr>
        <w:pStyle w:val="NotesText0"/>
      </w:pPr>
      <w:r w:rsidRPr="00075D25">
        <w:t>The department is exempt from all forms of taxation except Fringe Benefits Tax (FBT) and the Goods and Services Tax (GST).</w:t>
      </w:r>
      <w:r>
        <w:t xml:space="preserve"> </w:t>
      </w:r>
      <w:r w:rsidRPr="00075D25">
        <w:t>Revenues, expenses and assets are recognised net of GST except:</w:t>
      </w:r>
      <w:r w:rsidRPr="00075D25">
        <w:tab/>
      </w:r>
    </w:p>
    <w:p w:rsidR="003E6989" w:rsidRPr="00BC79B6" w:rsidRDefault="003E6989" w:rsidP="003E6989">
      <w:pPr>
        <w:pStyle w:val="BulletKPMG"/>
        <w:numPr>
          <w:ilvl w:val="0"/>
          <w:numId w:val="12"/>
        </w:numPr>
        <w:rPr>
          <w:rFonts w:asciiTheme="minorHAnsi" w:hAnsiTheme="minorHAnsi" w:cstheme="minorHAnsi"/>
          <w:sz w:val="18"/>
          <w:szCs w:val="18"/>
          <w:lang w:val="en-AU"/>
        </w:rPr>
      </w:pPr>
      <w:r w:rsidRPr="00BC79B6">
        <w:rPr>
          <w:rFonts w:asciiTheme="minorHAnsi" w:hAnsiTheme="minorHAnsi" w:cstheme="minorHAnsi"/>
          <w:sz w:val="18"/>
          <w:szCs w:val="18"/>
          <w:lang w:val="en-AU"/>
        </w:rPr>
        <w:t>where the amount of GST incurred is not recoverable from the Australian Taxation Office</w:t>
      </w:r>
    </w:p>
    <w:p w:rsidR="003E6989" w:rsidRPr="00D31BED" w:rsidRDefault="003E6989" w:rsidP="003E6989">
      <w:pPr>
        <w:pStyle w:val="BulletKPMG"/>
        <w:numPr>
          <w:ilvl w:val="0"/>
          <w:numId w:val="12"/>
        </w:numPr>
        <w:rPr>
          <w:rFonts w:asciiTheme="minorHAnsi" w:hAnsiTheme="minorHAnsi" w:cstheme="minorHAnsi"/>
          <w:szCs w:val="18"/>
        </w:rPr>
      </w:pPr>
      <w:r w:rsidRPr="00D31BED">
        <w:rPr>
          <w:rFonts w:asciiTheme="minorHAnsi" w:hAnsiTheme="minorHAnsi" w:cstheme="minorHAnsi"/>
          <w:sz w:val="18"/>
          <w:szCs w:val="18"/>
          <w:lang w:val="en-AU"/>
        </w:rPr>
        <w:t>for receivables and payables.</w:t>
      </w:r>
      <w:r w:rsidRPr="00D31BED">
        <w:rPr>
          <w:rFonts w:asciiTheme="minorHAnsi" w:hAnsiTheme="minorHAnsi" w:cstheme="minorHAnsi"/>
          <w:szCs w:val="18"/>
        </w:rPr>
        <w:br w:type="page"/>
      </w:r>
    </w:p>
    <w:p w:rsidR="003E6989" w:rsidRDefault="003E6989" w:rsidP="003E6989">
      <w:pPr>
        <w:spacing w:after="240" w:line="240" w:lineRule="auto"/>
        <w:rPr>
          <w:rFonts w:ascii="Arial" w:hAnsi="Arial" w:cs="Arial"/>
          <w:b/>
          <w:bCs/>
          <w:color w:val="009560"/>
          <w:szCs w:val="18"/>
          <w:lang w:eastAsia="en-AU"/>
        </w:rPr>
      </w:pPr>
      <w:r w:rsidRPr="00C12BB6">
        <w:rPr>
          <w:rFonts w:ascii="Arial" w:hAnsi="Arial" w:cs="Arial"/>
          <w:b/>
          <w:bCs/>
          <w:color w:val="009560"/>
          <w:szCs w:val="18"/>
          <w:lang w:eastAsia="en-AU"/>
        </w:rPr>
        <w:lastRenderedPageBreak/>
        <w:t>Events After the Reporting Period</w:t>
      </w:r>
    </w:p>
    <w:p w:rsidR="003E6989" w:rsidRPr="0089401D" w:rsidRDefault="003E6989" w:rsidP="003E6989">
      <w:pPr>
        <w:pStyle w:val="PlainText"/>
        <w:jc w:val="both"/>
        <w:rPr>
          <w:rFonts w:asciiTheme="minorHAnsi" w:eastAsia="Times New Roman" w:hAnsiTheme="minorHAnsi" w:cstheme="minorHAnsi"/>
          <w:sz w:val="18"/>
          <w:szCs w:val="18"/>
        </w:rPr>
      </w:pPr>
      <w:r w:rsidRPr="0089401D">
        <w:rPr>
          <w:rFonts w:asciiTheme="minorHAnsi" w:eastAsia="Times New Roman" w:hAnsiTheme="minorHAnsi" w:cstheme="minorHAnsi"/>
          <w:sz w:val="18"/>
          <w:szCs w:val="18"/>
        </w:rPr>
        <w:t xml:space="preserve">On 8 September 2016, the Secretary of the Department of Education and Training (Education) was advised of the Government’s decision to transfer Shared Services Centre functions to the Department of Finance. This restructure of administrative arrangements does not have any material impact on the Department’s 2015-16 Financial Statements. </w:t>
      </w:r>
    </w:p>
    <w:p w:rsidR="003E6989" w:rsidRDefault="003E6989" w:rsidP="003E6989">
      <w:pPr>
        <w:spacing w:after="240" w:line="240" w:lineRule="auto"/>
        <w:rPr>
          <w:rFonts w:ascii="Arial" w:hAnsi="Arial" w:cs="Arial"/>
          <w:bCs/>
          <w:color w:val="009560"/>
          <w:szCs w:val="18"/>
          <w:lang w:eastAsia="en-AU"/>
        </w:rPr>
      </w:pPr>
    </w:p>
    <w:p w:rsidR="003E6989" w:rsidRDefault="003E6989" w:rsidP="003E6989">
      <w:pPr>
        <w:spacing w:after="240" w:line="240" w:lineRule="auto"/>
        <w:rPr>
          <w:rFonts w:ascii="Arial" w:hAnsi="Arial" w:cs="Arial"/>
          <w:b/>
          <w:bCs/>
          <w:color w:val="009560"/>
          <w:szCs w:val="18"/>
          <w:lang w:eastAsia="en-AU"/>
        </w:rPr>
      </w:pPr>
      <w:r>
        <w:rPr>
          <w:rFonts w:ascii="Arial" w:hAnsi="Arial" w:cs="Arial"/>
          <w:b/>
          <w:bCs/>
          <w:color w:val="009560"/>
          <w:szCs w:val="18"/>
          <w:lang w:eastAsia="en-AU"/>
        </w:rPr>
        <w:t>Changes in Accounting Policy</w:t>
      </w:r>
    </w:p>
    <w:p w:rsidR="003E6989" w:rsidRPr="0089401D" w:rsidRDefault="003E6989" w:rsidP="003E6989">
      <w:pPr>
        <w:spacing w:before="100" w:after="100" w:line="240" w:lineRule="auto"/>
        <w:rPr>
          <w:rFonts w:ascii="Arial" w:hAnsi="Arial" w:cs="Arial"/>
          <w:b/>
          <w:bCs/>
          <w:color w:val="009560"/>
          <w:szCs w:val="18"/>
          <w:lang w:eastAsia="en-AU"/>
        </w:rPr>
      </w:pPr>
      <w:r>
        <w:rPr>
          <w:rFonts w:asciiTheme="minorHAnsi" w:hAnsiTheme="minorHAnsi" w:cstheme="minorHAnsi"/>
          <w:szCs w:val="18"/>
        </w:rPr>
        <w:t xml:space="preserve">In 2015-16 a reliable estimate of the loan fee revenue generated by HELP was calculated and reported separately in the financial statements. The total amount had previously been reported as a part of the actuarial adjustments to HELP, however with the calculation provided the treatment was to separate the revenue and expenses from the actuarial review. This resulted in a comparative adjustment to Administered Expenses. The adjustment was a total of $558.656 million impacting Fair value losses (Note 2.1H) and Other revenue (Note 2.2C). In 2015-16 the figure was included as a component of the actuarial review with the </w:t>
      </w:r>
      <w:r w:rsidRPr="0089401D">
        <w:rPr>
          <w:rFonts w:asciiTheme="minorHAnsi" w:hAnsiTheme="minorHAnsi" w:cstheme="minorHAnsi"/>
          <w:szCs w:val="18"/>
        </w:rPr>
        <w:t>total revenue being $675.522 million.</w:t>
      </w:r>
      <w:r w:rsidRPr="0089401D">
        <w:rPr>
          <w:rFonts w:ascii="Arial" w:hAnsi="Arial" w:cs="Arial"/>
          <w:b/>
          <w:bCs/>
          <w:color w:val="009560"/>
          <w:szCs w:val="18"/>
          <w:lang w:eastAsia="en-AU"/>
        </w:rPr>
        <w:t xml:space="preserve"> </w:t>
      </w:r>
    </w:p>
    <w:p w:rsidR="003E6989" w:rsidRPr="0089401D" w:rsidRDefault="003E6989" w:rsidP="003E6989">
      <w:pPr>
        <w:spacing w:before="100" w:after="100" w:line="240" w:lineRule="auto"/>
        <w:rPr>
          <w:rFonts w:ascii="Arial" w:hAnsi="Arial" w:cs="Arial"/>
          <w:b/>
          <w:bCs/>
          <w:color w:val="009560"/>
          <w:szCs w:val="18"/>
          <w:lang w:eastAsia="en-AU"/>
        </w:rPr>
      </w:pPr>
    </w:p>
    <w:p w:rsidR="003E6989" w:rsidRDefault="003E6989" w:rsidP="003E6989">
      <w:pPr>
        <w:spacing w:before="100" w:after="100" w:line="240" w:lineRule="auto"/>
        <w:rPr>
          <w:rFonts w:ascii="Arial" w:hAnsi="Arial" w:cs="Arial"/>
          <w:b/>
          <w:bCs/>
          <w:color w:val="009560"/>
          <w:szCs w:val="18"/>
          <w:lang w:eastAsia="en-AU"/>
        </w:rPr>
      </w:pPr>
      <w:r>
        <w:rPr>
          <w:rFonts w:ascii="Arial" w:hAnsi="Arial" w:cs="Arial"/>
          <w:b/>
          <w:bCs/>
          <w:color w:val="009560"/>
          <w:szCs w:val="18"/>
          <w:lang w:eastAsia="en-AU"/>
        </w:rPr>
        <w:t>Comparatives</w:t>
      </w:r>
    </w:p>
    <w:p w:rsidR="003E6989" w:rsidRDefault="003E6989" w:rsidP="003E6989">
      <w:pPr>
        <w:spacing w:before="100" w:after="100" w:line="240" w:lineRule="auto"/>
        <w:rPr>
          <w:rFonts w:asciiTheme="minorHAnsi" w:hAnsiTheme="minorHAnsi" w:cstheme="minorHAnsi"/>
          <w:szCs w:val="18"/>
        </w:rPr>
      </w:pPr>
      <w:r w:rsidRPr="00932071">
        <w:rPr>
          <w:rFonts w:asciiTheme="minorHAnsi" w:hAnsiTheme="minorHAnsi" w:cstheme="minorHAnsi"/>
          <w:szCs w:val="18"/>
        </w:rPr>
        <w:t>Where</w:t>
      </w:r>
      <w:r>
        <w:rPr>
          <w:rFonts w:asciiTheme="minorHAnsi" w:hAnsiTheme="minorHAnsi" w:cstheme="minorHAnsi"/>
          <w:szCs w:val="18"/>
        </w:rPr>
        <w:t xml:space="preserve"> necessary, comparative figures have been reclassified to conform with changes in presentation in the current year.</w:t>
      </w:r>
    </w:p>
    <w:p w:rsidR="003E6989" w:rsidRPr="0089401D" w:rsidRDefault="003E6989" w:rsidP="003E6989">
      <w:pPr>
        <w:spacing w:before="100" w:after="100" w:line="240" w:lineRule="auto"/>
        <w:rPr>
          <w:rFonts w:asciiTheme="minorHAnsi" w:hAnsiTheme="minorHAnsi" w:cstheme="minorHAnsi"/>
          <w:szCs w:val="18"/>
        </w:rPr>
      </w:pPr>
    </w:p>
    <w:p w:rsidR="003E6989" w:rsidRPr="0089401D" w:rsidRDefault="003E6989" w:rsidP="003E6989">
      <w:pPr>
        <w:spacing w:before="100" w:after="100" w:line="240" w:lineRule="auto"/>
        <w:rPr>
          <w:rFonts w:ascii="Arial" w:hAnsi="Arial" w:cs="Arial"/>
          <w:b/>
          <w:bCs/>
          <w:color w:val="009560"/>
          <w:szCs w:val="18"/>
          <w:lang w:eastAsia="en-AU"/>
        </w:rPr>
      </w:pPr>
      <w:r w:rsidRPr="0089401D">
        <w:rPr>
          <w:rFonts w:ascii="Arial" w:hAnsi="Arial" w:cs="Arial"/>
          <w:b/>
          <w:bCs/>
          <w:color w:val="009560"/>
          <w:szCs w:val="18"/>
          <w:lang w:eastAsia="en-AU"/>
        </w:rPr>
        <w:t>Breach of Section 83 of the Constitution</w:t>
      </w:r>
    </w:p>
    <w:p w:rsidR="003E6989" w:rsidRPr="004061CB" w:rsidRDefault="003E6989" w:rsidP="003E6989">
      <w:pPr>
        <w:spacing w:before="100" w:after="100" w:line="240" w:lineRule="auto"/>
        <w:rPr>
          <w:rFonts w:asciiTheme="minorHAnsi" w:hAnsiTheme="minorHAnsi" w:cstheme="minorHAnsi"/>
          <w:szCs w:val="18"/>
        </w:rPr>
      </w:pPr>
      <w:r w:rsidRPr="004061CB">
        <w:rPr>
          <w:rFonts w:asciiTheme="minorHAnsi" w:hAnsiTheme="minorHAnsi" w:cstheme="minorHAnsi"/>
          <w:szCs w:val="18"/>
        </w:rPr>
        <w:t xml:space="preserve">Section 83 of the Constitution provides that no amount may be paid out of the Consolidated Revenue Fund except under an appropriation made by law.  The Department of Finance (Finance) provided guidance to all agencies in 2011 regarding the need for risk assessments in relation to compliance with statutory conditions on payments and special appropriations, including special accounts. During 2012-13 additional legal advice was received from Finance that indicated there could be breaches of section 83 under certain circumstances with overpayments for long service leave, goods and services tax (GST) and payments under determinations of the Remuneration Tribunal.  </w:t>
      </w:r>
    </w:p>
    <w:p w:rsidR="003E6989" w:rsidRPr="004061CB" w:rsidRDefault="003E6989" w:rsidP="003E6989">
      <w:pPr>
        <w:spacing w:before="100" w:after="100" w:line="240" w:lineRule="auto"/>
        <w:rPr>
          <w:rFonts w:asciiTheme="minorHAnsi" w:hAnsiTheme="minorHAnsi" w:cstheme="minorHAnsi"/>
          <w:szCs w:val="18"/>
        </w:rPr>
      </w:pPr>
      <w:r w:rsidRPr="004061CB">
        <w:rPr>
          <w:rFonts w:asciiTheme="minorHAnsi" w:hAnsiTheme="minorHAnsi" w:cstheme="minorHAnsi"/>
          <w:szCs w:val="18"/>
        </w:rPr>
        <w:t xml:space="preserve">The department </w:t>
      </w:r>
      <w:r>
        <w:rPr>
          <w:rFonts w:asciiTheme="minorHAnsi" w:hAnsiTheme="minorHAnsi" w:cstheme="minorHAnsi"/>
          <w:szCs w:val="18"/>
        </w:rPr>
        <w:t xml:space="preserve">has nil breaches to report for 2015-16 (2014-15: nil) and </w:t>
      </w:r>
      <w:r w:rsidRPr="004061CB">
        <w:rPr>
          <w:rFonts w:asciiTheme="minorHAnsi" w:hAnsiTheme="minorHAnsi" w:cstheme="minorHAnsi"/>
          <w:szCs w:val="18"/>
        </w:rPr>
        <w:t>continues to monitor its level of compliance with section 83 of the Constitution across all legislation for which it is administratively responsible</w:t>
      </w:r>
      <w:r>
        <w:rPr>
          <w:rFonts w:asciiTheme="minorHAnsi" w:hAnsiTheme="minorHAnsi" w:cstheme="minorHAnsi"/>
          <w:szCs w:val="18"/>
        </w:rPr>
        <w:t>.</w:t>
      </w:r>
      <w:r w:rsidRPr="004061CB">
        <w:rPr>
          <w:rFonts w:asciiTheme="minorHAnsi" w:hAnsiTheme="minorHAnsi" w:cstheme="minorHAnsi"/>
          <w:szCs w:val="18"/>
        </w:rPr>
        <w:t xml:space="preserve"> </w:t>
      </w:r>
      <w:r>
        <w:rPr>
          <w:rFonts w:asciiTheme="minorHAnsi" w:hAnsiTheme="minorHAnsi" w:cstheme="minorHAnsi"/>
          <w:szCs w:val="18"/>
        </w:rPr>
        <w:t>W</w:t>
      </w:r>
      <w:r w:rsidRPr="004061CB">
        <w:rPr>
          <w:rFonts w:asciiTheme="minorHAnsi" w:hAnsiTheme="minorHAnsi" w:cstheme="minorHAnsi"/>
          <w:szCs w:val="18"/>
        </w:rPr>
        <w:t>here possible</w:t>
      </w:r>
      <w:r>
        <w:rPr>
          <w:rFonts w:asciiTheme="minorHAnsi" w:hAnsiTheme="minorHAnsi" w:cstheme="minorHAnsi"/>
          <w:szCs w:val="18"/>
        </w:rPr>
        <w:t xml:space="preserve"> and required,</w:t>
      </w:r>
      <w:r w:rsidRPr="004061CB">
        <w:rPr>
          <w:rFonts w:asciiTheme="minorHAnsi" w:hAnsiTheme="minorHAnsi" w:cstheme="minorHAnsi"/>
          <w:szCs w:val="18"/>
        </w:rPr>
        <w:t xml:space="preserve"> legislative amendments and system changes will continue to be progressed.</w:t>
      </w:r>
    </w:p>
    <w:p w:rsidR="003E6989" w:rsidRDefault="003E6989" w:rsidP="003E6989">
      <w:pPr>
        <w:spacing w:before="100" w:after="100" w:line="240" w:lineRule="auto"/>
        <w:rPr>
          <w:rFonts w:ascii="Arial" w:hAnsi="Arial" w:cs="Arial"/>
          <w:b/>
          <w:bCs/>
          <w:color w:val="009560"/>
          <w:szCs w:val="18"/>
          <w:lang w:eastAsia="en-AU"/>
        </w:rPr>
      </w:pPr>
    </w:p>
    <w:p w:rsidR="003E6989" w:rsidRPr="00571BFD" w:rsidRDefault="003E6989" w:rsidP="003E6989">
      <w:pPr>
        <w:spacing w:before="100" w:after="100" w:line="240" w:lineRule="auto"/>
        <w:rPr>
          <w:rFonts w:ascii="Arial" w:hAnsi="Arial" w:cs="Arial"/>
          <w:b/>
          <w:bCs/>
          <w:color w:val="009560"/>
          <w:szCs w:val="18"/>
          <w:lang w:eastAsia="en-AU"/>
        </w:rPr>
      </w:pPr>
      <w:r w:rsidRPr="00571BFD">
        <w:rPr>
          <w:rFonts w:ascii="Arial" w:hAnsi="Arial" w:cs="Arial"/>
          <w:b/>
          <w:bCs/>
          <w:color w:val="009560"/>
          <w:szCs w:val="18"/>
          <w:lang w:eastAsia="en-AU"/>
        </w:rPr>
        <w:t>Shared Services arrangements</w:t>
      </w:r>
    </w:p>
    <w:p w:rsidR="003E6989" w:rsidRPr="004061CB" w:rsidRDefault="003E6989" w:rsidP="003E6989">
      <w:pPr>
        <w:spacing w:before="100" w:after="100" w:line="240" w:lineRule="auto"/>
        <w:rPr>
          <w:rFonts w:asciiTheme="minorHAnsi" w:hAnsiTheme="minorHAnsi" w:cstheme="minorHAnsi"/>
          <w:szCs w:val="18"/>
        </w:rPr>
      </w:pPr>
      <w:r w:rsidRPr="004061CB">
        <w:rPr>
          <w:rFonts w:asciiTheme="minorHAnsi" w:hAnsiTheme="minorHAnsi" w:cstheme="minorHAnsi"/>
          <w:szCs w:val="18"/>
        </w:rPr>
        <w:t xml:space="preserve">The Department of Education and Training (Education) and the Department of Employment (Employment) established a Shared Services Centre (SSC) on 1 July 2014.  The SSC provides operational, transactional, advisory, and support functions for information technology and a range of corporate services. </w:t>
      </w:r>
    </w:p>
    <w:p w:rsidR="003E6989" w:rsidRPr="00E97F57" w:rsidRDefault="003E6989" w:rsidP="003E6989">
      <w:pPr>
        <w:spacing w:before="100" w:after="100" w:line="240" w:lineRule="auto"/>
        <w:rPr>
          <w:rFonts w:asciiTheme="minorHAnsi" w:hAnsiTheme="minorHAnsi" w:cstheme="minorHAnsi"/>
          <w:szCs w:val="18"/>
        </w:rPr>
      </w:pPr>
      <w:r w:rsidRPr="00E97F57">
        <w:rPr>
          <w:rFonts w:asciiTheme="minorHAnsi" w:hAnsiTheme="minorHAnsi" w:cstheme="minorHAnsi"/>
          <w:szCs w:val="18"/>
        </w:rPr>
        <w:t xml:space="preserve">The SSC is classed as a joint operating arrangement under </w:t>
      </w:r>
      <w:r w:rsidRPr="00E97F57">
        <w:rPr>
          <w:rFonts w:asciiTheme="minorHAnsi" w:hAnsiTheme="minorHAnsi" w:cstheme="minorHAnsi"/>
          <w:i/>
          <w:szCs w:val="18"/>
        </w:rPr>
        <w:t>AASB 11 – Joint Arrangements</w:t>
      </w:r>
      <w:r w:rsidRPr="00E97F57">
        <w:rPr>
          <w:rFonts w:asciiTheme="minorHAnsi" w:hAnsiTheme="minorHAnsi" w:cstheme="minorHAnsi"/>
          <w:szCs w:val="18"/>
        </w:rPr>
        <w:t xml:space="preserve">, whereby Education and Employment have joint control of the arrangement with rights to the revenue, expenses, assets and obligations for the liabilities relating to the SSC. The rights and obligations, as well as the contributions by the partner agencies are underpinned by a Heads of Agreement between the two partner departments.  The financial statements of both departments recognise their interest in the SSC on the face of the financial statements.  </w:t>
      </w:r>
    </w:p>
    <w:p w:rsidR="003E6989" w:rsidRPr="004061CB" w:rsidRDefault="003E6989" w:rsidP="003E6989">
      <w:pPr>
        <w:spacing w:before="100" w:after="100" w:line="240" w:lineRule="auto"/>
        <w:rPr>
          <w:rFonts w:asciiTheme="minorHAnsi" w:hAnsiTheme="minorHAnsi" w:cstheme="minorHAnsi"/>
          <w:szCs w:val="18"/>
        </w:rPr>
      </w:pPr>
      <w:r w:rsidRPr="004061CB">
        <w:rPr>
          <w:rFonts w:asciiTheme="minorHAnsi" w:hAnsiTheme="minorHAnsi" w:cstheme="minorHAnsi"/>
          <w:szCs w:val="18"/>
        </w:rPr>
        <w:t>The partner’s ow</w:t>
      </w:r>
      <w:r>
        <w:rPr>
          <w:rFonts w:asciiTheme="minorHAnsi" w:hAnsiTheme="minorHAnsi" w:cstheme="minorHAnsi"/>
          <w:szCs w:val="18"/>
        </w:rPr>
        <w:t xml:space="preserve">nership at 30 June 2016 is </w:t>
      </w:r>
      <w:r w:rsidRPr="00613C2D">
        <w:rPr>
          <w:rFonts w:asciiTheme="minorHAnsi" w:hAnsiTheme="minorHAnsi" w:cstheme="minorHAnsi"/>
          <w:szCs w:val="18"/>
        </w:rPr>
        <w:t>50:50</w:t>
      </w:r>
      <w:r w:rsidRPr="004061CB">
        <w:rPr>
          <w:rFonts w:asciiTheme="minorHAnsi" w:hAnsiTheme="minorHAnsi" w:cstheme="minorHAnsi"/>
          <w:szCs w:val="18"/>
        </w:rPr>
        <w:t xml:space="preserve"> (Education:Employment) with the exception of property related items which are allocated based on occupancy at an agreed date.  The resultant ownership percentage for Education in 2015-16 </w:t>
      </w:r>
      <w:r w:rsidRPr="00613C2D">
        <w:rPr>
          <w:rFonts w:asciiTheme="minorHAnsi" w:hAnsiTheme="minorHAnsi" w:cstheme="minorHAnsi"/>
          <w:szCs w:val="18"/>
        </w:rPr>
        <w:t>is 49 per cent.</w:t>
      </w:r>
      <w:r w:rsidRPr="004061CB">
        <w:rPr>
          <w:rFonts w:asciiTheme="minorHAnsi" w:hAnsiTheme="minorHAnsi" w:cstheme="minorHAnsi"/>
          <w:szCs w:val="18"/>
        </w:rPr>
        <w:t xml:space="preserve"> </w:t>
      </w:r>
    </w:p>
    <w:p w:rsidR="003E6989" w:rsidRPr="00F52ACB" w:rsidRDefault="003E6989" w:rsidP="003E6989">
      <w:pPr>
        <w:spacing w:before="100" w:after="100" w:line="240" w:lineRule="auto"/>
      </w:pPr>
      <w:r>
        <w:br w:type="page"/>
      </w:r>
    </w:p>
    <w:p w:rsidR="003E6989" w:rsidRPr="00F52ACB" w:rsidRDefault="003E6989" w:rsidP="003E6989">
      <w:pPr>
        <w:spacing w:before="100" w:after="100" w:line="240" w:lineRule="auto"/>
        <w:sectPr w:rsidR="003E6989" w:rsidRPr="00F52ACB" w:rsidSect="006A5410">
          <w:type w:val="continuous"/>
          <w:pgSz w:w="11906" w:h="16838"/>
          <w:pgMar w:top="1134" w:right="1134" w:bottom="993" w:left="1134" w:header="958" w:footer="737" w:gutter="0"/>
          <w:cols w:space="720"/>
        </w:sectPr>
      </w:pPr>
    </w:p>
    <w:p w:rsidR="003E6989" w:rsidRPr="00970D5C" w:rsidRDefault="003E6989" w:rsidP="003E6989">
      <w:pPr>
        <w:pStyle w:val="SectionHeading"/>
      </w:pPr>
      <w:bookmarkStart w:id="152" w:name="_Toc444065770"/>
      <w:bookmarkStart w:id="153" w:name="_Toc444079969"/>
      <w:bookmarkStart w:id="154" w:name="_Toc455416728"/>
      <w:bookmarkStart w:id="155" w:name="_Toc463440698"/>
      <w:bookmarkStart w:id="156" w:name="_Toc464726283"/>
      <w:bookmarkStart w:id="157" w:name="_Toc464726619"/>
      <w:bookmarkStart w:id="158" w:name="_Toc443469523"/>
      <w:r w:rsidRPr="00970D5C">
        <w:lastRenderedPageBreak/>
        <w:t xml:space="preserve">Financial </w:t>
      </w:r>
      <w:r w:rsidRPr="008F2FB9">
        <w:t>Performance</w:t>
      </w:r>
      <w:bookmarkEnd w:id="152"/>
      <w:bookmarkEnd w:id="153"/>
      <w:bookmarkEnd w:id="154"/>
      <w:bookmarkEnd w:id="155"/>
      <w:bookmarkEnd w:id="156"/>
      <w:bookmarkEnd w:id="157"/>
    </w:p>
    <w:p w:rsidR="003E6989" w:rsidRPr="009B6056" w:rsidRDefault="003E6989" w:rsidP="003E6989">
      <w:pPr>
        <w:pStyle w:val="SectionHeadingDescription"/>
      </w:pPr>
      <w:bookmarkStart w:id="159" w:name="_Toc444065771"/>
      <w:r w:rsidRPr="009B6056">
        <w:t xml:space="preserve">This section analyses the financial performance of the </w:t>
      </w:r>
      <w:r>
        <w:t>Department</w:t>
      </w:r>
      <w:r w:rsidRPr="009B6056">
        <w:t xml:space="preserve"> for the year ended </w:t>
      </w:r>
      <w:r w:rsidR="00403CAE">
        <w:t>2016</w:t>
      </w:r>
      <w:r w:rsidRPr="009B6056">
        <w:t>.</w:t>
      </w:r>
      <w:bookmarkEnd w:id="159"/>
    </w:p>
    <w:p w:rsidR="003E6989" w:rsidRPr="00970D5C" w:rsidRDefault="003E6989" w:rsidP="003E6989">
      <w:pPr>
        <w:pStyle w:val="SubHeading"/>
      </w:pPr>
      <w:bookmarkStart w:id="160" w:name="_Toc444065772"/>
      <w:bookmarkStart w:id="161" w:name="_Toc444079970"/>
      <w:bookmarkStart w:id="162" w:name="_Toc455416729"/>
      <w:bookmarkStart w:id="163" w:name="_Toc464726620"/>
      <w:bookmarkEnd w:id="158"/>
      <w:r w:rsidRPr="001B41A4">
        <w:t>Expenses</w:t>
      </w:r>
      <w:bookmarkEnd w:id="160"/>
      <w:bookmarkEnd w:id="161"/>
      <w:bookmarkEnd w:id="162"/>
      <w:bookmarkEnd w:id="163"/>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40"/>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bookmarkStart w:id="164" w:name="Note_EEXTABLE1" w:colFirst="0" w:colLast="0"/>
            <w:r>
              <w:rPr>
                <w:rFonts w:cs="Calibri"/>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2016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2015</w:t>
            </w:r>
          </w:p>
        </w:tc>
      </w:tr>
      <w:bookmarkEnd w:id="164"/>
      <w:tr w:rsidR="003E6989" w:rsidTr="006A5410">
        <w:trPr>
          <w:trHeight w:val="240"/>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r>
              <w:rPr>
                <w:rFonts w:cs="Calibri"/>
                <w:b/>
                <w:bCs/>
                <w:szCs w:val="18"/>
                <w:u w:val="single"/>
              </w:rPr>
              <w:t>1.1A: Employee benefits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$'000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40"/>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40"/>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Wages and salaries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160,954</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150,817</w:t>
            </w:r>
          </w:p>
        </w:tc>
      </w:tr>
      <w:tr w:rsidR="003E6989" w:rsidTr="006A5410">
        <w:trPr>
          <w:trHeight w:val="240"/>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Superannuation:</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40"/>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Defined contribution plans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11,736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10,538</w:t>
            </w:r>
          </w:p>
        </w:tc>
      </w:tr>
      <w:tr w:rsidR="003E6989" w:rsidTr="006A5410">
        <w:trPr>
          <w:trHeight w:val="240"/>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Defined benefit plans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19,308</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18,586</w:t>
            </w:r>
          </w:p>
        </w:tc>
      </w:tr>
      <w:tr w:rsidR="003E6989" w:rsidTr="006A5410">
        <w:trPr>
          <w:trHeight w:val="240"/>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Leave and other entitlements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18,417</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13,166</w:t>
            </w:r>
          </w:p>
        </w:tc>
      </w:tr>
      <w:tr w:rsidR="003E6989" w:rsidTr="006A5410">
        <w:trPr>
          <w:trHeight w:val="240"/>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Separations and redundancies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2,171</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11,518</w:t>
            </w:r>
          </w:p>
        </w:tc>
      </w:tr>
      <w:tr w:rsidR="003E6989" w:rsidTr="006A5410">
        <w:trPr>
          <w:trHeight w:val="240"/>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Other employee expenses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3,244</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1,936</w:t>
            </w:r>
          </w:p>
        </w:tc>
      </w:tr>
      <w:tr w:rsidR="003E6989" w:rsidTr="006A5410">
        <w:trPr>
          <w:trHeight w:val="240"/>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i/>
                <w:iCs/>
                <w:szCs w:val="18"/>
              </w:rPr>
            </w:pPr>
            <w:r>
              <w:rPr>
                <w:rFonts w:cs="Calibri"/>
                <w:b/>
                <w:bCs/>
                <w:i/>
                <w:iCs/>
                <w:szCs w:val="18"/>
              </w:rPr>
              <w:t>Total employee benefits</w:t>
            </w:r>
          </w:p>
        </w:tc>
        <w:tc>
          <w:tcPr>
            <w:tcW w:w="1238"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215,830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206,561</w:t>
            </w:r>
          </w:p>
        </w:tc>
      </w:tr>
    </w:tbl>
    <w:p w:rsidR="003E6989" w:rsidRDefault="003E6989" w:rsidP="003E6989">
      <w:pPr>
        <w:pStyle w:val="PolicyTextboxbold"/>
        <w:spacing w:before="120" w:after="80"/>
      </w:pPr>
      <w:bookmarkStart w:id="165" w:name="RANGE!D6:D16"/>
      <w:bookmarkStart w:id="166" w:name="RANGE!D6:G16"/>
      <w:bookmarkEnd w:id="165"/>
      <w:bookmarkEnd w:id="166"/>
      <w:r>
        <w:t>Accounting Policy</w:t>
      </w:r>
    </w:p>
    <w:p w:rsidR="003E6989" w:rsidRDefault="003E6989" w:rsidP="003E6989">
      <w:pPr>
        <w:pStyle w:val="PolicytextDept"/>
      </w:pPr>
      <w:r>
        <w:t>Accounting policies for employee related expenses is contained in Section 6 People and Relationships.</w:t>
      </w:r>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bookmarkStart w:id="167" w:name="Note_SXPTABLE1" w:colFirst="0" w:colLast="0"/>
            <w:r>
              <w:rPr>
                <w:rFonts w:cs="Calibri"/>
                <w:b/>
                <w:bCs/>
                <w:szCs w:val="18"/>
                <w:u w:val="single"/>
              </w:rPr>
              <w:t>1.1B: Supplier expenses</w:t>
            </w:r>
          </w:p>
        </w:tc>
        <w:tc>
          <w:tcPr>
            <w:tcW w:w="1238"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 </w:t>
            </w:r>
          </w:p>
        </w:tc>
      </w:tr>
      <w:bookmarkEnd w:id="167"/>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Goods and services supplied or rendered</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Consultants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13,925</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9,829</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Contractors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21,009</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9,660</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Travel</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4,298</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3,011</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IT services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23,090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15,378</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Property</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4,296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6,782</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Resources received free of charge</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6,446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5,464</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Other</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18,534</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15,361</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Total goods and services supplied or rendered</w:t>
            </w:r>
          </w:p>
        </w:tc>
        <w:tc>
          <w:tcPr>
            <w:tcW w:w="123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91,598</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65,485</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Goods and services are made up of:</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Provision of goods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1,398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1,729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Rendering of services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90,200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63,756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Total goods and services supplied or rendered</w:t>
            </w:r>
          </w:p>
        </w:tc>
        <w:tc>
          <w:tcPr>
            <w:tcW w:w="123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91,598</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65,485</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Other supplier expenses</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Operating lease rentals in connection with</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Minimum lease repayments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33,606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32,950</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Contingent rentals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552</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443</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Workers compensation expenses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2,167</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2,301</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Total other supplier expenses</w:t>
            </w:r>
          </w:p>
        </w:tc>
        <w:tc>
          <w:tcPr>
            <w:tcW w:w="123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36,325</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35,694</w:t>
            </w:r>
          </w:p>
        </w:tc>
      </w:tr>
      <w:tr w:rsidR="003E6989" w:rsidTr="006A5410">
        <w:trPr>
          <w:trHeight w:val="270"/>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supplier expenses</w:t>
            </w:r>
          </w:p>
        </w:tc>
        <w:tc>
          <w:tcPr>
            <w:tcW w:w="1238" w:type="dxa"/>
            <w:tcBorders>
              <w:top w:val="nil"/>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127,923</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101,179</w:t>
            </w:r>
          </w:p>
        </w:tc>
      </w:tr>
      <w:tr w:rsidR="003E6989" w:rsidTr="006A5410">
        <w:trPr>
          <w:trHeight w:val="270"/>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Leasing Commitments</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8982" w:type="dxa"/>
            <w:gridSpan w:val="4"/>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Commitments for minimum lease payments in relation to non-cancellable operating leases are payable as follows:</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Within 1 year</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35,037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36,399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Between 1 to 5 years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129,457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128,731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More than 5 years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126,672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157,997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Total operating lease commitments</w:t>
            </w:r>
          </w:p>
        </w:tc>
        <w:tc>
          <w:tcPr>
            <w:tcW w:w="123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291,166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323,127</w:t>
            </w:r>
          </w:p>
        </w:tc>
      </w:tr>
    </w:tbl>
    <w:p w:rsidR="003E6989" w:rsidRDefault="003E6989" w:rsidP="003E6989">
      <w:bookmarkStart w:id="168" w:name="RANGE!D7:G37"/>
      <w:bookmarkStart w:id="169" w:name="RANGE!D7:G39"/>
      <w:bookmarkStart w:id="170" w:name="RANGE!D7:G32"/>
      <w:bookmarkStart w:id="171" w:name="RANGE!D6:G35"/>
      <w:bookmarkStart w:id="172" w:name="RANGE!D6:D34"/>
      <w:bookmarkStart w:id="173" w:name="RANGE!D6:G34"/>
      <w:bookmarkStart w:id="174" w:name="RANGE!D7:G14"/>
      <w:bookmarkStart w:id="175" w:name="RANGE!D6:D15"/>
      <w:bookmarkStart w:id="176" w:name="RANGE!D6:G15"/>
      <w:bookmarkEnd w:id="168"/>
      <w:bookmarkEnd w:id="169"/>
      <w:bookmarkEnd w:id="170"/>
      <w:bookmarkEnd w:id="171"/>
      <w:bookmarkEnd w:id="172"/>
      <w:bookmarkEnd w:id="173"/>
      <w:bookmarkEnd w:id="174"/>
      <w:bookmarkEnd w:id="175"/>
      <w:bookmarkEnd w:id="176"/>
    </w:p>
    <w:p w:rsidR="003E6989" w:rsidRDefault="003E6989" w:rsidP="003E6989">
      <w:pPr>
        <w:spacing w:line="240" w:lineRule="auto"/>
      </w:pPr>
      <w:r>
        <w:br w:type="page"/>
      </w:r>
    </w:p>
    <w:p w:rsidR="003E6989" w:rsidRPr="00CB5F0E" w:rsidRDefault="003E6989" w:rsidP="003E6989">
      <w:pPr>
        <w:rPr>
          <w:b/>
        </w:rPr>
      </w:pPr>
      <w:r w:rsidRPr="00CB5F0E">
        <w:rPr>
          <w:b/>
        </w:rPr>
        <w:lastRenderedPageBreak/>
        <w:t>Operating Leases included are effectively non-cancellable and comprise: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811"/>
      </w:tblGrid>
      <w:tr w:rsidR="003E6989" w:rsidTr="006A5410">
        <w:tc>
          <w:tcPr>
            <w:tcW w:w="3261" w:type="dxa"/>
            <w:tcBorders>
              <w:top w:val="single" w:sz="4" w:space="0" w:color="auto"/>
              <w:left w:val="single" w:sz="4" w:space="0" w:color="auto"/>
              <w:bottom w:val="single" w:sz="4" w:space="0" w:color="auto"/>
              <w:right w:val="single" w:sz="4" w:space="0" w:color="auto"/>
            </w:tcBorders>
            <w:hideMark/>
          </w:tcPr>
          <w:p w:rsidR="003E6989" w:rsidRDefault="003E6989" w:rsidP="006A5410">
            <w:pPr>
              <w:pStyle w:val="StatementTextLevel1b"/>
              <w:rPr>
                <w:rFonts w:ascii="Calibri" w:hAnsi="Calibri"/>
              </w:rPr>
            </w:pPr>
            <w:r>
              <w:rPr>
                <w:rFonts w:ascii="Calibri" w:hAnsi="Calibri"/>
              </w:rPr>
              <w:t>Nature of lease</w:t>
            </w:r>
          </w:p>
        </w:tc>
        <w:tc>
          <w:tcPr>
            <w:tcW w:w="5811" w:type="dxa"/>
            <w:tcBorders>
              <w:top w:val="single" w:sz="4" w:space="0" w:color="auto"/>
              <w:left w:val="single" w:sz="4" w:space="0" w:color="auto"/>
              <w:bottom w:val="single" w:sz="4" w:space="0" w:color="auto"/>
              <w:right w:val="single" w:sz="4" w:space="0" w:color="auto"/>
            </w:tcBorders>
            <w:hideMark/>
          </w:tcPr>
          <w:p w:rsidR="003E6989" w:rsidRDefault="003E6989" w:rsidP="006A5410">
            <w:pPr>
              <w:pStyle w:val="StatementTextLevel1b"/>
              <w:rPr>
                <w:rFonts w:ascii="Calibri" w:hAnsi="Calibri"/>
              </w:rPr>
            </w:pPr>
            <w:r>
              <w:rPr>
                <w:rFonts w:ascii="Calibri" w:hAnsi="Calibri"/>
              </w:rPr>
              <w:t>General description of leasing arrangement</w:t>
            </w:r>
          </w:p>
        </w:tc>
      </w:tr>
      <w:tr w:rsidR="003E6989" w:rsidTr="006A5410">
        <w:tc>
          <w:tcPr>
            <w:tcW w:w="3261" w:type="dxa"/>
            <w:tcBorders>
              <w:top w:val="single" w:sz="4" w:space="0" w:color="auto"/>
              <w:left w:val="single" w:sz="4" w:space="0" w:color="auto"/>
              <w:bottom w:val="single" w:sz="4" w:space="0" w:color="auto"/>
              <w:right w:val="single" w:sz="4" w:space="0" w:color="auto"/>
            </w:tcBorders>
            <w:hideMark/>
          </w:tcPr>
          <w:p w:rsidR="003E6989" w:rsidRDefault="003E6989" w:rsidP="006A5410">
            <w:pPr>
              <w:rPr>
                <w:rFonts w:cs="Arial"/>
                <w:szCs w:val="18"/>
              </w:rPr>
            </w:pPr>
            <w:r>
              <w:rPr>
                <w:rFonts w:cs="Arial"/>
                <w:szCs w:val="18"/>
              </w:rPr>
              <w:t>Leases for office accommodation</w:t>
            </w:r>
          </w:p>
        </w:tc>
        <w:tc>
          <w:tcPr>
            <w:tcW w:w="5811" w:type="dxa"/>
            <w:tcBorders>
              <w:top w:val="single" w:sz="4" w:space="0" w:color="auto"/>
              <w:left w:val="single" w:sz="4" w:space="0" w:color="auto"/>
              <w:bottom w:val="single" w:sz="4" w:space="0" w:color="auto"/>
              <w:right w:val="single" w:sz="4" w:space="0" w:color="auto"/>
            </w:tcBorders>
            <w:hideMark/>
          </w:tcPr>
          <w:p w:rsidR="003E6989" w:rsidRDefault="003E6989" w:rsidP="006A5410">
            <w:pPr>
              <w:rPr>
                <w:rFonts w:cs="Arial"/>
                <w:szCs w:val="18"/>
              </w:rPr>
            </w:pPr>
            <w:r>
              <w:rPr>
                <w:rFonts w:cs="Arial"/>
                <w:szCs w:val="18"/>
              </w:rPr>
              <w:t>Lease payments are subject to periodic market value or indexed increases.</w:t>
            </w:r>
          </w:p>
        </w:tc>
      </w:tr>
      <w:tr w:rsidR="003E6989" w:rsidTr="006A5410">
        <w:tc>
          <w:tcPr>
            <w:tcW w:w="3261" w:type="dxa"/>
            <w:tcBorders>
              <w:top w:val="single" w:sz="4" w:space="0" w:color="auto"/>
              <w:left w:val="single" w:sz="4" w:space="0" w:color="auto"/>
              <w:bottom w:val="single" w:sz="4" w:space="0" w:color="auto"/>
              <w:right w:val="single" w:sz="4" w:space="0" w:color="auto"/>
            </w:tcBorders>
            <w:hideMark/>
          </w:tcPr>
          <w:p w:rsidR="003E6989" w:rsidRDefault="003E6989" w:rsidP="006A5410">
            <w:pPr>
              <w:rPr>
                <w:rFonts w:cs="Arial"/>
                <w:szCs w:val="18"/>
              </w:rPr>
            </w:pPr>
            <w:r>
              <w:rPr>
                <w:rFonts w:cs="Arial"/>
                <w:szCs w:val="18"/>
              </w:rPr>
              <w:t>Agreement for provision of motor vehicles to senior executive officers</w:t>
            </w:r>
          </w:p>
        </w:tc>
        <w:tc>
          <w:tcPr>
            <w:tcW w:w="5811" w:type="dxa"/>
            <w:tcBorders>
              <w:top w:val="single" w:sz="4" w:space="0" w:color="auto"/>
              <w:left w:val="single" w:sz="4" w:space="0" w:color="auto"/>
              <w:bottom w:val="single" w:sz="4" w:space="0" w:color="auto"/>
              <w:right w:val="single" w:sz="4" w:space="0" w:color="auto"/>
            </w:tcBorders>
            <w:hideMark/>
          </w:tcPr>
          <w:p w:rsidR="003E6989" w:rsidRPr="00607902" w:rsidRDefault="003E6989" w:rsidP="006A5410">
            <w:pPr>
              <w:rPr>
                <w:rFonts w:cs="Arial"/>
                <w:szCs w:val="18"/>
              </w:rPr>
            </w:pPr>
            <w:r w:rsidRPr="00607902">
              <w:rPr>
                <w:rFonts w:cs="Arial"/>
                <w:szCs w:val="18"/>
              </w:rPr>
              <w:t>No contingent rentals exist. There are no renewal or purchase options available to the department.</w:t>
            </w:r>
          </w:p>
        </w:tc>
      </w:tr>
    </w:tbl>
    <w:p w:rsidR="003E6989" w:rsidRDefault="003E6989" w:rsidP="003E6989"/>
    <w:p w:rsidR="003E6989" w:rsidRDefault="003E6989" w:rsidP="003E6989">
      <w:pPr>
        <w:pStyle w:val="PolicyTextboxbold"/>
        <w:spacing w:after="0"/>
      </w:pPr>
      <w:r w:rsidRPr="00861350">
        <w:t>Accounting Policy</w:t>
      </w:r>
    </w:p>
    <w:p w:rsidR="003E6989" w:rsidRPr="00861350" w:rsidRDefault="003E6989" w:rsidP="003E6989">
      <w:pPr>
        <w:pStyle w:val="PolicyTextdeptunderline"/>
        <w:spacing w:after="0"/>
      </w:pPr>
      <w:r>
        <w:t>Leases</w:t>
      </w:r>
    </w:p>
    <w:p w:rsidR="003E6989" w:rsidRDefault="003E6989" w:rsidP="003E6989">
      <w:pPr>
        <w:pStyle w:val="PolicytextDept"/>
        <w:spacing w:after="0"/>
      </w:pPr>
      <w:r w:rsidRPr="00861350">
        <w:t xml:space="preserve">Operating lease payments are expensed on a straight-line basis which is representative of the pattern of benefits derived from the leased assets. </w:t>
      </w:r>
    </w:p>
    <w:p w:rsidR="003E6989" w:rsidRDefault="003E6989" w:rsidP="003E6989">
      <w:pPr>
        <w:pStyle w:val="PolicytextDept"/>
        <w:spacing w:after="0"/>
      </w:pPr>
    </w:p>
    <w:p w:rsidR="003E6989" w:rsidRDefault="003E6989" w:rsidP="003E6989">
      <w:pPr>
        <w:pStyle w:val="PolicytextDept"/>
        <w:spacing w:after="0"/>
        <w:rPr>
          <w:u w:val="single"/>
        </w:rPr>
      </w:pPr>
      <w:r>
        <w:rPr>
          <w:u w:val="single"/>
        </w:rPr>
        <w:t>Resources received free of charge</w:t>
      </w:r>
    </w:p>
    <w:p w:rsidR="003E6989" w:rsidRDefault="003E6989" w:rsidP="003E6989">
      <w:pPr>
        <w:pStyle w:val="PolicytextDept"/>
        <w:spacing w:after="0"/>
      </w:pPr>
      <w:r>
        <w:t>Resources received free of charge for 2015-16 (2014-15) include:</w:t>
      </w:r>
    </w:p>
    <w:p w:rsidR="003E6989" w:rsidRDefault="003E6989" w:rsidP="003E6989">
      <w:pPr>
        <w:pStyle w:val="PolicytextDept"/>
        <w:spacing w:after="0"/>
      </w:pPr>
      <w:r>
        <w:t>ANAO financial statement audit fee $1.400 million (1.350 million)</w:t>
      </w:r>
    </w:p>
    <w:p w:rsidR="003E6989" w:rsidRDefault="003E6989" w:rsidP="003E6989">
      <w:pPr>
        <w:pStyle w:val="PolicytextDept"/>
        <w:spacing w:after="0"/>
      </w:pPr>
      <w:r>
        <w:t>ANAO performance audit fee $0.585 million (Nil)</w:t>
      </w:r>
    </w:p>
    <w:p w:rsidR="003E6989" w:rsidRPr="00E11587" w:rsidRDefault="003E6989" w:rsidP="003E6989">
      <w:pPr>
        <w:pStyle w:val="PolicytextDept"/>
        <w:spacing w:after="0"/>
      </w:pPr>
      <w:r>
        <w:t>ATO collection of revenues on behalf of the department $4.461 million (4.114 million)</w:t>
      </w:r>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bookmarkStart w:id="177" w:name="Note_GRXTABLE1" w:colFirst="0" w:colLast="0"/>
            <w:r>
              <w:rPr>
                <w:rFonts w:cs="Calibri"/>
                <w:szCs w:val="18"/>
              </w:rPr>
              <w:t> </w:t>
            </w:r>
          </w:p>
        </w:tc>
        <w:tc>
          <w:tcPr>
            <w:tcW w:w="1238"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2016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2015</w:t>
            </w:r>
          </w:p>
        </w:tc>
      </w:tr>
      <w:bookmarkEnd w:id="177"/>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r>
              <w:rPr>
                <w:rFonts w:cs="Calibri"/>
                <w:b/>
                <w:bCs/>
                <w:szCs w:val="18"/>
                <w:u w:val="single"/>
              </w:rPr>
              <w:t>1.1C: Grants</w:t>
            </w:r>
          </w:p>
        </w:tc>
        <w:tc>
          <w:tcPr>
            <w:tcW w:w="1238"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Other</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629</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257</w:t>
            </w:r>
          </w:p>
        </w:tc>
      </w:tr>
      <w:tr w:rsidR="003E6989" w:rsidTr="006A5410">
        <w:trPr>
          <w:trHeight w:val="270"/>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grants</w:t>
            </w:r>
          </w:p>
        </w:tc>
        <w:tc>
          <w:tcPr>
            <w:tcW w:w="1238"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629</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257</w:t>
            </w:r>
          </w:p>
        </w:tc>
      </w:tr>
    </w:tbl>
    <w:p w:rsidR="003E6989" w:rsidRDefault="003E6989" w:rsidP="003E6989">
      <w:bookmarkStart w:id="178" w:name="RANGE!D6:D20"/>
      <w:bookmarkStart w:id="179" w:name="RANGE!D6:G20"/>
      <w:bookmarkEnd w:id="178"/>
      <w:bookmarkEnd w:id="179"/>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bookmarkStart w:id="180" w:name="Note_DAATABLE1" w:colFirst="0" w:colLast="0"/>
            <w:r>
              <w:rPr>
                <w:rFonts w:cs="Calibri"/>
                <w:b/>
                <w:bCs/>
                <w:szCs w:val="18"/>
                <w:u w:val="single"/>
              </w:rPr>
              <w:t>1.1D: Depreciation and amortisation</w:t>
            </w:r>
          </w:p>
        </w:tc>
        <w:tc>
          <w:tcPr>
            <w:tcW w:w="1238"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 </w:t>
            </w:r>
          </w:p>
        </w:tc>
      </w:tr>
      <w:bookmarkEnd w:id="180"/>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Depreciation</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Infrastructure, plant and equipment</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3,862</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3,928</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Buildings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8</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23</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Leasehold improvements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4,608</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6,984</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Total depreciation</w:t>
            </w:r>
          </w:p>
        </w:tc>
        <w:tc>
          <w:tcPr>
            <w:tcW w:w="123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8,478</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10,935</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Amortisation</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Intangibles:</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Computer software</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16,690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15,983</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Total amortisation</w:t>
            </w:r>
          </w:p>
        </w:tc>
        <w:tc>
          <w:tcPr>
            <w:tcW w:w="123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16,690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15,983</w:t>
            </w:r>
          </w:p>
        </w:tc>
      </w:tr>
      <w:tr w:rsidR="003E6989" w:rsidTr="006A5410">
        <w:trPr>
          <w:trHeight w:val="270"/>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depreciation and amortisation</w:t>
            </w:r>
          </w:p>
        </w:tc>
        <w:tc>
          <w:tcPr>
            <w:tcW w:w="1238" w:type="dxa"/>
            <w:tcBorders>
              <w:top w:val="nil"/>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25,168</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26,918</w:t>
            </w:r>
          </w:p>
        </w:tc>
      </w:tr>
    </w:tbl>
    <w:p w:rsidR="003E6989" w:rsidRDefault="003E6989" w:rsidP="003E6989"/>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bookmarkStart w:id="181" w:name="Note_FCETABLE1" w:colFirst="0" w:colLast="0"/>
            <w:r>
              <w:rPr>
                <w:rFonts w:cs="Calibri"/>
                <w:b/>
                <w:bCs/>
                <w:szCs w:val="18"/>
                <w:u w:val="single"/>
              </w:rPr>
              <w:t>1.1E: Finance costs</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bookmarkEnd w:id="181"/>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Unwinding of discount on provision for restoration obligations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10</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Discount on surplus lease space</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41</w:t>
            </w:r>
          </w:p>
        </w:tc>
      </w:tr>
      <w:tr w:rsidR="003E6989" w:rsidTr="006A5410">
        <w:trPr>
          <w:trHeight w:val="270"/>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finance costs</w:t>
            </w:r>
          </w:p>
        </w:tc>
        <w:tc>
          <w:tcPr>
            <w:tcW w:w="1238"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51</w:t>
            </w:r>
          </w:p>
        </w:tc>
      </w:tr>
    </w:tbl>
    <w:p w:rsidR="003E6989" w:rsidRDefault="003E6989" w:rsidP="003E6989">
      <w:bookmarkStart w:id="182" w:name="RANGE!D9:G13"/>
      <w:bookmarkEnd w:id="182"/>
    </w:p>
    <w:p w:rsidR="003E6989" w:rsidRDefault="003E6989" w:rsidP="003E6989">
      <w:pPr>
        <w:spacing w:line="240" w:lineRule="auto"/>
      </w:pPr>
      <w:r>
        <w:br w:type="page"/>
      </w:r>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40"/>
        </w:trPr>
        <w:tc>
          <w:tcPr>
            <w:tcW w:w="6272"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bookmarkStart w:id="183" w:name="Note_WDATABLE1" w:colFirst="0" w:colLast="0"/>
            <w:r>
              <w:rPr>
                <w:rFonts w:ascii="Arial" w:hAnsi="Arial" w:cs="Arial"/>
                <w:szCs w:val="18"/>
              </w:rPr>
              <w:lastRenderedPageBreak/>
              <w:t> </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2016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2015</w:t>
            </w:r>
          </w:p>
        </w:tc>
      </w:tr>
      <w:bookmarkEnd w:id="183"/>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r>
              <w:rPr>
                <w:rFonts w:cs="Calibri"/>
                <w:b/>
                <w:bCs/>
                <w:szCs w:val="18"/>
                <w:u w:val="single"/>
              </w:rPr>
              <w:t>1.1F: Write-down and impairment of assets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$'000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Write-off of receivables - goods and services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47</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Impairment of receivables - goods and services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98</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Impairment  of intangibles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2,502</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2,532</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Impairment of leasehold improvements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80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264</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Write-off of non-financial assets – infrastructure, plant  and equipment</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22</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Write-off of non-financial assets – land and buildings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92</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1</w:t>
            </w:r>
          </w:p>
        </w:tc>
      </w:tr>
      <w:tr w:rsidR="003E6989" w:rsidTr="006A5410">
        <w:trPr>
          <w:trHeight w:val="270"/>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write-down and impairment of assets</w:t>
            </w:r>
          </w:p>
        </w:tc>
        <w:tc>
          <w:tcPr>
            <w:tcW w:w="1238"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2,774</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2,866</w:t>
            </w:r>
          </w:p>
        </w:tc>
      </w:tr>
    </w:tbl>
    <w:p w:rsidR="003E6989" w:rsidRDefault="003E6989" w:rsidP="003E6989">
      <w:pPr>
        <w:spacing w:line="240" w:lineRule="auto"/>
      </w:pPr>
      <w:bookmarkStart w:id="184" w:name="RANGE!D7:G18"/>
      <w:bookmarkStart w:id="185" w:name="RANGE!D6:D17"/>
      <w:bookmarkStart w:id="186" w:name="RANGE!D6:G17"/>
      <w:bookmarkStart w:id="187" w:name="RANGE!D6:D10"/>
      <w:bookmarkStart w:id="188" w:name="RANGE!D6:G10"/>
      <w:bookmarkStart w:id="189" w:name="RANGE!D6:G37"/>
      <w:bookmarkStart w:id="190" w:name="RANGE!D6:D38"/>
      <w:bookmarkStart w:id="191" w:name="RANGE!D6:G38"/>
      <w:bookmarkEnd w:id="184"/>
      <w:bookmarkEnd w:id="185"/>
      <w:bookmarkEnd w:id="186"/>
      <w:bookmarkEnd w:id="187"/>
      <w:bookmarkEnd w:id="188"/>
      <w:bookmarkEnd w:id="189"/>
      <w:bookmarkEnd w:id="190"/>
      <w:bookmarkEnd w:id="191"/>
    </w:p>
    <w:tbl>
      <w:tblPr>
        <w:tblW w:w="9087" w:type="dxa"/>
        <w:tblInd w:w="80" w:type="dxa"/>
        <w:tblLayout w:type="fixed"/>
        <w:tblLook w:val="04A0" w:firstRow="1" w:lastRow="0" w:firstColumn="1" w:lastColumn="0" w:noHBand="0" w:noVBand="1"/>
      </w:tblPr>
      <w:tblGrid>
        <w:gridCol w:w="6350"/>
        <w:gridCol w:w="1251"/>
        <w:gridCol w:w="239"/>
        <w:gridCol w:w="1247"/>
      </w:tblGrid>
      <w:tr w:rsidR="003E6989" w:rsidTr="006A5410">
        <w:trPr>
          <w:trHeight w:val="255"/>
        </w:trPr>
        <w:tc>
          <w:tcPr>
            <w:tcW w:w="6276" w:type="dxa"/>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bookmarkStart w:id="192" w:name="Note_LSATABLE1" w:colFirst="0" w:colLast="0"/>
            <w:r>
              <w:rPr>
                <w:rFonts w:cs="Calibri"/>
                <w:b/>
                <w:bCs/>
                <w:szCs w:val="18"/>
                <w:u w:val="single"/>
              </w:rPr>
              <w:t>1.1G: Losses from asset sales</w:t>
            </w:r>
          </w:p>
        </w:tc>
        <w:tc>
          <w:tcPr>
            <w:tcW w:w="1237"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3"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 </w:t>
            </w:r>
          </w:p>
        </w:tc>
      </w:tr>
      <w:bookmarkEnd w:id="192"/>
      <w:tr w:rsidR="003E6989" w:rsidTr="006A5410">
        <w:trPr>
          <w:trHeight w:val="255"/>
        </w:trPr>
        <w:tc>
          <w:tcPr>
            <w:tcW w:w="6276" w:type="dxa"/>
            <w:tcBorders>
              <w:top w:val="nil"/>
              <w:left w:val="nil"/>
              <w:bottom w:val="nil"/>
              <w:right w:val="nil"/>
            </w:tcBorders>
            <w:shd w:val="clear" w:color="FFFFFF" w:fill="FFFFFF"/>
            <w:noWrap/>
            <w:vAlign w:val="bottom"/>
            <w:hideMark/>
          </w:tcPr>
          <w:p w:rsidR="003E6989" w:rsidRDefault="003E6989" w:rsidP="006A5410">
            <w:pPr>
              <w:rPr>
                <w:rFonts w:cs="Calibri"/>
                <w:b/>
                <w:bCs/>
                <w:szCs w:val="18"/>
              </w:rPr>
            </w:pPr>
            <w:r>
              <w:rPr>
                <w:rFonts w:cs="Calibri"/>
                <w:b/>
                <w:bCs/>
                <w:szCs w:val="18"/>
              </w:rPr>
              <w:t> </w:t>
            </w:r>
          </w:p>
        </w:tc>
        <w:tc>
          <w:tcPr>
            <w:tcW w:w="1237"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3"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6"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Infrastructure, plant and equipment</w:t>
            </w:r>
          </w:p>
        </w:tc>
        <w:tc>
          <w:tcPr>
            <w:tcW w:w="1237"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3"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6"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Proceeds from sale</w:t>
            </w:r>
          </w:p>
        </w:tc>
        <w:tc>
          <w:tcPr>
            <w:tcW w:w="1237"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(23)</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(23)</w:t>
            </w:r>
          </w:p>
        </w:tc>
      </w:tr>
      <w:tr w:rsidR="003E6989" w:rsidTr="006A5410">
        <w:trPr>
          <w:trHeight w:val="255"/>
        </w:trPr>
        <w:tc>
          <w:tcPr>
            <w:tcW w:w="6276"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Carrying value of assets sold</w:t>
            </w:r>
          </w:p>
        </w:tc>
        <w:tc>
          <w:tcPr>
            <w:tcW w:w="1237"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257</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3"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23</w:t>
            </w:r>
          </w:p>
        </w:tc>
      </w:tr>
      <w:tr w:rsidR="003E6989" w:rsidTr="006A5410">
        <w:trPr>
          <w:trHeight w:val="255"/>
        </w:trPr>
        <w:tc>
          <w:tcPr>
            <w:tcW w:w="6276"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Net loss from infrastructure, plant and equipment</w:t>
            </w:r>
          </w:p>
        </w:tc>
        <w:tc>
          <w:tcPr>
            <w:tcW w:w="1237"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234</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3"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w:t>
            </w:r>
          </w:p>
        </w:tc>
      </w:tr>
      <w:tr w:rsidR="003E6989" w:rsidTr="006A5410">
        <w:trPr>
          <w:trHeight w:val="270"/>
        </w:trPr>
        <w:tc>
          <w:tcPr>
            <w:tcW w:w="6276"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losses from asset sales</w:t>
            </w:r>
          </w:p>
        </w:tc>
        <w:tc>
          <w:tcPr>
            <w:tcW w:w="1237" w:type="dxa"/>
            <w:tcBorders>
              <w:top w:val="nil"/>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234</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3" w:type="dxa"/>
            <w:tcBorders>
              <w:top w:val="nil"/>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w:t>
            </w:r>
          </w:p>
        </w:tc>
      </w:tr>
    </w:tbl>
    <w:p w:rsidR="003E6989" w:rsidRDefault="003E6989" w:rsidP="003E6989">
      <w:bookmarkStart w:id="193" w:name="RANGE!D7:I13"/>
      <w:bookmarkStart w:id="194" w:name="RANGE!D7:I14"/>
      <w:bookmarkEnd w:id="193"/>
      <w:bookmarkEnd w:id="194"/>
    </w:p>
    <w:p w:rsidR="003E6989" w:rsidRDefault="003E6989" w:rsidP="003E6989"/>
    <w:p w:rsidR="003E6989" w:rsidRDefault="003E6989" w:rsidP="003E6989">
      <w:r>
        <w:br w:type="page"/>
      </w:r>
    </w:p>
    <w:p w:rsidR="003E6989" w:rsidRPr="00B51ED1" w:rsidRDefault="003E6989" w:rsidP="003E6989">
      <w:pPr>
        <w:pStyle w:val="SubHeading"/>
      </w:pPr>
      <w:bookmarkStart w:id="195" w:name="_Toc455416730"/>
      <w:bookmarkStart w:id="196" w:name="_Toc464726621"/>
      <w:r>
        <w:lastRenderedPageBreak/>
        <w:t>Own-</w:t>
      </w:r>
      <w:r w:rsidRPr="00B51ED1">
        <w:t>Source Revenue</w:t>
      </w:r>
      <w:r>
        <w:t xml:space="preserve"> and Gains</w:t>
      </w:r>
      <w:bookmarkEnd w:id="195"/>
      <w:bookmarkEnd w:id="196"/>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bookmarkStart w:id="197" w:name="Note_GASTABLE1" w:colFirst="0" w:colLast="0"/>
            <w:r>
              <w:rPr>
                <w:rFonts w:cs="Calibri"/>
                <w:b/>
                <w:bCs/>
                <w:szCs w:val="18"/>
              </w:rPr>
              <w:t> </w:t>
            </w:r>
          </w:p>
        </w:tc>
        <w:tc>
          <w:tcPr>
            <w:tcW w:w="1238"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2016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2015</w:t>
            </w:r>
          </w:p>
        </w:tc>
      </w:tr>
      <w:bookmarkEnd w:id="197"/>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OWN-SOURCE REVENUE</w:t>
            </w:r>
          </w:p>
        </w:tc>
        <w:tc>
          <w:tcPr>
            <w:tcW w:w="1238"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r>
              <w:rPr>
                <w:rFonts w:cs="Calibri"/>
                <w:b/>
                <w:bCs/>
                <w:szCs w:val="18"/>
                <w:u w:val="single"/>
              </w:rPr>
              <w:t>1.2A: Sale of goods and rendering of services</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Provision of goods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456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444</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Rendering of services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29,280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29,941</w:t>
            </w:r>
          </w:p>
        </w:tc>
      </w:tr>
      <w:tr w:rsidR="003E6989" w:rsidTr="006A5410">
        <w:trPr>
          <w:trHeight w:val="270"/>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sale of goods and rendering of services</w:t>
            </w:r>
          </w:p>
        </w:tc>
        <w:tc>
          <w:tcPr>
            <w:tcW w:w="1238"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29,736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30,385</w:t>
            </w:r>
          </w:p>
        </w:tc>
      </w:tr>
    </w:tbl>
    <w:p w:rsidR="003E6989" w:rsidRDefault="003E6989" w:rsidP="003E6989">
      <w:bookmarkStart w:id="198" w:name="RANGE!D6:D12"/>
      <w:bookmarkStart w:id="199" w:name="RANGE!D6:G12"/>
      <w:bookmarkEnd w:id="198"/>
      <w:bookmarkEnd w:id="199"/>
    </w:p>
    <w:p w:rsidR="003E6989" w:rsidRPr="00B452C5" w:rsidRDefault="003E6989" w:rsidP="003E6989">
      <w:pPr>
        <w:pStyle w:val="PolicyTextboxbold"/>
        <w:spacing w:before="100" w:after="100" w:line="240" w:lineRule="auto"/>
      </w:pPr>
      <w:r w:rsidRPr="00B452C5">
        <w:t>Accounting Policy</w:t>
      </w:r>
    </w:p>
    <w:p w:rsidR="003E6989" w:rsidRPr="00B452C5" w:rsidRDefault="003E6989" w:rsidP="003E6989">
      <w:pPr>
        <w:pStyle w:val="PolicyTextdeptunderline"/>
        <w:spacing w:before="100" w:after="100" w:line="240" w:lineRule="auto"/>
      </w:pPr>
      <w:r w:rsidRPr="00B452C5">
        <w:t>Revenue from the sale of goods or services</w:t>
      </w:r>
    </w:p>
    <w:p w:rsidR="003E6989" w:rsidRPr="00B452C5" w:rsidRDefault="003E6989" w:rsidP="003E6989">
      <w:pPr>
        <w:pStyle w:val="PolicytextDept"/>
        <w:spacing w:before="100" w:after="100" w:line="240" w:lineRule="auto"/>
      </w:pPr>
      <w:r w:rsidRPr="00B452C5">
        <w:t>The revenue is recognised when:</w:t>
      </w:r>
    </w:p>
    <w:p w:rsidR="003E6989" w:rsidRPr="00B452C5" w:rsidRDefault="003E6989" w:rsidP="003E6989">
      <w:pPr>
        <w:pStyle w:val="Policytextdeptbulletpoint"/>
        <w:spacing w:before="100" w:after="100" w:line="240" w:lineRule="auto"/>
      </w:pPr>
      <w:r w:rsidRPr="00B452C5">
        <w:t>the amount of revenue, stage of completion and transaction costs incurred can be reliably measured; and</w:t>
      </w:r>
    </w:p>
    <w:p w:rsidR="003E6989" w:rsidRDefault="003E6989" w:rsidP="003E6989">
      <w:pPr>
        <w:pStyle w:val="Policytextdeptbulletpoint"/>
        <w:spacing w:before="100" w:after="100" w:line="240" w:lineRule="auto"/>
      </w:pPr>
      <w:r w:rsidRPr="00B452C5">
        <w:t>the probable economic benefits associated with the transact</w:t>
      </w:r>
      <w:r>
        <w:t>ion will flow to the department.</w:t>
      </w:r>
    </w:p>
    <w:p w:rsidR="003E6989" w:rsidRPr="00A87FBA" w:rsidRDefault="003E6989" w:rsidP="003E6989">
      <w:pPr>
        <w:pStyle w:val="Policytextdeptbulletpoint"/>
        <w:numPr>
          <w:ilvl w:val="0"/>
          <w:numId w:val="0"/>
        </w:numPr>
        <w:spacing w:before="100" w:after="100" w:line="240" w:lineRule="auto"/>
      </w:pPr>
      <w:r w:rsidRPr="00A87FBA">
        <w:t>The stage of completion of contracts at the reporting date is determined by reference to the proportion that costs incurred to date bear to the estimated total costs of the transaction.</w:t>
      </w:r>
      <w:r>
        <w:t xml:space="preserve"> </w:t>
      </w:r>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420"/>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bookmarkStart w:id="200" w:name="Note_SRCTABLE1" w:colFirst="0" w:colLast="0"/>
            <w:r>
              <w:rPr>
                <w:rFonts w:cs="Calibri"/>
                <w:b/>
                <w:bCs/>
                <w:szCs w:val="18"/>
              </w:rPr>
              <w:t>Subleasing rental income commitments</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bookmarkEnd w:id="200"/>
      <w:tr w:rsidR="003E6989" w:rsidTr="006A5410">
        <w:trPr>
          <w:trHeight w:val="750"/>
        </w:trPr>
        <w:tc>
          <w:tcPr>
            <w:tcW w:w="8982" w:type="dxa"/>
            <w:gridSpan w:val="4"/>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Sub lease revenue for office accommodation. Vacant office space is sub leased where possible. The total of future minimum lease payments expected to be received over the next five years is $14.318 million (2015: $11.110 million) including GST.</w:t>
            </w:r>
          </w:p>
        </w:tc>
      </w:tr>
      <w:tr w:rsidR="003E6989" w:rsidTr="006A5410">
        <w:trPr>
          <w:trHeight w:val="323"/>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Commitments for sublease rental income receivables are as follows:</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Within 1 year</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(6,174)</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(5,708)</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Between 1 to 5 years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(8,144)</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(5,124)</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More than 5 years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(278)</w:t>
            </w:r>
          </w:p>
        </w:tc>
      </w:tr>
      <w:tr w:rsidR="003E6989" w:rsidTr="006A5410">
        <w:trPr>
          <w:trHeight w:val="270"/>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operating lease commitments</w:t>
            </w:r>
          </w:p>
        </w:tc>
        <w:tc>
          <w:tcPr>
            <w:tcW w:w="1238"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(14,318)</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(11,110)</w:t>
            </w:r>
          </w:p>
        </w:tc>
      </w:tr>
    </w:tbl>
    <w:p w:rsidR="003E6989" w:rsidRDefault="003E6989" w:rsidP="003E6989"/>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rPr>
            </w:pPr>
            <w:bookmarkStart w:id="201" w:name="Note_GSATABLE1" w:colFirst="0" w:colLast="0"/>
            <w:r>
              <w:rPr>
                <w:rFonts w:cs="Calibri"/>
                <w:b/>
                <w:bCs/>
                <w:szCs w:val="18"/>
              </w:rPr>
              <w:t>GAINS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bookmarkEnd w:id="201"/>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r>
              <w:rPr>
                <w:rFonts w:cs="Calibri"/>
                <w:b/>
                <w:bCs/>
                <w:szCs w:val="18"/>
                <w:u w:val="single"/>
              </w:rPr>
              <w:t>1.2B: Sale of assets</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Land and buildings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ascii="Arial" w:hAnsi="Arial" w:cs="Arial"/>
                <w:szCs w:val="18"/>
              </w:rPr>
            </w:pPr>
            <w:r>
              <w:rPr>
                <w:rFonts w:ascii="Arial" w:hAnsi="Arial" w:cs="Arial"/>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Proceeds from sale</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712</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Carrying value of assets sold</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(625)</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Net gain from sale of land and buildings</w:t>
            </w:r>
          </w:p>
        </w:tc>
        <w:tc>
          <w:tcPr>
            <w:tcW w:w="123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87</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ascii="Arial" w:hAnsi="Arial" w:cs="Arial"/>
                <w:szCs w:val="18"/>
              </w:rPr>
            </w:pPr>
            <w:r>
              <w:rPr>
                <w:rFonts w:ascii="Arial" w:hAnsi="Arial" w:cs="Arial"/>
                <w:szCs w:val="18"/>
              </w:rPr>
              <w:t> </w:t>
            </w:r>
          </w:p>
        </w:tc>
      </w:tr>
      <w:tr w:rsidR="003E6989" w:rsidTr="006A5410">
        <w:trPr>
          <w:trHeight w:val="270"/>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Net gain from sale of assets</w:t>
            </w:r>
          </w:p>
        </w:tc>
        <w:tc>
          <w:tcPr>
            <w:tcW w:w="1238"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87</w:t>
            </w:r>
          </w:p>
        </w:tc>
      </w:tr>
    </w:tbl>
    <w:p w:rsidR="003E6989" w:rsidRDefault="003E6989" w:rsidP="003E6989"/>
    <w:p w:rsidR="003E6989" w:rsidRDefault="003E6989" w:rsidP="003E6989">
      <w:pPr>
        <w:pStyle w:val="PolicyTextboxbold"/>
      </w:pPr>
      <w:r w:rsidRPr="00A8397F">
        <w:t>Accounting Policy</w:t>
      </w:r>
    </w:p>
    <w:p w:rsidR="003E6989" w:rsidRPr="00A8397F" w:rsidRDefault="003E6989" w:rsidP="003E6989">
      <w:pPr>
        <w:pStyle w:val="PolicyTextdeptunderline"/>
      </w:pPr>
      <w:r w:rsidRPr="00A8397F">
        <w:t>Sale of assets</w:t>
      </w:r>
    </w:p>
    <w:p w:rsidR="003E6989" w:rsidRDefault="003E6989" w:rsidP="003E6989">
      <w:pPr>
        <w:pStyle w:val="PolicytextDept"/>
        <w:spacing w:after="0"/>
      </w:pPr>
      <w:r w:rsidRPr="00075D25">
        <w:t>Gains from disposal of assets are recognised when control of the</w:t>
      </w:r>
      <w:r>
        <w:t xml:space="preserve"> asset has passed to the buyer.</w:t>
      </w:r>
    </w:p>
    <w:p w:rsidR="003E6989" w:rsidRDefault="003E6989" w:rsidP="003E6989"/>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bookmarkStart w:id="202" w:name="Note_RAWTABLE1" w:colFirst="0" w:colLast="0"/>
            <w:r>
              <w:rPr>
                <w:rFonts w:cs="Calibri"/>
                <w:b/>
                <w:bCs/>
                <w:szCs w:val="18"/>
                <w:u w:val="single"/>
              </w:rPr>
              <w:t>1.2C: Reversals of previous asset write-downs and impairment</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bookmarkEnd w:id="202"/>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Reversal of impairment losses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64</w:t>
            </w:r>
          </w:p>
        </w:tc>
      </w:tr>
      <w:tr w:rsidR="003E6989" w:rsidTr="006A5410">
        <w:trPr>
          <w:trHeight w:val="270"/>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reversals of previous asset write-downs and impairments</w:t>
            </w:r>
          </w:p>
        </w:tc>
        <w:tc>
          <w:tcPr>
            <w:tcW w:w="1238"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64</w:t>
            </w:r>
          </w:p>
        </w:tc>
      </w:tr>
    </w:tbl>
    <w:p w:rsidR="003E6989" w:rsidRDefault="003E6989" w:rsidP="003E6989">
      <w:bookmarkStart w:id="203" w:name="RANGE!D7:G10"/>
      <w:bookmarkEnd w:id="203"/>
    </w:p>
    <w:p w:rsidR="003E6989" w:rsidRDefault="003E6989" w:rsidP="003E6989">
      <w:pPr>
        <w:spacing w:line="240" w:lineRule="auto"/>
      </w:pPr>
      <w:r>
        <w:br w:type="page"/>
      </w:r>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rPr>
            </w:pPr>
            <w:bookmarkStart w:id="204" w:name="Note_OGATABLE1" w:colFirst="0" w:colLast="0"/>
            <w:r>
              <w:rPr>
                <w:rFonts w:cs="Calibri"/>
                <w:b/>
                <w:bCs/>
                <w:szCs w:val="18"/>
              </w:rPr>
              <w:lastRenderedPageBreak/>
              <w:t> </w:t>
            </w:r>
          </w:p>
        </w:tc>
        <w:tc>
          <w:tcPr>
            <w:tcW w:w="1238"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2016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2015</w:t>
            </w:r>
          </w:p>
        </w:tc>
      </w:tr>
      <w:bookmarkEnd w:id="204"/>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r>
              <w:rPr>
                <w:rFonts w:cs="Calibri"/>
                <w:b/>
                <w:bCs/>
                <w:szCs w:val="18"/>
                <w:u w:val="single"/>
              </w:rPr>
              <w:t>1.2D: Other gains</w:t>
            </w:r>
          </w:p>
        </w:tc>
        <w:tc>
          <w:tcPr>
            <w:tcW w:w="1238"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Resources received free of charge</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6,446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5,464</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Gain on write back of restoration provision</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75</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229</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First time recognition of assets – property, plant and equipment</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50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881</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Other</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2,069</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273</w:t>
            </w:r>
          </w:p>
        </w:tc>
      </w:tr>
      <w:tr w:rsidR="003E6989" w:rsidTr="006A5410">
        <w:trPr>
          <w:trHeight w:val="270"/>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other gains</w:t>
            </w:r>
          </w:p>
        </w:tc>
        <w:tc>
          <w:tcPr>
            <w:tcW w:w="1238"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8,640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6,847</w:t>
            </w:r>
          </w:p>
        </w:tc>
      </w:tr>
    </w:tbl>
    <w:p w:rsidR="003E6989" w:rsidRDefault="003E6989" w:rsidP="003E6989"/>
    <w:p w:rsidR="003E6989" w:rsidRPr="003A70A7" w:rsidRDefault="003E6989" w:rsidP="003E6989">
      <w:pPr>
        <w:pStyle w:val="PolicyTextboxbold"/>
        <w:spacing w:before="100" w:after="100" w:line="240" w:lineRule="auto"/>
      </w:pPr>
      <w:r w:rsidRPr="00A8397F">
        <w:t>Accounting Policy</w:t>
      </w:r>
    </w:p>
    <w:p w:rsidR="003E6989" w:rsidRPr="00FE00E4" w:rsidRDefault="003E6989" w:rsidP="003E6989">
      <w:pPr>
        <w:pStyle w:val="PolicyTextdeptunderline"/>
        <w:spacing w:before="100" w:after="100" w:line="240" w:lineRule="auto"/>
      </w:pPr>
      <w:r w:rsidRPr="00FE00E4">
        <w:t>Resources Received Free of Charge</w:t>
      </w:r>
    </w:p>
    <w:p w:rsidR="003E6989" w:rsidRDefault="003E6989" w:rsidP="003E6989">
      <w:pPr>
        <w:pStyle w:val="PolicytextDept"/>
        <w:spacing w:before="100" w:after="100" w:line="240" w:lineRule="auto"/>
      </w:pPr>
      <w:r w:rsidRPr="00A87FBA">
        <w:t xml:space="preserve">Resources received free of charge are recognised as revenue when, and only when, a fair value can be reliably determined and the services would have been purchased if they had not been donated. Use of those resources is recognised as an expense. </w:t>
      </w:r>
    </w:p>
    <w:p w:rsidR="003E6989" w:rsidRDefault="003E6989" w:rsidP="003E6989">
      <w:pPr>
        <w:pStyle w:val="PolicytextDept"/>
        <w:spacing w:before="100" w:after="100" w:line="240" w:lineRule="auto"/>
      </w:pPr>
      <w:r w:rsidRPr="00A87FBA">
        <w:t>Resources received free of charge are recorded as either revenue or gains depending on their nature.</w:t>
      </w:r>
    </w:p>
    <w:p w:rsidR="003E6989" w:rsidRDefault="003E6989" w:rsidP="003E6989">
      <w:pPr>
        <w:pStyle w:val="PolicytextDept"/>
        <w:spacing w:before="100" w:after="100" w:line="240" w:lineRule="auto"/>
      </w:pPr>
      <w:r w:rsidRPr="00006EAB">
        <w:t>Contributions of assets at no cost of acquisition or for nominal consideration are recognised as gains at their fair value when the asset qualifies for recognition, unless received from another Government entity as a consequence of a restructuring of administrative</w:t>
      </w:r>
      <w:r>
        <w:t xml:space="preserve"> arrangements (Refer to Note 8</w:t>
      </w:r>
      <w:r w:rsidRPr="00006EAB">
        <w:t>).</w:t>
      </w:r>
    </w:p>
    <w:p w:rsidR="003E6989" w:rsidRDefault="003E6989" w:rsidP="003E6989"/>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bookmarkStart w:id="205" w:name="Note_RFGTABLE1" w:colFirst="0" w:colLast="0"/>
            <w:r>
              <w:rPr>
                <w:rFonts w:cs="Calibri"/>
                <w:b/>
                <w:bCs/>
                <w:szCs w:val="18"/>
              </w:rPr>
              <w:t>REVENUE FROM GOVERNMENT</w:t>
            </w:r>
          </w:p>
        </w:tc>
        <w:tc>
          <w:tcPr>
            <w:tcW w:w="1238"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p>
        </w:tc>
      </w:tr>
      <w:bookmarkEnd w:id="205"/>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8"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r>
              <w:rPr>
                <w:rFonts w:cs="Calibri"/>
                <w:b/>
                <w:bCs/>
                <w:szCs w:val="18"/>
                <w:u w:val="single"/>
              </w:rPr>
              <w:t>1.2E: Revenue from Government</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Appropriations</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Departmental appropriations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313,127</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276,854</w:t>
            </w:r>
          </w:p>
        </w:tc>
      </w:tr>
      <w:tr w:rsidR="003E6989" w:rsidTr="006A5410">
        <w:trPr>
          <w:trHeight w:val="270"/>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revenue from Government</w:t>
            </w:r>
          </w:p>
        </w:tc>
        <w:tc>
          <w:tcPr>
            <w:tcW w:w="1238"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313,127</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276,854</w:t>
            </w:r>
          </w:p>
        </w:tc>
      </w:tr>
    </w:tbl>
    <w:p w:rsidR="003E6989" w:rsidRDefault="003E6989" w:rsidP="003E6989">
      <w:pPr>
        <w:rPr>
          <w:rFonts w:ascii="Arial" w:hAnsi="Arial" w:cs="Arial"/>
          <w:szCs w:val="18"/>
        </w:rPr>
      </w:pPr>
      <w:bookmarkStart w:id="206" w:name="RANGE!D6:D14"/>
      <w:bookmarkStart w:id="207" w:name="RANGE!D6:G14"/>
      <w:bookmarkEnd w:id="206"/>
      <w:bookmarkEnd w:id="207"/>
    </w:p>
    <w:p w:rsidR="003E6989" w:rsidRPr="003A70A7" w:rsidRDefault="003E6989" w:rsidP="003E6989">
      <w:pPr>
        <w:pStyle w:val="PolicyTextboxbold"/>
        <w:spacing w:before="100" w:after="100" w:line="240" w:lineRule="auto"/>
      </w:pPr>
      <w:r w:rsidRPr="00A8397F">
        <w:t>Accounting Policy</w:t>
      </w:r>
    </w:p>
    <w:p w:rsidR="003E6989" w:rsidRPr="00A831A8" w:rsidRDefault="003E6989" w:rsidP="003E6989">
      <w:pPr>
        <w:pStyle w:val="PolicyTextdeptunderline"/>
        <w:spacing w:before="100" w:after="100" w:line="240" w:lineRule="auto"/>
        <w:rPr>
          <w:lang w:eastAsia="en-AU"/>
        </w:rPr>
      </w:pPr>
      <w:r w:rsidRPr="00A831A8">
        <w:rPr>
          <w:lang w:eastAsia="en-AU"/>
        </w:rPr>
        <w:t xml:space="preserve">Revenue from Government </w:t>
      </w:r>
    </w:p>
    <w:p w:rsidR="003E6989" w:rsidRPr="00A831A8" w:rsidRDefault="003E6989" w:rsidP="003E6989">
      <w:pPr>
        <w:pStyle w:val="PolicytextDept"/>
        <w:spacing w:before="100" w:after="100" w:line="240" w:lineRule="auto"/>
        <w:rPr>
          <w:lang w:eastAsia="en-AU"/>
        </w:rPr>
      </w:pPr>
      <w:r w:rsidRPr="00A831A8">
        <w:rPr>
          <w:lang w:eastAsia="en-AU"/>
        </w:rPr>
        <w:t>Amounts appropriated for departmental appropriations for the year (adjusted for any formal additions and reductions) are recognised as Revenue from Government when the department gains control of the ap</w:t>
      </w:r>
      <w:r>
        <w:rPr>
          <w:lang w:eastAsia="en-AU"/>
        </w:rPr>
        <w:t>propriation.</w:t>
      </w:r>
    </w:p>
    <w:p w:rsidR="003E6989" w:rsidRDefault="003E6989" w:rsidP="003E6989">
      <w:pPr>
        <w:pStyle w:val="PolicytextDept"/>
        <w:spacing w:before="100" w:after="100" w:line="240" w:lineRule="auto"/>
        <w:rPr>
          <w:rFonts w:ascii="Arial" w:hAnsi="Arial" w:cs="Arial"/>
        </w:rPr>
      </w:pPr>
      <w:r w:rsidRPr="00A831A8">
        <w:rPr>
          <w:lang w:eastAsia="en-AU"/>
        </w:rPr>
        <w:t>Appropriations receivable are recognised at their nominal amounts.</w:t>
      </w:r>
    </w:p>
    <w:p w:rsidR="003E6989" w:rsidRDefault="003E6989" w:rsidP="003E6989">
      <w:pPr>
        <w:rPr>
          <w:rFonts w:ascii="Arial" w:hAnsi="Arial" w:cs="Arial"/>
          <w:szCs w:val="18"/>
        </w:rPr>
      </w:pPr>
    </w:p>
    <w:p w:rsidR="003E6989" w:rsidRPr="00A46C83" w:rsidRDefault="003E6989" w:rsidP="003E6989">
      <w:pPr>
        <w:rPr>
          <w:rFonts w:ascii="Arial" w:hAnsi="Arial" w:cs="Arial"/>
          <w:szCs w:val="18"/>
        </w:rPr>
        <w:sectPr w:rsidR="003E6989" w:rsidRPr="00A46C83" w:rsidSect="006A5410">
          <w:pgSz w:w="11906" w:h="16838"/>
          <w:pgMar w:top="1134" w:right="1134" w:bottom="1134" w:left="1134" w:header="958" w:footer="737" w:gutter="0"/>
          <w:cols w:space="720"/>
        </w:sectPr>
      </w:pPr>
    </w:p>
    <w:p w:rsidR="003E6989" w:rsidRPr="00970D5C" w:rsidRDefault="003E6989" w:rsidP="003E6989">
      <w:pPr>
        <w:pStyle w:val="SectionHeading"/>
      </w:pPr>
      <w:bookmarkStart w:id="208" w:name="_Toc443469525"/>
      <w:bookmarkStart w:id="209" w:name="_Toc443577399"/>
      <w:bookmarkStart w:id="210" w:name="_Toc455416731"/>
      <w:bookmarkStart w:id="211" w:name="_Toc463440699"/>
      <w:bookmarkStart w:id="212" w:name="_Toc464726284"/>
      <w:bookmarkStart w:id="213" w:name="_Toc464726622"/>
      <w:r w:rsidRPr="00970D5C">
        <w:lastRenderedPageBreak/>
        <w:t>Income and Expenses Administered on Behalf of Government</w:t>
      </w:r>
      <w:bookmarkEnd w:id="208"/>
      <w:bookmarkEnd w:id="209"/>
      <w:bookmarkEnd w:id="210"/>
      <w:bookmarkEnd w:id="211"/>
      <w:bookmarkEnd w:id="212"/>
      <w:bookmarkEnd w:id="213"/>
    </w:p>
    <w:p w:rsidR="003E6989" w:rsidRPr="006C56A3" w:rsidRDefault="003E6989" w:rsidP="003E6989">
      <w:pPr>
        <w:pStyle w:val="SectionHeadingDescription"/>
      </w:pPr>
      <w:r w:rsidRPr="006C56A3">
        <w:t>This section analyses the activities that the Department does not control but administers on behalf of the Government. Unless otherwise noted, the accounting policies adopted are consistent with those applied for departmental reporting</w:t>
      </w:r>
      <w:r>
        <w:t>.</w:t>
      </w:r>
    </w:p>
    <w:p w:rsidR="003E6989" w:rsidRPr="00C54293" w:rsidRDefault="003E6989" w:rsidP="003E6989">
      <w:pPr>
        <w:ind w:left="142" w:hanging="142"/>
      </w:pPr>
      <w:bookmarkStart w:id="214" w:name="_Toc443992542"/>
      <w:bookmarkStart w:id="215" w:name="_Toc444001415"/>
      <w:bookmarkStart w:id="216" w:name="_Toc444260011"/>
      <w:bookmarkStart w:id="217" w:name="_Toc445116318"/>
      <w:bookmarkStart w:id="218" w:name="_Toc447095774"/>
      <w:bookmarkStart w:id="219" w:name="_Toc447095821"/>
      <w:bookmarkStart w:id="220" w:name="_Toc447095864"/>
      <w:bookmarkStart w:id="221" w:name="_Toc447096060"/>
      <w:bookmarkStart w:id="222" w:name="_Toc447796054"/>
      <w:bookmarkStart w:id="223" w:name="_Toc443577400"/>
      <w:bookmarkEnd w:id="214"/>
      <w:bookmarkEnd w:id="215"/>
      <w:bookmarkEnd w:id="216"/>
      <w:bookmarkEnd w:id="217"/>
      <w:bookmarkEnd w:id="218"/>
      <w:bookmarkEnd w:id="219"/>
      <w:bookmarkEnd w:id="220"/>
      <w:bookmarkEnd w:id="221"/>
      <w:bookmarkEnd w:id="222"/>
    </w:p>
    <w:p w:rsidR="003E6989" w:rsidRDefault="003E6989" w:rsidP="003E6989">
      <w:pPr>
        <w:pStyle w:val="SubHeading"/>
      </w:pPr>
      <w:bookmarkStart w:id="224" w:name="_Toc455416732"/>
      <w:bookmarkStart w:id="225" w:name="_Toc464726623"/>
      <w:r>
        <w:t>Administered – Expenses</w:t>
      </w:r>
      <w:bookmarkEnd w:id="223"/>
      <w:bookmarkEnd w:id="224"/>
      <w:bookmarkEnd w:id="225"/>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single" w:sz="4" w:space="0" w:color="D9D9D9"/>
              <w:left w:val="nil"/>
              <w:bottom w:val="single" w:sz="4" w:space="0" w:color="D9D9D9"/>
              <w:right w:val="nil"/>
            </w:tcBorders>
            <w:shd w:val="clear" w:color="000000" w:fill="D9D9D9"/>
            <w:noWrap/>
            <w:hideMark/>
          </w:tcPr>
          <w:p w:rsidR="003E6989" w:rsidRDefault="003E6989" w:rsidP="006A5410">
            <w:pPr>
              <w:rPr>
                <w:rFonts w:cs="Calibri"/>
                <w:b/>
                <w:bCs/>
                <w:szCs w:val="18"/>
              </w:rPr>
            </w:pPr>
            <w:bookmarkStart w:id="226" w:name="Note_ASXTABLE1" w:colFirst="0" w:colLast="0"/>
            <w:r>
              <w:rPr>
                <w:rFonts w:cs="Calibri"/>
                <w:b/>
                <w:bCs/>
                <w:szCs w:val="18"/>
              </w:rPr>
              <w:t> </w:t>
            </w:r>
          </w:p>
        </w:tc>
        <w:tc>
          <w:tcPr>
            <w:tcW w:w="1238"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2016</w:t>
            </w:r>
          </w:p>
        </w:tc>
        <w:tc>
          <w:tcPr>
            <w:tcW w:w="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2015</w:t>
            </w:r>
          </w:p>
        </w:tc>
      </w:tr>
      <w:bookmarkEnd w:id="226"/>
      <w:tr w:rsidR="003E6989" w:rsidTr="006A5410">
        <w:trPr>
          <w:trHeight w:val="255"/>
        </w:trPr>
        <w:tc>
          <w:tcPr>
            <w:tcW w:w="6272" w:type="dxa"/>
            <w:tcBorders>
              <w:top w:val="nil"/>
              <w:left w:val="nil"/>
              <w:bottom w:val="single" w:sz="4" w:space="0" w:color="D9D9D9"/>
              <w:right w:val="nil"/>
            </w:tcBorders>
            <w:shd w:val="clear" w:color="000000" w:fill="D9D9D9"/>
            <w:noWrap/>
            <w:hideMark/>
          </w:tcPr>
          <w:p w:rsidR="003E6989" w:rsidRDefault="003E6989" w:rsidP="006A5410">
            <w:pPr>
              <w:rPr>
                <w:rFonts w:cs="Calibri"/>
                <w:b/>
                <w:bCs/>
                <w:szCs w:val="18"/>
                <w:u w:val="single"/>
              </w:rPr>
            </w:pPr>
            <w:r>
              <w:rPr>
                <w:rFonts w:cs="Calibri"/>
                <w:b/>
                <w:bCs/>
                <w:szCs w:val="18"/>
                <w:u w:val="single"/>
              </w:rPr>
              <w:t>2.1A: Suppliers</w:t>
            </w:r>
          </w:p>
        </w:tc>
        <w:tc>
          <w:tcPr>
            <w:tcW w:w="1238"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$'000</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8"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Goods and services supplied or rendered</w:t>
            </w:r>
          </w:p>
        </w:tc>
        <w:tc>
          <w:tcPr>
            <w:tcW w:w="1238"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85"/>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Assistance to families with children</w:t>
            </w:r>
            <w:r>
              <w:rPr>
                <w:rFonts w:cs="Calibri"/>
                <w:szCs w:val="18"/>
                <w:vertAlign w:val="superscript"/>
              </w:rPr>
              <w:t>1</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8,542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32,685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General Research</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104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4,452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Higher Education</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18,499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21,481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School education - specific funding</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36,280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83,227 </w:t>
            </w:r>
          </w:p>
        </w:tc>
      </w:tr>
      <w:tr w:rsidR="003E6989" w:rsidTr="006A5410">
        <w:trPr>
          <w:trHeight w:val="285"/>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Vocational and industry training</w:t>
            </w:r>
            <w:r>
              <w:rPr>
                <w:rFonts w:cs="Calibri"/>
                <w:szCs w:val="18"/>
                <w:vertAlign w:val="superscript"/>
              </w:rPr>
              <w:t>2</w:t>
            </w:r>
          </w:p>
        </w:tc>
        <w:tc>
          <w:tcPr>
            <w:tcW w:w="1238" w:type="dxa"/>
            <w:tcBorders>
              <w:top w:val="nil"/>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535,402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196,732 </w:t>
            </w:r>
          </w:p>
        </w:tc>
      </w:tr>
      <w:tr w:rsidR="003E6989" w:rsidTr="006A5410">
        <w:trPr>
          <w:trHeight w:val="255"/>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goods and services supplied or rendered</w:t>
            </w:r>
          </w:p>
        </w:tc>
        <w:tc>
          <w:tcPr>
            <w:tcW w:w="1238" w:type="dxa"/>
            <w:tcBorders>
              <w:top w:val="nil"/>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598,827</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338,577</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70"/>
        </w:trPr>
        <w:tc>
          <w:tcPr>
            <w:tcW w:w="6272"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supplier expenses</w:t>
            </w:r>
          </w:p>
        </w:tc>
        <w:tc>
          <w:tcPr>
            <w:tcW w:w="1238"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598,827</w:t>
            </w:r>
          </w:p>
        </w:tc>
        <w:tc>
          <w:tcPr>
            <w:tcW w:w="236"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 </w:t>
            </w:r>
          </w:p>
        </w:tc>
        <w:tc>
          <w:tcPr>
            <w:tcW w:w="123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338,577</w:t>
            </w:r>
          </w:p>
        </w:tc>
      </w:tr>
    </w:tbl>
    <w:p w:rsidR="003E6989" w:rsidRDefault="003E6989" w:rsidP="003E6989">
      <w:pPr>
        <w:pStyle w:val="GreyShadeTableBreak"/>
      </w:pPr>
      <w:bookmarkStart w:id="227" w:name="RANGE!D7:G21"/>
      <w:bookmarkEnd w:id="227"/>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single" w:sz="4" w:space="0" w:color="D9D9D9"/>
              <w:left w:val="nil"/>
              <w:bottom w:val="single" w:sz="4" w:space="0" w:color="D9D9D9"/>
              <w:right w:val="nil"/>
            </w:tcBorders>
            <w:shd w:val="clear" w:color="000000" w:fill="D9D9D9"/>
            <w:vAlign w:val="bottom"/>
            <w:hideMark/>
          </w:tcPr>
          <w:p w:rsidR="003E6989" w:rsidRDefault="003E6989" w:rsidP="006A5410">
            <w:pPr>
              <w:rPr>
                <w:rFonts w:cs="Calibri"/>
                <w:b/>
                <w:bCs/>
                <w:szCs w:val="18"/>
              </w:rPr>
            </w:pPr>
            <w:bookmarkStart w:id="228" w:name="RANGE!D27:G32"/>
            <w:bookmarkStart w:id="229" w:name="Note_ASXTABLE2" w:colFirst="0" w:colLast="0"/>
            <w:r>
              <w:rPr>
                <w:rFonts w:cs="Calibri"/>
                <w:b/>
                <w:bCs/>
                <w:szCs w:val="18"/>
              </w:rPr>
              <w:t>Leasing Commitments</w:t>
            </w:r>
            <w:bookmarkEnd w:id="228"/>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r>
      <w:bookmarkEnd w:id="229"/>
      <w:tr w:rsidR="003E6989" w:rsidTr="006A5410">
        <w:trPr>
          <w:trHeight w:val="255"/>
        </w:trPr>
        <w:tc>
          <w:tcPr>
            <w:tcW w:w="8982" w:type="dxa"/>
            <w:gridSpan w:val="4"/>
            <w:tcBorders>
              <w:top w:val="single" w:sz="4" w:space="0" w:color="D9D9D9"/>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Commitments for minimum lease payments in relation to non-cancellable operating leases are payable as follows:</w:t>
            </w:r>
          </w:p>
        </w:tc>
      </w:tr>
      <w:tr w:rsidR="003E6989" w:rsidTr="006A5410">
        <w:trPr>
          <w:trHeight w:val="255"/>
        </w:trPr>
        <w:tc>
          <w:tcPr>
            <w:tcW w:w="6272" w:type="dxa"/>
            <w:tcBorders>
              <w:top w:val="single" w:sz="4" w:space="0" w:color="D9D9D9"/>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Within 1 year</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46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Between 1 to 5 years</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184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More than 5 years</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523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Total operating lease commitments</w:t>
            </w:r>
          </w:p>
        </w:tc>
        <w:tc>
          <w:tcPr>
            <w:tcW w:w="1238" w:type="dxa"/>
            <w:tcBorders>
              <w:top w:val="nil"/>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753</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w:t>
            </w:r>
          </w:p>
        </w:tc>
      </w:tr>
    </w:tbl>
    <w:p w:rsidR="003E6989" w:rsidRDefault="003E6989" w:rsidP="003E6989">
      <w:pPr>
        <w:pStyle w:val="GreyShadeTableBreak"/>
      </w:pPr>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single" w:sz="4" w:space="0" w:color="D9D9D9"/>
              <w:left w:val="nil"/>
              <w:bottom w:val="single" w:sz="4" w:space="0" w:color="D9D9D9"/>
              <w:right w:val="nil"/>
            </w:tcBorders>
            <w:shd w:val="clear" w:color="000000" w:fill="D9D9D9"/>
            <w:noWrap/>
            <w:hideMark/>
          </w:tcPr>
          <w:p w:rsidR="003E6989" w:rsidRDefault="003E6989" w:rsidP="006A5410">
            <w:pPr>
              <w:rPr>
                <w:rFonts w:cs="Calibri"/>
                <w:b/>
                <w:bCs/>
                <w:szCs w:val="18"/>
                <w:u w:val="single"/>
              </w:rPr>
            </w:pPr>
            <w:bookmarkStart w:id="230" w:name="Note_ASUTABLE1" w:colFirst="0" w:colLast="0"/>
            <w:r>
              <w:rPr>
                <w:rFonts w:cs="Calibri"/>
                <w:b/>
                <w:bCs/>
                <w:szCs w:val="18"/>
                <w:u w:val="single"/>
              </w:rPr>
              <w:t>2.1B: Subsidies</w:t>
            </w:r>
          </w:p>
        </w:tc>
        <w:tc>
          <w:tcPr>
            <w:tcW w:w="1238"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r>
      <w:bookmarkEnd w:id="230"/>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Subsidies in connection with external parties</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r>
      <w:tr w:rsidR="003E6989" w:rsidTr="006A5410">
        <w:trPr>
          <w:trHeight w:val="375"/>
        </w:trPr>
        <w:tc>
          <w:tcPr>
            <w:tcW w:w="6272" w:type="dxa"/>
            <w:tcBorders>
              <w:top w:val="nil"/>
              <w:left w:val="nil"/>
              <w:bottom w:val="nil"/>
              <w:right w:val="nil"/>
            </w:tcBorders>
            <w:shd w:val="clear" w:color="000000" w:fill="D9D9D9"/>
            <w:noWrap/>
            <w:vAlign w:val="center"/>
            <w:hideMark/>
          </w:tcPr>
          <w:p w:rsidR="003E6989" w:rsidRDefault="003E6989" w:rsidP="003E6989">
            <w:pPr>
              <w:ind w:firstLineChars="100" w:firstLine="180"/>
              <w:rPr>
                <w:rFonts w:cs="Calibri"/>
                <w:szCs w:val="18"/>
              </w:rPr>
            </w:pPr>
            <w:r>
              <w:rPr>
                <w:rFonts w:cs="Calibri"/>
                <w:szCs w:val="18"/>
              </w:rPr>
              <w:t>Vocational and industry training</w:t>
            </w:r>
            <w:r>
              <w:rPr>
                <w:rFonts w:cs="Calibri"/>
                <w:szCs w:val="18"/>
                <w:vertAlign w:val="superscript"/>
              </w:rPr>
              <w:t>2</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327,118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144,308 </w:t>
            </w:r>
          </w:p>
        </w:tc>
      </w:tr>
      <w:tr w:rsidR="003E6989" w:rsidTr="006A5410">
        <w:trPr>
          <w:trHeight w:val="375"/>
        </w:trPr>
        <w:tc>
          <w:tcPr>
            <w:tcW w:w="6272" w:type="dxa"/>
            <w:tcBorders>
              <w:top w:val="nil"/>
              <w:left w:val="nil"/>
              <w:bottom w:val="nil"/>
              <w:right w:val="nil"/>
            </w:tcBorders>
            <w:shd w:val="clear" w:color="000000" w:fill="D9D9D9"/>
            <w:noWrap/>
            <w:vAlign w:val="center"/>
            <w:hideMark/>
          </w:tcPr>
          <w:p w:rsidR="003E6989" w:rsidRDefault="003E6989" w:rsidP="003E6989">
            <w:pPr>
              <w:ind w:firstLineChars="100" w:firstLine="180"/>
              <w:rPr>
                <w:rFonts w:cs="Calibri"/>
                <w:szCs w:val="18"/>
              </w:rPr>
            </w:pPr>
            <w:r>
              <w:rPr>
                <w:rFonts w:cs="Calibri"/>
                <w:szCs w:val="18"/>
              </w:rPr>
              <w:t>Assistance to families with children</w:t>
            </w:r>
            <w:r>
              <w:rPr>
                <w:rFonts w:cs="Calibri"/>
                <w:szCs w:val="18"/>
                <w:vertAlign w:val="superscript"/>
              </w:rPr>
              <w:t>1</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692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6272" w:type="dxa"/>
            <w:tcBorders>
              <w:top w:val="single" w:sz="4" w:space="0" w:color="D9D9D9"/>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Higher Education</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 -</w:t>
            </w:r>
          </w:p>
        </w:tc>
        <w:tc>
          <w:tcPr>
            <w:tcW w:w="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1 </w:t>
            </w:r>
          </w:p>
        </w:tc>
      </w:tr>
      <w:tr w:rsidR="003E6989" w:rsidTr="006A5410">
        <w:trPr>
          <w:trHeight w:val="270"/>
        </w:trPr>
        <w:tc>
          <w:tcPr>
            <w:tcW w:w="6272"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subsidies</w:t>
            </w:r>
          </w:p>
        </w:tc>
        <w:tc>
          <w:tcPr>
            <w:tcW w:w="1238"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327,810</w:t>
            </w:r>
          </w:p>
        </w:tc>
        <w:tc>
          <w:tcPr>
            <w:tcW w:w="236"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 </w:t>
            </w:r>
          </w:p>
        </w:tc>
        <w:tc>
          <w:tcPr>
            <w:tcW w:w="123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144,309</w:t>
            </w:r>
          </w:p>
        </w:tc>
      </w:tr>
    </w:tbl>
    <w:p w:rsidR="003E6989" w:rsidRDefault="003E6989" w:rsidP="003E6989">
      <w:pPr>
        <w:pStyle w:val="GreyShadeTableBreak"/>
      </w:pPr>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single" w:sz="4" w:space="0" w:color="D9D9D9"/>
              <w:left w:val="nil"/>
              <w:bottom w:val="single" w:sz="4" w:space="0" w:color="D9D9D9"/>
              <w:right w:val="nil"/>
            </w:tcBorders>
            <w:shd w:val="clear" w:color="000000" w:fill="D9D9D9"/>
            <w:noWrap/>
            <w:hideMark/>
          </w:tcPr>
          <w:p w:rsidR="003E6989" w:rsidRDefault="003E6989" w:rsidP="006A5410">
            <w:pPr>
              <w:rPr>
                <w:rFonts w:cs="Calibri"/>
                <w:b/>
                <w:bCs/>
                <w:szCs w:val="18"/>
                <w:u w:val="single"/>
              </w:rPr>
            </w:pPr>
            <w:bookmarkStart w:id="231" w:name="Note_APBTABLE1" w:colFirst="0" w:colLast="0"/>
            <w:r>
              <w:rPr>
                <w:rFonts w:cs="Calibri"/>
                <w:b/>
                <w:bCs/>
                <w:szCs w:val="18"/>
                <w:u w:val="single"/>
              </w:rPr>
              <w:t>2.1C: Personal benefits</w:t>
            </w:r>
          </w:p>
        </w:tc>
        <w:tc>
          <w:tcPr>
            <w:tcW w:w="1238"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bookmarkEnd w:id="231"/>
      <w:tr w:rsidR="003E6989" w:rsidTr="006A5410">
        <w:trPr>
          <w:trHeight w:val="255"/>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Direct</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Student assistance</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39,213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72,298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School Education - Specific Funding</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1,000 </w:t>
            </w:r>
          </w:p>
        </w:tc>
      </w:tr>
      <w:tr w:rsidR="003E6989" w:rsidTr="006A5410">
        <w:trPr>
          <w:trHeight w:val="28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Assistance to families with children</w:t>
            </w:r>
            <w:r>
              <w:rPr>
                <w:rFonts w:cs="Calibri"/>
                <w:szCs w:val="18"/>
                <w:vertAlign w:val="superscript"/>
              </w:rPr>
              <w:t>1</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1,028,980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836,916 </w:t>
            </w:r>
          </w:p>
        </w:tc>
      </w:tr>
      <w:tr w:rsidR="003E6989" w:rsidTr="006A5410">
        <w:trPr>
          <w:trHeight w:val="28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Vocational and industry training</w:t>
            </w:r>
            <w:r>
              <w:rPr>
                <w:rFonts w:cs="Calibri"/>
                <w:szCs w:val="18"/>
                <w:vertAlign w:val="superscript"/>
              </w:rPr>
              <w:t>2</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25,054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18,881 </w:t>
            </w:r>
          </w:p>
        </w:tc>
      </w:tr>
      <w:tr w:rsidR="003E6989" w:rsidTr="006A5410">
        <w:trPr>
          <w:trHeight w:val="255"/>
        </w:trPr>
        <w:tc>
          <w:tcPr>
            <w:tcW w:w="6272"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Indirect</w:t>
            </w:r>
          </w:p>
        </w:tc>
        <w:tc>
          <w:tcPr>
            <w:tcW w:w="1238"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r>
      <w:tr w:rsidR="003E6989" w:rsidTr="006A5410">
        <w:trPr>
          <w:trHeight w:val="285"/>
        </w:trPr>
        <w:tc>
          <w:tcPr>
            <w:tcW w:w="6272" w:type="dxa"/>
            <w:tcBorders>
              <w:top w:val="single" w:sz="4" w:space="0" w:color="D9D9D9"/>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Assistance to families with children</w:t>
            </w:r>
            <w:r>
              <w:rPr>
                <w:rFonts w:cs="Calibri"/>
                <w:szCs w:val="18"/>
                <w:vertAlign w:val="superscript"/>
              </w:rPr>
              <w:t>1</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3,999,027 </w:t>
            </w:r>
          </w:p>
        </w:tc>
        <w:tc>
          <w:tcPr>
            <w:tcW w:w="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2,606,001 </w:t>
            </w:r>
          </w:p>
        </w:tc>
      </w:tr>
      <w:tr w:rsidR="003E6989" w:rsidTr="006A5410">
        <w:trPr>
          <w:trHeight w:val="270"/>
        </w:trPr>
        <w:tc>
          <w:tcPr>
            <w:tcW w:w="6272"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personal benefits</w:t>
            </w:r>
          </w:p>
        </w:tc>
        <w:tc>
          <w:tcPr>
            <w:tcW w:w="1238"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5,092,274</w:t>
            </w:r>
          </w:p>
        </w:tc>
        <w:tc>
          <w:tcPr>
            <w:tcW w:w="236"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 </w:t>
            </w:r>
          </w:p>
        </w:tc>
        <w:tc>
          <w:tcPr>
            <w:tcW w:w="123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3,535,096</w:t>
            </w:r>
          </w:p>
        </w:tc>
      </w:tr>
    </w:tbl>
    <w:p w:rsidR="003E6989" w:rsidRDefault="003E6989" w:rsidP="003E6989">
      <w:pPr>
        <w:pStyle w:val="GreyShadeTableBreak"/>
        <w:rPr>
          <w:vertAlign w:val="superscript"/>
        </w:rPr>
      </w:pPr>
      <w:bookmarkStart w:id="232" w:name="RANGE!D7:G25"/>
      <w:bookmarkEnd w:id="232"/>
    </w:p>
    <w:p w:rsidR="003E6989" w:rsidRDefault="003E6989" w:rsidP="003E6989">
      <w:pPr>
        <w:pStyle w:val="GreyShadeTableBreak"/>
      </w:pPr>
      <w:r w:rsidRPr="0017638A">
        <w:rPr>
          <w:vertAlign w:val="superscript"/>
        </w:rPr>
        <w:t>1</w:t>
      </w:r>
      <w:r>
        <w:rPr>
          <w:vertAlign w:val="superscript"/>
        </w:rPr>
        <w:t xml:space="preserve"> </w:t>
      </w:r>
      <w:r>
        <w:t>Responsibility for the administration of assistance to families with children transferred from the Department of Social Services on 21 September 2015.</w:t>
      </w:r>
    </w:p>
    <w:p w:rsidR="003E6989" w:rsidRPr="00731E8D" w:rsidRDefault="003E6989" w:rsidP="003E6989">
      <w:pPr>
        <w:pStyle w:val="GreyShadeTableBreak"/>
        <w:rPr>
          <w:vertAlign w:val="superscript"/>
        </w:rPr>
      </w:pPr>
      <w:r w:rsidRPr="00731E8D">
        <w:rPr>
          <w:vertAlign w:val="superscript"/>
        </w:rPr>
        <w:t>2</w:t>
      </w:r>
      <w:r>
        <w:t xml:space="preserve"> Responsibility for the administration of vocational and industry training transferred from the Department of Industry and Science on 23 December 2014. The 2014-15 financial year reflects the pa</w:t>
      </w:r>
      <w:r w:rsidR="001F2C80">
        <w:t>rt year impact of the transfer.</w:t>
      </w:r>
    </w:p>
    <w:p w:rsidR="003E6989" w:rsidRDefault="003E6989" w:rsidP="003E6989">
      <w:pPr>
        <w:spacing w:line="240" w:lineRule="auto"/>
      </w:pPr>
      <w:r>
        <w:br w:type="page"/>
      </w:r>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single" w:sz="4" w:space="0" w:color="D9D9D9"/>
              <w:left w:val="nil"/>
              <w:bottom w:val="single" w:sz="4" w:space="0" w:color="D9D9D9"/>
              <w:right w:val="nil"/>
            </w:tcBorders>
            <w:shd w:val="clear" w:color="000000" w:fill="D9D9D9"/>
            <w:noWrap/>
            <w:hideMark/>
          </w:tcPr>
          <w:p w:rsidR="003E6989" w:rsidRDefault="003E6989" w:rsidP="006A5410">
            <w:pPr>
              <w:rPr>
                <w:rFonts w:cs="Calibri"/>
                <w:szCs w:val="18"/>
              </w:rPr>
            </w:pPr>
            <w:bookmarkStart w:id="233" w:name="RANGE!D7:D18"/>
            <w:bookmarkStart w:id="234" w:name="Note_AGRTABLE1" w:colFirst="0" w:colLast="0"/>
            <w:r>
              <w:rPr>
                <w:rFonts w:cs="Calibri"/>
                <w:szCs w:val="18"/>
              </w:rPr>
              <w:lastRenderedPageBreak/>
              <w:t> </w:t>
            </w:r>
            <w:bookmarkEnd w:id="233"/>
          </w:p>
        </w:tc>
        <w:tc>
          <w:tcPr>
            <w:tcW w:w="1238"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2016</w:t>
            </w:r>
          </w:p>
        </w:tc>
        <w:tc>
          <w:tcPr>
            <w:tcW w:w="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vAlign w:val="bottom"/>
            <w:hideMark/>
          </w:tcPr>
          <w:p w:rsidR="003E6989" w:rsidRDefault="003E6989" w:rsidP="006A5410">
            <w:pPr>
              <w:jc w:val="right"/>
              <w:rPr>
                <w:rFonts w:cs="Calibri"/>
                <w:szCs w:val="18"/>
              </w:rPr>
            </w:pPr>
            <w:r>
              <w:rPr>
                <w:rFonts w:cs="Calibri"/>
                <w:szCs w:val="18"/>
              </w:rPr>
              <w:t>2015</w:t>
            </w:r>
          </w:p>
        </w:tc>
      </w:tr>
      <w:bookmarkEnd w:id="234"/>
      <w:tr w:rsidR="003E6989" w:rsidTr="006A5410">
        <w:trPr>
          <w:trHeight w:val="255"/>
        </w:trPr>
        <w:tc>
          <w:tcPr>
            <w:tcW w:w="6272" w:type="dxa"/>
            <w:tcBorders>
              <w:top w:val="nil"/>
              <w:left w:val="nil"/>
              <w:bottom w:val="single" w:sz="4" w:space="0" w:color="D9D9D9"/>
              <w:right w:val="nil"/>
            </w:tcBorders>
            <w:shd w:val="clear" w:color="000000" w:fill="D9D9D9"/>
            <w:noWrap/>
            <w:hideMark/>
          </w:tcPr>
          <w:p w:rsidR="003E6989" w:rsidRDefault="003E6989" w:rsidP="006A5410">
            <w:pPr>
              <w:rPr>
                <w:rFonts w:cs="Calibri"/>
                <w:b/>
                <w:bCs/>
                <w:szCs w:val="18"/>
                <w:u w:val="single"/>
              </w:rPr>
            </w:pPr>
            <w:r>
              <w:rPr>
                <w:rFonts w:cs="Calibri"/>
                <w:b/>
                <w:bCs/>
                <w:szCs w:val="18"/>
                <w:u w:val="single"/>
              </w:rPr>
              <w:t>2.1D: Grants</w:t>
            </w:r>
          </w:p>
        </w:tc>
        <w:tc>
          <w:tcPr>
            <w:tcW w:w="1238"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$'000</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6272" w:type="dxa"/>
            <w:tcBorders>
              <w:top w:val="nil"/>
              <w:left w:val="nil"/>
              <w:bottom w:val="single" w:sz="4" w:space="0" w:color="D9D9D9"/>
              <w:right w:val="nil"/>
            </w:tcBorders>
            <w:shd w:val="clear" w:color="000000" w:fill="D9D9D9"/>
            <w:noWrap/>
            <w:hideMark/>
          </w:tcPr>
          <w:p w:rsidR="003E6989" w:rsidRDefault="003E6989" w:rsidP="006A5410">
            <w:pPr>
              <w:rPr>
                <w:rFonts w:cs="Calibri"/>
                <w:szCs w:val="18"/>
              </w:rPr>
            </w:pPr>
            <w:r>
              <w:rPr>
                <w:rFonts w:cs="Calibri"/>
                <w:szCs w:val="18"/>
              </w:rPr>
              <w:t> </w:t>
            </w:r>
          </w:p>
        </w:tc>
        <w:tc>
          <w:tcPr>
            <w:tcW w:w="1238"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Public sector</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Australian Government entities (related parties)</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37,944</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21,863</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State and Territory Governments</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15,703,816</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14,764,549</w:t>
            </w:r>
          </w:p>
        </w:tc>
      </w:tr>
      <w:tr w:rsidR="003E6989" w:rsidTr="006A5410">
        <w:trPr>
          <w:trHeight w:val="255"/>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Private sector</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Non-profit organisations</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81,826</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167,674</w:t>
            </w:r>
          </w:p>
        </w:tc>
      </w:tr>
      <w:tr w:rsidR="003E6989" w:rsidTr="006A5410">
        <w:trPr>
          <w:trHeight w:val="255"/>
        </w:trPr>
        <w:tc>
          <w:tcPr>
            <w:tcW w:w="6272"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Multi-jurisdictional sector</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9,570,689</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9,082,051</w:t>
            </w:r>
          </w:p>
        </w:tc>
      </w:tr>
      <w:tr w:rsidR="003E6989" w:rsidTr="006A5410">
        <w:trPr>
          <w:trHeight w:val="255"/>
        </w:trPr>
        <w:tc>
          <w:tcPr>
            <w:tcW w:w="6272" w:type="dxa"/>
            <w:tcBorders>
              <w:top w:val="single" w:sz="4" w:space="0" w:color="D9D9D9"/>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Other</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331,045</w:t>
            </w:r>
          </w:p>
        </w:tc>
        <w:tc>
          <w:tcPr>
            <w:tcW w:w="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373,959</w:t>
            </w:r>
          </w:p>
        </w:tc>
      </w:tr>
      <w:tr w:rsidR="003E6989" w:rsidTr="006A5410">
        <w:trPr>
          <w:trHeight w:val="270"/>
        </w:trPr>
        <w:tc>
          <w:tcPr>
            <w:tcW w:w="6272"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grants</w:t>
            </w:r>
          </w:p>
        </w:tc>
        <w:tc>
          <w:tcPr>
            <w:tcW w:w="1238"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25,725,320</w:t>
            </w:r>
          </w:p>
        </w:tc>
        <w:tc>
          <w:tcPr>
            <w:tcW w:w="236"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 </w:t>
            </w:r>
          </w:p>
        </w:tc>
        <w:tc>
          <w:tcPr>
            <w:tcW w:w="123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24,410,096</w:t>
            </w:r>
          </w:p>
        </w:tc>
      </w:tr>
    </w:tbl>
    <w:p w:rsidR="003E6989" w:rsidRDefault="003E6989" w:rsidP="003E6989">
      <w:pPr>
        <w:pStyle w:val="GreyShadeTableBreak"/>
      </w:pPr>
    </w:p>
    <w:p w:rsidR="003E6989" w:rsidRPr="00705FEF" w:rsidRDefault="003E6989" w:rsidP="003E6989">
      <w:pPr>
        <w:pStyle w:val="PolicyTextAdminbold"/>
      </w:pPr>
      <w:r w:rsidRPr="00705FEF">
        <w:t>Accounting Policy</w:t>
      </w:r>
    </w:p>
    <w:p w:rsidR="003E6989" w:rsidRPr="00705FEF" w:rsidRDefault="003E6989" w:rsidP="003E6989">
      <w:pPr>
        <w:pStyle w:val="PlicytextAdminUnderline"/>
      </w:pPr>
      <w:r w:rsidRPr="00705FEF">
        <w:t>Grants and subsidies</w:t>
      </w:r>
    </w:p>
    <w:p w:rsidR="003E6989" w:rsidRDefault="003E6989" w:rsidP="003E6989">
      <w:pPr>
        <w:pStyle w:val="PolicyTextAdmin"/>
      </w:pPr>
      <w:r w:rsidRPr="00E52961">
        <w:t>The department administers a number of grant and subsidy schemes on behalf of the Government.</w:t>
      </w:r>
    </w:p>
    <w:p w:rsidR="003E6989" w:rsidRPr="00E52961" w:rsidRDefault="003E6989" w:rsidP="003E6989">
      <w:pPr>
        <w:pStyle w:val="PolicyTextAdmin"/>
      </w:pPr>
    </w:p>
    <w:p w:rsidR="003E6989" w:rsidRDefault="003E6989" w:rsidP="003E6989">
      <w:pPr>
        <w:pStyle w:val="PolicyTextAdmin"/>
      </w:pPr>
      <w:r w:rsidRPr="00E52961">
        <w:t>Grant and subsidy liabilities are recognised to the extent that (i) the services required to be performed by the grantee have been performed or (ii) the grant eligibility criteria have been satisfied, but payments due have not been made. A commitment is recorded when the Government enters into an agreement to make these grants but services have not been performed or criteria satisfied.</w:t>
      </w:r>
    </w:p>
    <w:p w:rsidR="003E6989" w:rsidRPr="00E52961" w:rsidRDefault="003E6989" w:rsidP="003E6989">
      <w:pPr>
        <w:pStyle w:val="PolicyTextAdmin"/>
      </w:pPr>
    </w:p>
    <w:p w:rsidR="003E6989" w:rsidRDefault="003E6989" w:rsidP="003E6989">
      <w:pPr>
        <w:pStyle w:val="PolicyTextAdmin"/>
      </w:pPr>
      <w:r>
        <w:t>Under the Federal Financial Framework, the</w:t>
      </w:r>
      <w:r w:rsidRPr="00861350">
        <w:t xml:space="preserve"> Department of the Treasury is accountable for the payment of grants under the National Partnership Agreements to the States and Territories. The department reports payments made to and through state and state and territory governments as grants to state and terri</w:t>
      </w:r>
      <w:r>
        <w:t>tory governments (Note 2.1D</w:t>
      </w:r>
      <w:r w:rsidRPr="00861350">
        <w:t xml:space="preserve">). </w:t>
      </w:r>
    </w:p>
    <w:p w:rsidR="003E6989" w:rsidRPr="00861350" w:rsidRDefault="003E6989" w:rsidP="003E6989">
      <w:pPr>
        <w:pStyle w:val="PolicyTextAdmin"/>
      </w:pPr>
    </w:p>
    <w:p w:rsidR="003E6989" w:rsidRPr="00705FEF" w:rsidRDefault="003E6989" w:rsidP="003E6989">
      <w:pPr>
        <w:pStyle w:val="PolicyTextAdmin"/>
      </w:pPr>
      <w:r w:rsidRPr="00705FEF">
        <w:t xml:space="preserve">The Australian Government continues to have regard to developments in case law, including the High Court’s most recent decision on Commonwealth expenditure in </w:t>
      </w:r>
      <w:r w:rsidRPr="000B0704">
        <w:rPr>
          <w:i/>
        </w:rPr>
        <w:t>Williams v Commonwealth [2014] HCA 23</w:t>
      </w:r>
      <w:r w:rsidRPr="00705FEF">
        <w:t>, as they contribute to the larger body of law relevant to the devel</w:t>
      </w:r>
      <w:r>
        <w:t>opment of Commonwealth program</w:t>
      </w:r>
      <w:r w:rsidRPr="00705FEF">
        <w:t>s. In accordance with its general practice, the Government will continue to monitor and assess risk and decide on any appropriate actions to respond to risks of expenditure not being consistent with constitutional or other legal requirements.</w:t>
      </w:r>
    </w:p>
    <w:p w:rsidR="003E6989" w:rsidRPr="00861350" w:rsidRDefault="003E6989" w:rsidP="003E6989">
      <w:pPr>
        <w:pStyle w:val="GreyShadeTableBreak"/>
      </w:pPr>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nil"/>
              <w:left w:val="nil"/>
              <w:bottom w:val="single" w:sz="4" w:space="0" w:color="D9D9D9"/>
              <w:right w:val="nil"/>
            </w:tcBorders>
            <w:shd w:val="clear" w:color="000000" w:fill="D9D9D9"/>
            <w:noWrap/>
            <w:hideMark/>
          </w:tcPr>
          <w:p w:rsidR="003E6989" w:rsidRDefault="003E6989" w:rsidP="006A5410">
            <w:pPr>
              <w:rPr>
                <w:rFonts w:cs="Calibri"/>
                <w:b/>
                <w:bCs/>
                <w:szCs w:val="18"/>
                <w:u w:val="single"/>
              </w:rPr>
            </w:pPr>
            <w:bookmarkStart w:id="235" w:name="Note_AFNTABLE1" w:colFirst="0" w:colLast="0"/>
            <w:r>
              <w:rPr>
                <w:rFonts w:cs="Calibri"/>
                <w:b/>
                <w:bCs/>
                <w:szCs w:val="18"/>
                <w:u w:val="single"/>
              </w:rPr>
              <w:t>2.1E: Finance costs</w:t>
            </w:r>
          </w:p>
        </w:tc>
        <w:tc>
          <w:tcPr>
            <w:tcW w:w="1238"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 </w:t>
            </w:r>
          </w:p>
        </w:tc>
      </w:tr>
      <w:bookmarkEnd w:id="235"/>
      <w:tr w:rsidR="003E6989" w:rsidTr="006A5410">
        <w:trPr>
          <w:trHeight w:val="255"/>
        </w:trPr>
        <w:tc>
          <w:tcPr>
            <w:tcW w:w="6272" w:type="dxa"/>
            <w:tcBorders>
              <w:top w:val="nil"/>
              <w:left w:val="nil"/>
              <w:bottom w:val="single" w:sz="4" w:space="0" w:color="D9D9D9"/>
              <w:right w:val="nil"/>
            </w:tcBorders>
            <w:shd w:val="clear" w:color="000000" w:fill="D9D9D9"/>
            <w:noWrap/>
            <w:hideMark/>
          </w:tcPr>
          <w:p w:rsidR="003E6989" w:rsidRDefault="003E6989" w:rsidP="006A5410">
            <w:pPr>
              <w:rPr>
                <w:rFonts w:cs="Calibri"/>
                <w:b/>
                <w:bCs/>
                <w:szCs w:val="18"/>
              </w:rPr>
            </w:pPr>
            <w:r>
              <w:rPr>
                <w:rFonts w:cs="Calibri"/>
                <w:b/>
                <w:bCs/>
                <w:szCs w:val="18"/>
              </w:rPr>
              <w:t> </w:t>
            </w:r>
          </w:p>
        </w:tc>
        <w:tc>
          <w:tcPr>
            <w:tcW w:w="1238"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Concessional loan discount</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636,237</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801,980</w:t>
            </w:r>
          </w:p>
        </w:tc>
      </w:tr>
      <w:tr w:rsidR="003E6989" w:rsidTr="006A5410">
        <w:trPr>
          <w:trHeight w:val="270"/>
        </w:trPr>
        <w:tc>
          <w:tcPr>
            <w:tcW w:w="6272"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finance costs</w:t>
            </w:r>
          </w:p>
        </w:tc>
        <w:tc>
          <w:tcPr>
            <w:tcW w:w="1238"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636,237</w:t>
            </w:r>
          </w:p>
        </w:tc>
        <w:tc>
          <w:tcPr>
            <w:tcW w:w="236"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 </w:t>
            </w:r>
          </w:p>
        </w:tc>
        <w:tc>
          <w:tcPr>
            <w:tcW w:w="123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801,980</w:t>
            </w:r>
          </w:p>
        </w:tc>
      </w:tr>
    </w:tbl>
    <w:p w:rsidR="003E6989" w:rsidRDefault="003E6989" w:rsidP="003E6989">
      <w:pPr>
        <w:pStyle w:val="GreyShadeTableBreak"/>
      </w:pPr>
      <w:bookmarkStart w:id="236" w:name="RANGE!D7:D10"/>
      <w:bookmarkStart w:id="237" w:name="RANGE!D7:G11"/>
      <w:bookmarkEnd w:id="236"/>
      <w:bookmarkEnd w:id="237"/>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single" w:sz="4" w:space="0" w:color="D9D9D9"/>
              <w:left w:val="nil"/>
              <w:bottom w:val="single" w:sz="4" w:space="0" w:color="D9D9D9"/>
              <w:right w:val="nil"/>
            </w:tcBorders>
            <w:shd w:val="clear" w:color="000000" w:fill="D9D9D9"/>
            <w:noWrap/>
            <w:hideMark/>
          </w:tcPr>
          <w:p w:rsidR="003E6989" w:rsidRDefault="003E6989" w:rsidP="006A5410">
            <w:pPr>
              <w:rPr>
                <w:rFonts w:cs="Calibri"/>
                <w:b/>
                <w:bCs/>
                <w:szCs w:val="18"/>
                <w:u w:val="single"/>
              </w:rPr>
            </w:pPr>
            <w:bookmarkStart w:id="238" w:name="Note_AWDTABLE1" w:colFirst="0" w:colLast="0"/>
            <w:r>
              <w:rPr>
                <w:rFonts w:cs="Calibri"/>
                <w:b/>
                <w:bCs/>
                <w:szCs w:val="18"/>
                <w:u w:val="single"/>
              </w:rPr>
              <w:t>2.1F: Write-down and impairment of assets</w:t>
            </w:r>
          </w:p>
        </w:tc>
        <w:tc>
          <w:tcPr>
            <w:tcW w:w="1238"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bookmarkEnd w:id="238"/>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Impairment of personal benefits receivable</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17,806</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19,206</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Impairment of Higher Education Superannuation Program</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6</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w:t>
            </w:r>
          </w:p>
        </w:tc>
      </w:tr>
      <w:tr w:rsidR="003E6989" w:rsidTr="006A5410">
        <w:trPr>
          <w:trHeight w:val="255"/>
        </w:trPr>
        <w:tc>
          <w:tcPr>
            <w:tcW w:w="6272"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Write-down of other receivables</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762</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477</w:t>
            </w:r>
          </w:p>
        </w:tc>
      </w:tr>
      <w:tr w:rsidR="003E6989" w:rsidTr="006A5410">
        <w:trPr>
          <w:trHeight w:val="255"/>
        </w:trPr>
        <w:tc>
          <w:tcPr>
            <w:tcW w:w="6272" w:type="dxa"/>
            <w:tcBorders>
              <w:top w:val="single" w:sz="4" w:space="0" w:color="D9D9D9"/>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Impairment of goods and services and other receivables</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21</w:t>
            </w:r>
          </w:p>
        </w:tc>
        <w:tc>
          <w:tcPr>
            <w:tcW w:w="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6,554</w:t>
            </w:r>
          </w:p>
        </w:tc>
      </w:tr>
      <w:tr w:rsidR="003E6989" w:rsidTr="006A5410">
        <w:trPr>
          <w:trHeight w:val="270"/>
        </w:trPr>
        <w:tc>
          <w:tcPr>
            <w:tcW w:w="6272"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write-down and impairment of assets</w:t>
            </w:r>
          </w:p>
        </w:tc>
        <w:tc>
          <w:tcPr>
            <w:tcW w:w="1238"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18,595</w:t>
            </w:r>
          </w:p>
        </w:tc>
        <w:tc>
          <w:tcPr>
            <w:tcW w:w="236"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 </w:t>
            </w:r>
          </w:p>
        </w:tc>
        <w:tc>
          <w:tcPr>
            <w:tcW w:w="123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26,237</w:t>
            </w:r>
          </w:p>
        </w:tc>
      </w:tr>
    </w:tbl>
    <w:p w:rsidR="003E6989" w:rsidRDefault="003E6989" w:rsidP="003E6989">
      <w:pPr>
        <w:pStyle w:val="GreyShadeTableBreak"/>
      </w:pPr>
      <w:bookmarkStart w:id="239" w:name="RANGE!D7:D12"/>
      <w:bookmarkEnd w:id="239"/>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nil"/>
              <w:left w:val="nil"/>
              <w:bottom w:val="nil"/>
              <w:right w:val="nil"/>
            </w:tcBorders>
            <w:shd w:val="clear" w:color="000000" w:fill="D9D9D9"/>
            <w:noWrap/>
            <w:hideMark/>
          </w:tcPr>
          <w:p w:rsidR="003E6989" w:rsidRDefault="003E6989" w:rsidP="006A5410">
            <w:pPr>
              <w:rPr>
                <w:rFonts w:cs="Calibri"/>
                <w:b/>
                <w:bCs/>
                <w:szCs w:val="18"/>
                <w:u w:val="single"/>
              </w:rPr>
            </w:pPr>
            <w:bookmarkStart w:id="240" w:name="Note_ACBTABLE1" w:colFirst="0" w:colLast="0"/>
            <w:r>
              <w:rPr>
                <w:rFonts w:cs="Calibri"/>
                <w:b/>
                <w:bCs/>
                <w:szCs w:val="18"/>
                <w:u w:val="single"/>
              </w:rPr>
              <w:t>2.1G: Payments to corporate Commonwealth entities</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 </w:t>
            </w:r>
          </w:p>
        </w:tc>
      </w:tr>
      <w:bookmarkEnd w:id="240"/>
      <w:tr w:rsidR="003E6989" w:rsidTr="006A5410">
        <w:trPr>
          <w:trHeight w:val="255"/>
        </w:trPr>
        <w:tc>
          <w:tcPr>
            <w:tcW w:w="6272" w:type="dxa"/>
            <w:tcBorders>
              <w:top w:val="nil"/>
              <w:left w:val="nil"/>
              <w:bottom w:val="nil"/>
              <w:right w:val="nil"/>
            </w:tcBorders>
            <w:shd w:val="clear" w:color="000000" w:fill="D9D9D9"/>
            <w:noWrap/>
            <w:hideMark/>
          </w:tcPr>
          <w:p w:rsidR="003E6989" w:rsidRDefault="003E6989" w:rsidP="006A5410">
            <w:pPr>
              <w:rPr>
                <w:rFonts w:cs="Calibri"/>
                <w:b/>
                <w:bCs/>
                <w:szCs w:val="18"/>
              </w:rPr>
            </w:pPr>
            <w:r>
              <w:rPr>
                <w:rFonts w:cs="Calibri"/>
                <w:b/>
                <w:bCs/>
                <w:szCs w:val="18"/>
              </w:rPr>
              <w:t> </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6272"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Australian Institute of Aboriginal and Torres Strait Islander Studies</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15,009</w:t>
            </w:r>
          </w:p>
        </w:tc>
        <w:tc>
          <w:tcPr>
            <w:tcW w:w="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13,370</w:t>
            </w:r>
          </w:p>
        </w:tc>
      </w:tr>
      <w:tr w:rsidR="003E6989" w:rsidTr="006A5410">
        <w:trPr>
          <w:trHeight w:val="270"/>
        </w:trPr>
        <w:tc>
          <w:tcPr>
            <w:tcW w:w="6272"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payments to corporate Commonwealth entities</w:t>
            </w:r>
          </w:p>
        </w:tc>
        <w:tc>
          <w:tcPr>
            <w:tcW w:w="1238"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15,009</w:t>
            </w:r>
          </w:p>
        </w:tc>
        <w:tc>
          <w:tcPr>
            <w:tcW w:w="236"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 </w:t>
            </w:r>
          </w:p>
        </w:tc>
        <w:tc>
          <w:tcPr>
            <w:tcW w:w="123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13,370</w:t>
            </w:r>
          </w:p>
        </w:tc>
      </w:tr>
    </w:tbl>
    <w:p w:rsidR="00E011FB" w:rsidRDefault="00E011FB" w:rsidP="003E6989">
      <w:pPr>
        <w:pStyle w:val="GreyShadeTableBreak"/>
      </w:pPr>
    </w:p>
    <w:p w:rsidR="00E011FB" w:rsidRDefault="00E011FB">
      <w:pPr>
        <w:spacing w:line="240" w:lineRule="auto"/>
      </w:pPr>
      <w:r>
        <w:br w:type="page"/>
      </w:r>
    </w:p>
    <w:p w:rsidR="003E6989" w:rsidRPr="00705FEF" w:rsidRDefault="003E6989" w:rsidP="003E6989">
      <w:pPr>
        <w:pStyle w:val="PolicyTextAdminbold"/>
        <w:spacing w:before="100" w:after="100" w:line="240" w:lineRule="auto"/>
      </w:pPr>
      <w:r w:rsidRPr="00705FEF">
        <w:lastRenderedPageBreak/>
        <w:t>Accounting Policy</w:t>
      </w:r>
    </w:p>
    <w:p w:rsidR="003E6989" w:rsidRPr="00705FEF" w:rsidRDefault="003E6989" w:rsidP="003E6989">
      <w:pPr>
        <w:pStyle w:val="PlicytextAdminUnderline"/>
        <w:spacing w:before="100" w:after="100" w:line="240" w:lineRule="auto"/>
      </w:pPr>
      <w:r w:rsidRPr="00705FEF">
        <w:t>Payments to Corporate Commonwealth Entities</w:t>
      </w:r>
    </w:p>
    <w:p w:rsidR="003E6989" w:rsidRDefault="003E6989" w:rsidP="003E6989">
      <w:pPr>
        <w:pStyle w:val="PolicyTextAdmin"/>
        <w:spacing w:before="100" w:after="100" w:line="240" w:lineRule="auto"/>
      </w:pPr>
      <w:r w:rsidRPr="00705FEF">
        <w:t xml:space="preserve">Payments to the Australian Institute of Aboriginal and Torres Strait Islander Studies from amounts appropriated for that purpose are classified as administered expenses of the relevant portfolio department.  The appropriation to the department </w:t>
      </w:r>
      <w:r w:rsidRPr="00661EEC">
        <w:t>is disclosed in tables</w:t>
      </w:r>
      <w:r w:rsidRPr="00705FEF">
        <w:t xml:space="preserve"> </w:t>
      </w:r>
      <w:r>
        <w:t>of the appropriation note (Note 5)</w:t>
      </w:r>
      <w:r w:rsidRPr="00705FEF">
        <w:t>.</w:t>
      </w:r>
    </w:p>
    <w:p w:rsidR="003E6989" w:rsidRDefault="003E6989" w:rsidP="003E6989">
      <w:pPr>
        <w:pStyle w:val="GreyShadeTableBreak"/>
      </w:pPr>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nil"/>
              <w:left w:val="nil"/>
              <w:bottom w:val="nil"/>
              <w:right w:val="nil"/>
            </w:tcBorders>
            <w:shd w:val="clear" w:color="000000" w:fill="D9D9D9"/>
            <w:noWrap/>
            <w:hideMark/>
          </w:tcPr>
          <w:p w:rsidR="003E6989" w:rsidRDefault="003E6989" w:rsidP="006A5410">
            <w:pPr>
              <w:rPr>
                <w:rFonts w:cs="Calibri"/>
                <w:b/>
                <w:bCs/>
                <w:szCs w:val="18"/>
              </w:rPr>
            </w:pPr>
            <w:bookmarkStart w:id="241" w:name="Note_FVLTABLE1" w:colFirst="0" w:colLast="0"/>
            <w:r>
              <w:rPr>
                <w:rFonts w:cs="Calibri"/>
                <w:b/>
                <w:bCs/>
                <w:szCs w:val="18"/>
              </w:rPr>
              <w:t> </w:t>
            </w:r>
          </w:p>
        </w:tc>
        <w:tc>
          <w:tcPr>
            <w:tcW w:w="1238"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2016</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vAlign w:val="bottom"/>
            <w:hideMark/>
          </w:tcPr>
          <w:p w:rsidR="003E6989" w:rsidRDefault="003E6989" w:rsidP="006A5410">
            <w:pPr>
              <w:jc w:val="right"/>
              <w:rPr>
                <w:rFonts w:cs="Calibri"/>
                <w:szCs w:val="18"/>
              </w:rPr>
            </w:pPr>
            <w:r>
              <w:rPr>
                <w:rFonts w:cs="Calibri"/>
                <w:szCs w:val="18"/>
              </w:rPr>
              <w:t>2015</w:t>
            </w:r>
          </w:p>
        </w:tc>
      </w:tr>
      <w:bookmarkEnd w:id="241"/>
      <w:tr w:rsidR="003E6989" w:rsidTr="006A5410">
        <w:trPr>
          <w:trHeight w:val="255"/>
        </w:trPr>
        <w:tc>
          <w:tcPr>
            <w:tcW w:w="6272" w:type="dxa"/>
            <w:tcBorders>
              <w:top w:val="single" w:sz="4" w:space="0" w:color="D9D9D9"/>
              <w:left w:val="nil"/>
              <w:bottom w:val="nil"/>
              <w:right w:val="nil"/>
            </w:tcBorders>
            <w:shd w:val="clear" w:color="000000" w:fill="D9D9D9"/>
            <w:noWrap/>
            <w:hideMark/>
          </w:tcPr>
          <w:p w:rsidR="003E6989" w:rsidRDefault="003E6989" w:rsidP="006A5410">
            <w:pPr>
              <w:rPr>
                <w:rFonts w:cs="Calibri"/>
                <w:b/>
                <w:bCs/>
                <w:szCs w:val="18"/>
                <w:u w:val="single"/>
              </w:rPr>
            </w:pPr>
            <w:r>
              <w:rPr>
                <w:rFonts w:cs="Calibri"/>
                <w:b/>
                <w:bCs/>
                <w:szCs w:val="18"/>
                <w:u w:val="single"/>
              </w:rPr>
              <w:t>2.1H: Fair value losses</w:t>
            </w:r>
          </w:p>
        </w:tc>
        <w:tc>
          <w:tcPr>
            <w:tcW w:w="1238"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$'000</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6272" w:type="dxa"/>
            <w:tcBorders>
              <w:top w:val="nil"/>
              <w:left w:val="nil"/>
              <w:bottom w:val="nil"/>
              <w:right w:val="nil"/>
            </w:tcBorders>
            <w:shd w:val="clear" w:color="000000" w:fill="D9D9D9"/>
            <w:noWrap/>
            <w:hideMark/>
          </w:tcPr>
          <w:p w:rsidR="003E6989" w:rsidRDefault="003E6989" w:rsidP="006A5410">
            <w:pPr>
              <w:rPr>
                <w:rFonts w:cs="Calibri"/>
                <w:b/>
                <w:bCs/>
                <w:szCs w:val="18"/>
              </w:rPr>
            </w:pPr>
            <w:r>
              <w:rPr>
                <w:rFonts w:cs="Calibri"/>
                <w:b/>
                <w:bCs/>
                <w:szCs w:val="18"/>
              </w:rPr>
              <w:t> </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r>
      <w:tr w:rsidR="003E6989" w:rsidTr="006A5410">
        <w:trPr>
          <w:trHeight w:val="555"/>
        </w:trPr>
        <w:tc>
          <w:tcPr>
            <w:tcW w:w="6272" w:type="dxa"/>
            <w:tcBorders>
              <w:top w:val="single" w:sz="4" w:space="0" w:color="D9D9D9"/>
              <w:left w:val="nil"/>
              <w:bottom w:val="single" w:sz="4" w:space="0" w:color="D9D9D9"/>
              <w:right w:val="nil"/>
            </w:tcBorders>
            <w:shd w:val="clear" w:color="000000" w:fill="D9D9D9"/>
            <w:vAlign w:val="bottom"/>
            <w:hideMark/>
          </w:tcPr>
          <w:p w:rsidR="003E6989" w:rsidRDefault="003E6989" w:rsidP="006A5410">
            <w:pPr>
              <w:rPr>
                <w:rFonts w:cs="Calibri"/>
                <w:szCs w:val="18"/>
              </w:rPr>
            </w:pPr>
            <w:r>
              <w:rPr>
                <w:rFonts w:cs="Calibri"/>
                <w:szCs w:val="18"/>
              </w:rPr>
              <w:t>Losses from remeasuring financial instruments held at fair value through profit or loss</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1,058,199</w:t>
            </w:r>
          </w:p>
        </w:tc>
        <w:tc>
          <w:tcPr>
            <w:tcW w:w="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1,261,294</w:t>
            </w:r>
          </w:p>
        </w:tc>
      </w:tr>
      <w:tr w:rsidR="003E6989" w:rsidTr="006A5410">
        <w:trPr>
          <w:trHeight w:val="330"/>
        </w:trPr>
        <w:tc>
          <w:tcPr>
            <w:tcW w:w="6272"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fair value losses</w:t>
            </w:r>
          </w:p>
        </w:tc>
        <w:tc>
          <w:tcPr>
            <w:tcW w:w="1238"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1,058,199</w:t>
            </w:r>
          </w:p>
        </w:tc>
        <w:tc>
          <w:tcPr>
            <w:tcW w:w="236"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 </w:t>
            </w:r>
          </w:p>
        </w:tc>
        <w:tc>
          <w:tcPr>
            <w:tcW w:w="123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1,261,294</w:t>
            </w:r>
          </w:p>
        </w:tc>
      </w:tr>
    </w:tbl>
    <w:p w:rsidR="003E6989" w:rsidRDefault="003E6989" w:rsidP="003E6989">
      <w:pPr>
        <w:pStyle w:val="GreyShadeTableBreak"/>
      </w:pPr>
      <w:bookmarkStart w:id="242" w:name="RANGE!D9:D13"/>
      <w:bookmarkEnd w:id="242"/>
    </w:p>
    <w:p w:rsidR="003E6989" w:rsidRDefault="003E6989" w:rsidP="003E6989">
      <w:pPr>
        <w:pStyle w:val="GreyShadeTableBreak"/>
      </w:pPr>
    </w:p>
    <w:tbl>
      <w:tblPr>
        <w:tblW w:w="9087" w:type="dxa"/>
        <w:tblInd w:w="80" w:type="dxa"/>
        <w:tblLayout w:type="fixed"/>
        <w:tblLook w:val="04A0" w:firstRow="1" w:lastRow="0" w:firstColumn="1" w:lastColumn="0" w:noHBand="0" w:noVBand="1"/>
      </w:tblPr>
      <w:tblGrid>
        <w:gridCol w:w="6350"/>
        <w:gridCol w:w="1251"/>
        <w:gridCol w:w="239"/>
        <w:gridCol w:w="1247"/>
      </w:tblGrid>
      <w:tr w:rsidR="003E6989" w:rsidTr="006A5410">
        <w:trPr>
          <w:trHeight w:val="255"/>
        </w:trPr>
        <w:tc>
          <w:tcPr>
            <w:tcW w:w="6276" w:type="dxa"/>
            <w:tcBorders>
              <w:top w:val="nil"/>
              <w:left w:val="nil"/>
              <w:bottom w:val="single" w:sz="4" w:space="0" w:color="D9D9D9"/>
              <w:right w:val="nil"/>
            </w:tcBorders>
            <w:shd w:val="clear" w:color="000000" w:fill="D9D9D9"/>
            <w:noWrap/>
            <w:hideMark/>
          </w:tcPr>
          <w:p w:rsidR="003E6989" w:rsidRDefault="003E6989" w:rsidP="006A5410">
            <w:pPr>
              <w:rPr>
                <w:rFonts w:cs="Calibri"/>
                <w:b/>
                <w:bCs/>
                <w:szCs w:val="18"/>
                <w:u w:val="single"/>
              </w:rPr>
            </w:pPr>
            <w:bookmarkStart w:id="243" w:name="Note_AOETABLE1" w:colFirst="0" w:colLast="0"/>
            <w:r>
              <w:rPr>
                <w:rFonts w:cs="Calibri"/>
                <w:b/>
                <w:bCs/>
                <w:szCs w:val="18"/>
                <w:u w:val="single"/>
              </w:rPr>
              <w:t>2.1I: Other expenses</w:t>
            </w:r>
          </w:p>
        </w:tc>
        <w:tc>
          <w:tcPr>
            <w:tcW w:w="123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3"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 </w:t>
            </w:r>
          </w:p>
        </w:tc>
      </w:tr>
      <w:bookmarkEnd w:id="243"/>
      <w:tr w:rsidR="003E6989" w:rsidTr="006A5410">
        <w:trPr>
          <w:trHeight w:val="255"/>
        </w:trPr>
        <w:tc>
          <w:tcPr>
            <w:tcW w:w="627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Act of Grace payments</w:t>
            </w:r>
          </w:p>
        </w:tc>
        <w:tc>
          <w:tcPr>
            <w:tcW w:w="1237"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147</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3"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57</w:t>
            </w:r>
          </w:p>
        </w:tc>
      </w:tr>
      <w:tr w:rsidR="003E6989" w:rsidTr="006A5410">
        <w:trPr>
          <w:trHeight w:val="270"/>
        </w:trPr>
        <w:tc>
          <w:tcPr>
            <w:tcW w:w="6276"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szCs w:val="18"/>
              </w:rPr>
            </w:pPr>
            <w:r>
              <w:rPr>
                <w:rFonts w:cs="Calibri"/>
                <w:b/>
                <w:bCs/>
                <w:szCs w:val="18"/>
              </w:rPr>
              <w:t>Total other expenses</w:t>
            </w:r>
          </w:p>
        </w:tc>
        <w:tc>
          <w:tcPr>
            <w:tcW w:w="1237"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147</w:t>
            </w:r>
          </w:p>
        </w:tc>
        <w:tc>
          <w:tcPr>
            <w:tcW w:w="236" w:type="dxa"/>
            <w:tcBorders>
              <w:top w:val="single" w:sz="4" w:space="0" w:color="D9D9D9"/>
              <w:left w:val="nil"/>
              <w:bottom w:val="single" w:sz="24" w:space="0" w:color="D8D8D8"/>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3"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57</w:t>
            </w:r>
          </w:p>
        </w:tc>
      </w:tr>
    </w:tbl>
    <w:p w:rsidR="003E6989" w:rsidRPr="00705FEF" w:rsidRDefault="003E6989" w:rsidP="003E6989">
      <w:pPr>
        <w:pStyle w:val="GreyShadeTableBreak"/>
      </w:pPr>
      <w:r w:rsidRPr="00705FEF">
        <w:br w:type="page"/>
      </w:r>
    </w:p>
    <w:p w:rsidR="003E6989" w:rsidRDefault="003E6989" w:rsidP="003E6989">
      <w:pPr>
        <w:pStyle w:val="SubHeading"/>
      </w:pPr>
      <w:bookmarkStart w:id="244" w:name="_Toc455416733"/>
      <w:bookmarkStart w:id="245" w:name="_Toc464726624"/>
      <w:r>
        <w:lastRenderedPageBreak/>
        <w:t>Administered Income</w:t>
      </w:r>
      <w:bookmarkEnd w:id="244"/>
      <w:bookmarkEnd w:id="245"/>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40"/>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bookmarkStart w:id="246" w:name="Note_AOTTABLE1" w:colFirst="0" w:colLast="0"/>
            <w:r>
              <w:rPr>
                <w:rFonts w:ascii="Arial" w:hAnsi="Arial" w:cs="Arial"/>
                <w:sz w:val="16"/>
                <w:szCs w:val="16"/>
              </w:rPr>
              <w:t> </w:t>
            </w:r>
          </w:p>
        </w:tc>
        <w:tc>
          <w:tcPr>
            <w:tcW w:w="1238"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2016</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2015</w:t>
            </w:r>
          </w:p>
        </w:tc>
      </w:tr>
      <w:bookmarkEnd w:id="246"/>
      <w:tr w:rsidR="003E6989" w:rsidTr="006A5410">
        <w:trPr>
          <w:trHeight w:val="255"/>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Taxation revenue</w:t>
            </w:r>
          </w:p>
        </w:tc>
        <w:tc>
          <w:tcPr>
            <w:tcW w:w="1238"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$'000</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bottom w:val="nil"/>
              <w:right w:val="nil"/>
            </w:tcBorders>
            <w:shd w:val="clear" w:color="000000" w:fill="D9D9D9"/>
            <w:noWrap/>
            <w:hideMark/>
          </w:tcPr>
          <w:p w:rsidR="003E6989" w:rsidRDefault="003E6989" w:rsidP="006A5410">
            <w:pPr>
              <w:rPr>
                <w:rFonts w:cs="Calibri"/>
                <w:b/>
                <w:bCs/>
                <w:szCs w:val="18"/>
                <w:u w:val="single"/>
              </w:rPr>
            </w:pPr>
            <w:r>
              <w:rPr>
                <w:rFonts w:cs="Calibri"/>
                <w:b/>
                <w:bCs/>
                <w:szCs w:val="18"/>
                <w:u w:val="single"/>
              </w:rPr>
              <w:t>2.2A: Other taxes</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Levies (other than agricultural)</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10,144</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8,576</w:t>
            </w:r>
          </w:p>
        </w:tc>
      </w:tr>
      <w:tr w:rsidR="003E6989" w:rsidTr="006A5410">
        <w:trPr>
          <w:trHeight w:val="270"/>
        </w:trPr>
        <w:tc>
          <w:tcPr>
            <w:tcW w:w="6272"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other taxes</w:t>
            </w:r>
          </w:p>
        </w:tc>
        <w:tc>
          <w:tcPr>
            <w:tcW w:w="1238"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10,144</w:t>
            </w:r>
          </w:p>
        </w:tc>
        <w:tc>
          <w:tcPr>
            <w:tcW w:w="236"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 </w:t>
            </w:r>
          </w:p>
        </w:tc>
        <w:tc>
          <w:tcPr>
            <w:tcW w:w="123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8,576</w:t>
            </w:r>
          </w:p>
        </w:tc>
      </w:tr>
    </w:tbl>
    <w:p w:rsidR="003E6989" w:rsidRDefault="003E6989" w:rsidP="003E6989">
      <w:pPr>
        <w:pStyle w:val="GreyShadeTableBreak"/>
      </w:pPr>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bookmarkStart w:id="247" w:name="Note_AINTABLE1" w:colFirst="0" w:colLast="0"/>
            <w:r>
              <w:rPr>
                <w:rFonts w:cs="Calibri"/>
                <w:b/>
                <w:bCs/>
                <w:szCs w:val="18"/>
              </w:rPr>
              <w:t>Non-taxation revenue</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bookmarkEnd w:id="247"/>
      <w:tr w:rsidR="003E6989" w:rsidTr="006A5410">
        <w:trPr>
          <w:trHeight w:val="255"/>
        </w:trPr>
        <w:tc>
          <w:tcPr>
            <w:tcW w:w="6272" w:type="dxa"/>
            <w:tcBorders>
              <w:top w:val="nil"/>
              <w:left w:val="nil"/>
              <w:bottom w:val="nil"/>
              <w:right w:val="nil"/>
            </w:tcBorders>
            <w:shd w:val="clear" w:color="000000" w:fill="D9D9D9"/>
            <w:noWrap/>
            <w:hideMark/>
          </w:tcPr>
          <w:p w:rsidR="003E6989" w:rsidRDefault="003E6989" w:rsidP="006A5410">
            <w:pPr>
              <w:rPr>
                <w:rFonts w:cs="Calibri"/>
                <w:b/>
                <w:bCs/>
                <w:szCs w:val="18"/>
                <w:u w:val="single"/>
              </w:rPr>
            </w:pPr>
            <w:r>
              <w:rPr>
                <w:rFonts w:cs="Calibri"/>
                <w:b/>
                <w:bCs/>
                <w:szCs w:val="18"/>
                <w:u w:val="single"/>
              </w:rPr>
              <w:t>2.2B: Interest</w:t>
            </w:r>
          </w:p>
        </w:tc>
        <w:tc>
          <w:tcPr>
            <w:tcW w:w="1238"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Other sources</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7</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337</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Loans</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529,330</w:t>
            </w:r>
          </w:p>
        </w:tc>
        <w:tc>
          <w:tcPr>
            <w:tcW w:w="236" w:type="dxa"/>
            <w:tcBorders>
              <w:top w:val="nil"/>
              <w:left w:val="nil"/>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582,797</w:t>
            </w:r>
          </w:p>
        </w:tc>
      </w:tr>
      <w:tr w:rsidR="003E6989" w:rsidTr="006A5410">
        <w:trPr>
          <w:trHeight w:val="270"/>
        </w:trPr>
        <w:tc>
          <w:tcPr>
            <w:tcW w:w="6272"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interest</w:t>
            </w:r>
          </w:p>
        </w:tc>
        <w:tc>
          <w:tcPr>
            <w:tcW w:w="1238"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529,337</w:t>
            </w:r>
          </w:p>
        </w:tc>
        <w:tc>
          <w:tcPr>
            <w:tcW w:w="236" w:type="dxa"/>
            <w:tcBorders>
              <w:top w:val="nil"/>
              <w:left w:val="nil"/>
              <w:bottom w:val="single" w:sz="24" w:space="0" w:color="D8D8D8"/>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123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583,134</w:t>
            </w:r>
          </w:p>
        </w:tc>
      </w:tr>
    </w:tbl>
    <w:p w:rsidR="003E6989" w:rsidRDefault="003E6989" w:rsidP="003E6989">
      <w:pPr>
        <w:pStyle w:val="GreyShadeTableBreak"/>
      </w:pPr>
      <w:bookmarkStart w:id="248" w:name="RANGE!D7:G13"/>
      <w:bookmarkStart w:id="249" w:name="RANGE!D6:G11"/>
      <w:bookmarkEnd w:id="248"/>
      <w:bookmarkEnd w:id="249"/>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nil"/>
              <w:left w:val="nil"/>
              <w:bottom w:val="nil"/>
              <w:right w:val="nil"/>
            </w:tcBorders>
            <w:shd w:val="clear" w:color="000000" w:fill="D9D9D9"/>
            <w:noWrap/>
            <w:hideMark/>
          </w:tcPr>
          <w:p w:rsidR="003E6989" w:rsidRDefault="003E6989" w:rsidP="006A5410">
            <w:pPr>
              <w:rPr>
                <w:rFonts w:cs="Calibri"/>
                <w:b/>
                <w:bCs/>
                <w:szCs w:val="18"/>
                <w:u w:val="single"/>
              </w:rPr>
            </w:pPr>
            <w:bookmarkStart w:id="250" w:name="Note_AORTABLE1" w:colFirst="0" w:colLast="0"/>
            <w:r>
              <w:rPr>
                <w:rFonts w:cs="Calibri"/>
                <w:b/>
                <w:bCs/>
                <w:szCs w:val="18"/>
                <w:u w:val="single"/>
              </w:rPr>
              <w:t>2.2C: Other revenue</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bookmarkEnd w:id="250"/>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Education investment fund special account</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55,754</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217,413</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Other</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757,423</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632,428</w:t>
            </w:r>
          </w:p>
        </w:tc>
      </w:tr>
      <w:tr w:rsidR="003E6989" w:rsidTr="006A5410">
        <w:trPr>
          <w:trHeight w:val="270"/>
        </w:trPr>
        <w:tc>
          <w:tcPr>
            <w:tcW w:w="6272"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other revenue</w:t>
            </w:r>
          </w:p>
        </w:tc>
        <w:tc>
          <w:tcPr>
            <w:tcW w:w="1238"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813,177</w:t>
            </w:r>
          </w:p>
        </w:tc>
        <w:tc>
          <w:tcPr>
            <w:tcW w:w="236"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 </w:t>
            </w:r>
          </w:p>
        </w:tc>
        <w:tc>
          <w:tcPr>
            <w:tcW w:w="123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849,841</w:t>
            </w:r>
          </w:p>
        </w:tc>
      </w:tr>
    </w:tbl>
    <w:p w:rsidR="003E6989" w:rsidRDefault="003E6989" w:rsidP="003E6989">
      <w:pPr>
        <w:pStyle w:val="GreyShadeTableBreak"/>
      </w:pPr>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40"/>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bookmarkStart w:id="251" w:name="Note_AFVTABLE1" w:colFirst="0" w:colLast="0"/>
            <w:r>
              <w:rPr>
                <w:rFonts w:cs="Calibri"/>
                <w:b/>
                <w:bCs/>
                <w:szCs w:val="18"/>
              </w:rPr>
              <w:t>Gains</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 </w:t>
            </w:r>
          </w:p>
        </w:tc>
      </w:tr>
      <w:bookmarkEnd w:id="251"/>
      <w:tr w:rsidR="003E6989" w:rsidTr="006A5410">
        <w:trPr>
          <w:trHeight w:val="240"/>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8"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40"/>
        </w:trPr>
        <w:tc>
          <w:tcPr>
            <w:tcW w:w="6272" w:type="dxa"/>
            <w:tcBorders>
              <w:top w:val="nil"/>
              <w:left w:val="nil"/>
              <w:bottom w:val="nil"/>
              <w:right w:val="nil"/>
            </w:tcBorders>
            <w:shd w:val="clear" w:color="000000" w:fill="D9D9D9"/>
            <w:noWrap/>
            <w:hideMark/>
          </w:tcPr>
          <w:p w:rsidR="003E6989" w:rsidRDefault="003E6989" w:rsidP="006A5410">
            <w:pPr>
              <w:rPr>
                <w:rFonts w:cs="Calibri"/>
                <w:b/>
                <w:bCs/>
                <w:szCs w:val="18"/>
                <w:u w:val="single"/>
              </w:rPr>
            </w:pPr>
            <w:r>
              <w:rPr>
                <w:rFonts w:cs="Calibri"/>
                <w:b/>
                <w:bCs/>
                <w:szCs w:val="18"/>
                <w:u w:val="single"/>
              </w:rPr>
              <w:t>2.2D: Fair value gains</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r>
      <w:tr w:rsidR="003E6989" w:rsidTr="006A5410">
        <w:trPr>
          <w:trHeight w:val="240"/>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r>
      <w:tr w:rsidR="003E6989" w:rsidTr="006A5410">
        <w:trPr>
          <w:trHeight w:val="240"/>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szCs w:val="18"/>
              </w:rPr>
            </w:pPr>
            <w:r>
              <w:rPr>
                <w:rFonts w:cs="Calibri"/>
                <w:szCs w:val="18"/>
              </w:rPr>
              <w:t>HECS/HELP</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w:t>
            </w:r>
          </w:p>
        </w:tc>
      </w:tr>
      <w:tr w:rsidR="003E6989" w:rsidTr="006A5410">
        <w:trPr>
          <w:trHeight w:val="240"/>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szCs w:val="18"/>
              </w:rPr>
            </w:pPr>
            <w:r>
              <w:rPr>
                <w:rFonts w:cs="Calibri"/>
                <w:szCs w:val="18"/>
              </w:rPr>
              <w:t>Higher Education Superannuation Program</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w:t>
            </w:r>
          </w:p>
        </w:tc>
      </w:tr>
      <w:tr w:rsidR="003E6989" w:rsidTr="006A5410">
        <w:trPr>
          <w:trHeight w:val="240"/>
        </w:trPr>
        <w:tc>
          <w:tcPr>
            <w:tcW w:w="6272"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fair value gains</w:t>
            </w:r>
          </w:p>
        </w:tc>
        <w:tc>
          <w:tcPr>
            <w:tcW w:w="1238"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w:t>
            </w:r>
          </w:p>
        </w:tc>
        <w:tc>
          <w:tcPr>
            <w:tcW w:w="236"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 </w:t>
            </w:r>
          </w:p>
        </w:tc>
        <w:tc>
          <w:tcPr>
            <w:tcW w:w="123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w:t>
            </w:r>
          </w:p>
        </w:tc>
      </w:tr>
    </w:tbl>
    <w:p w:rsidR="003E6989" w:rsidRDefault="003E6989" w:rsidP="003E6989">
      <w:pPr>
        <w:pStyle w:val="GreyShadeTableBreak"/>
      </w:pPr>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nil"/>
              <w:left w:val="nil"/>
              <w:bottom w:val="nil"/>
              <w:right w:val="nil"/>
            </w:tcBorders>
            <w:shd w:val="clear" w:color="000000" w:fill="D9D9D9"/>
            <w:noWrap/>
            <w:hideMark/>
          </w:tcPr>
          <w:p w:rsidR="003E6989" w:rsidRDefault="003E6989" w:rsidP="006A5410">
            <w:pPr>
              <w:rPr>
                <w:rFonts w:cs="Calibri"/>
                <w:b/>
                <w:bCs/>
                <w:szCs w:val="18"/>
                <w:u w:val="single"/>
              </w:rPr>
            </w:pPr>
            <w:bookmarkStart w:id="252" w:name="Note_ARPTABLE1" w:colFirst="0" w:colLast="0"/>
            <w:r>
              <w:rPr>
                <w:rFonts w:cs="Calibri"/>
                <w:b/>
                <w:bCs/>
                <w:szCs w:val="18"/>
                <w:u w:val="single"/>
              </w:rPr>
              <w:t>2.2E: Reversals of previous asset write-downs and impairment</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bookmarkEnd w:id="252"/>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Reversal of impairment losses for the Higher Education Superannuation Program</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1,200,266</w:t>
            </w:r>
          </w:p>
        </w:tc>
      </w:tr>
      <w:tr w:rsidR="003E6989" w:rsidTr="006A5410">
        <w:trPr>
          <w:trHeight w:val="270"/>
        </w:trPr>
        <w:tc>
          <w:tcPr>
            <w:tcW w:w="6272"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reversals of previous asset write-downs and impairments</w:t>
            </w:r>
          </w:p>
        </w:tc>
        <w:tc>
          <w:tcPr>
            <w:tcW w:w="1238"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w:t>
            </w:r>
          </w:p>
        </w:tc>
        <w:tc>
          <w:tcPr>
            <w:tcW w:w="236"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 </w:t>
            </w:r>
          </w:p>
        </w:tc>
        <w:tc>
          <w:tcPr>
            <w:tcW w:w="123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1,200,266</w:t>
            </w:r>
          </w:p>
        </w:tc>
      </w:tr>
    </w:tbl>
    <w:p w:rsidR="003E6989" w:rsidRDefault="003E6989" w:rsidP="003E6989">
      <w:pPr>
        <w:pStyle w:val="GreyShadeTableBreak"/>
      </w:pPr>
    </w:p>
    <w:p w:rsidR="003E6989" w:rsidRDefault="003E6989" w:rsidP="003E6989">
      <w:pPr>
        <w:pStyle w:val="PolicyTextAdmin"/>
        <w:spacing w:after="120"/>
        <w:rPr>
          <w:rStyle w:val="PolicyTextAdminboldChar"/>
        </w:rPr>
      </w:pPr>
      <w:r w:rsidRPr="002F28A4">
        <w:rPr>
          <w:rStyle w:val="PolicyTextAdminboldChar"/>
        </w:rPr>
        <w:t>Accounting Policy</w:t>
      </w:r>
    </w:p>
    <w:p w:rsidR="003E6989" w:rsidRPr="002F28A4" w:rsidRDefault="003E6989" w:rsidP="003E6989">
      <w:pPr>
        <w:pStyle w:val="PolicyTextAdmin"/>
        <w:spacing w:after="120"/>
        <w:rPr>
          <w:b/>
          <w:shd w:val="clear" w:color="auto" w:fill="E5F4F3"/>
        </w:rPr>
      </w:pPr>
      <w:r w:rsidRPr="002F28A4">
        <w:rPr>
          <w:rStyle w:val="PlicytextAdminUnderlineChar"/>
        </w:rPr>
        <w:t>Revenue</w:t>
      </w:r>
    </w:p>
    <w:p w:rsidR="003E6989" w:rsidRDefault="003E6989" w:rsidP="003E6989">
      <w:pPr>
        <w:pStyle w:val="PolicyTextAdmin"/>
      </w:pPr>
      <w:r w:rsidRPr="006557EB">
        <w:t xml:space="preserve">All administered revenues are revenues relating to the course of ordinary activities performed by the department on behalf of the Australian Government. </w:t>
      </w:r>
      <w:r>
        <w:t>A</w:t>
      </w:r>
      <w:r w:rsidRPr="006557EB">
        <w:t>dministered appropriations are not revenues of the individual entity that oversees distribution or expenditure of funds as directed.</w:t>
      </w:r>
    </w:p>
    <w:p w:rsidR="003E6989" w:rsidRPr="006557EB" w:rsidRDefault="003E6989" w:rsidP="003E6989">
      <w:pPr>
        <w:pStyle w:val="PolicyTextAdmin"/>
      </w:pPr>
    </w:p>
    <w:p w:rsidR="003E6989" w:rsidRDefault="003E6989" w:rsidP="003E6989">
      <w:pPr>
        <w:pStyle w:val="PolicyTextAdmin"/>
      </w:pPr>
      <w:r w:rsidRPr="006557EB">
        <w:t>Administered fee revenue is recognised when the service is provided.  Collectability of the debt is reviewed at balance date.  Impairment allowances are made when collectability of the debt is judged to be less, rather than more, likely.</w:t>
      </w:r>
    </w:p>
    <w:p w:rsidR="003E6989" w:rsidRPr="00E15572" w:rsidRDefault="003E6989" w:rsidP="003E6989">
      <w:pPr>
        <w:pStyle w:val="PolicyTextAdmin"/>
        <w:spacing w:after="120"/>
      </w:pPr>
      <w:r>
        <w:br/>
      </w:r>
      <w:r w:rsidRPr="002F28A4">
        <w:rPr>
          <w:rStyle w:val="PlicytextAdminUnderlineChar"/>
        </w:rPr>
        <w:t>Gains and losses</w:t>
      </w:r>
    </w:p>
    <w:p w:rsidR="003E6989" w:rsidRPr="002F28A4" w:rsidRDefault="003E6989" w:rsidP="003E6989">
      <w:pPr>
        <w:pStyle w:val="PolicyTextAdmin"/>
      </w:pPr>
      <w:r w:rsidRPr="006557EB">
        <w:t xml:space="preserve">Administered gains or losses under the Higher Education Loan Program (HELP) and </w:t>
      </w:r>
      <w:r>
        <w:t xml:space="preserve">Higher Education Superannuation Program </w:t>
      </w:r>
      <w:r w:rsidRPr="006557EB">
        <w:t>are recognised at 30 June each year based on an actuarial assessment of the fair value</w:t>
      </w:r>
      <w:r>
        <w:t>.</w:t>
      </w:r>
      <w:r>
        <w:br w:type="page"/>
      </w:r>
    </w:p>
    <w:p w:rsidR="003E6989" w:rsidRDefault="003E6989" w:rsidP="003E6989">
      <w:pPr>
        <w:pStyle w:val="SectionHeading"/>
      </w:pPr>
      <w:bookmarkStart w:id="253" w:name="_Toc455416734"/>
      <w:bookmarkStart w:id="254" w:name="_Toc463440700"/>
      <w:bookmarkStart w:id="255" w:name="_Toc464726285"/>
      <w:bookmarkStart w:id="256" w:name="_Toc464726625"/>
      <w:r>
        <w:lastRenderedPageBreak/>
        <w:t>Departmental Financial Position</w:t>
      </w:r>
      <w:bookmarkEnd w:id="253"/>
      <w:bookmarkEnd w:id="254"/>
      <w:bookmarkEnd w:id="255"/>
      <w:bookmarkEnd w:id="256"/>
    </w:p>
    <w:p w:rsidR="003E6989" w:rsidRPr="003055FE" w:rsidRDefault="003E6989" w:rsidP="003E6989">
      <w:pPr>
        <w:pStyle w:val="SubHeading"/>
      </w:pPr>
      <w:bookmarkStart w:id="257" w:name="_Toc443992546"/>
      <w:bookmarkStart w:id="258" w:name="_Toc444001419"/>
      <w:bookmarkStart w:id="259" w:name="_Toc444260015"/>
      <w:bookmarkStart w:id="260" w:name="_Toc445116322"/>
      <w:bookmarkStart w:id="261" w:name="_Toc447095778"/>
      <w:bookmarkStart w:id="262" w:name="_Toc447095825"/>
      <w:bookmarkStart w:id="263" w:name="_Toc447095868"/>
      <w:bookmarkStart w:id="264" w:name="_Toc447096064"/>
      <w:bookmarkStart w:id="265" w:name="_Toc447796058"/>
      <w:bookmarkStart w:id="266" w:name="_Toc455416735"/>
      <w:bookmarkStart w:id="267" w:name="_Toc464726626"/>
      <w:bookmarkEnd w:id="257"/>
      <w:bookmarkEnd w:id="258"/>
      <w:bookmarkEnd w:id="259"/>
      <w:bookmarkEnd w:id="260"/>
      <w:bookmarkEnd w:id="261"/>
      <w:bookmarkEnd w:id="262"/>
      <w:bookmarkEnd w:id="263"/>
      <w:bookmarkEnd w:id="264"/>
      <w:bookmarkEnd w:id="265"/>
      <w:r>
        <w:t>Financial Assets</w:t>
      </w:r>
      <w:bookmarkEnd w:id="266"/>
      <w:bookmarkEnd w:id="267"/>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bookmarkStart w:id="268" w:name="Note_CSHTABLE1" w:colFirst="0" w:colLast="0"/>
            <w:r>
              <w:rPr>
                <w:rFonts w:cs="Calibri"/>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2016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2015</w:t>
            </w:r>
          </w:p>
        </w:tc>
      </w:tr>
      <w:bookmarkEnd w:id="268"/>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r>
              <w:rPr>
                <w:rFonts w:cs="Calibri"/>
                <w:b/>
                <w:bCs/>
                <w:szCs w:val="18"/>
                <w:u w:val="single"/>
              </w:rPr>
              <w:t>3.1A: Cash and cash equivalents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$'000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Cash on hand or on deposit</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2,596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7,531</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Special Account</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3,536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2,286</w:t>
            </w:r>
          </w:p>
        </w:tc>
      </w:tr>
      <w:tr w:rsidR="003E6989" w:rsidTr="006A5410">
        <w:trPr>
          <w:trHeight w:val="270"/>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cash and cash equivalents</w:t>
            </w:r>
          </w:p>
        </w:tc>
        <w:tc>
          <w:tcPr>
            <w:tcW w:w="1238"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6,132</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9,817</w:t>
            </w:r>
          </w:p>
        </w:tc>
      </w:tr>
    </w:tbl>
    <w:p w:rsidR="003E6989" w:rsidRDefault="003E6989" w:rsidP="003E6989"/>
    <w:p w:rsidR="003E6989" w:rsidRDefault="003E6989" w:rsidP="003E6989"/>
    <w:p w:rsidR="003E6989" w:rsidRDefault="003E6989" w:rsidP="003E6989">
      <w:pPr>
        <w:pStyle w:val="PolicyTextboxbold"/>
      </w:pPr>
      <w:r w:rsidRPr="004F6738">
        <w:t>Accounting Policy</w:t>
      </w:r>
    </w:p>
    <w:p w:rsidR="003E6989" w:rsidRPr="004F6738" w:rsidRDefault="003E6989" w:rsidP="003E6989">
      <w:pPr>
        <w:pStyle w:val="PolicyTextdeptunderline"/>
      </w:pPr>
      <w:r>
        <w:t>Cash</w:t>
      </w:r>
    </w:p>
    <w:p w:rsidR="003E6989" w:rsidRPr="00F03BBC" w:rsidRDefault="003E6989" w:rsidP="003E6989">
      <w:pPr>
        <w:pStyle w:val="PolicytextDept"/>
      </w:pPr>
      <w:r w:rsidRPr="00F03BBC">
        <w:t>Cash is recognised at its nominal amount.  Cash and cash equivalents include:</w:t>
      </w:r>
    </w:p>
    <w:p w:rsidR="003E6989" w:rsidRPr="00F03BBC" w:rsidRDefault="003E6989" w:rsidP="003E6989">
      <w:pPr>
        <w:pStyle w:val="Policytextdeptbulletpoint"/>
        <w:spacing w:after="0" w:line="240" w:lineRule="auto"/>
      </w:pPr>
      <w:r w:rsidRPr="00F03BBC">
        <w:t>cash on hand</w:t>
      </w:r>
    </w:p>
    <w:p w:rsidR="003E6989" w:rsidRPr="00F03BBC" w:rsidRDefault="003E6989" w:rsidP="003E6989">
      <w:pPr>
        <w:pStyle w:val="Policytextdeptbulletpoint"/>
        <w:spacing w:after="0" w:line="240" w:lineRule="auto"/>
      </w:pPr>
      <w:r w:rsidRPr="00F03BBC">
        <w:t>cash held by outsiders</w:t>
      </w:r>
    </w:p>
    <w:p w:rsidR="003E6989" w:rsidRDefault="003E6989" w:rsidP="003E6989">
      <w:pPr>
        <w:pStyle w:val="Policytextdeptbulletpoint"/>
        <w:spacing w:after="0" w:line="240" w:lineRule="auto"/>
      </w:pPr>
      <w:r w:rsidRPr="00F03BBC">
        <w:t>cash in special accounts</w:t>
      </w:r>
    </w:p>
    <w:p w:rsidR="003E6989" w:rsidRDefault="003E6989" w:rsidP="003E6989">
      <w:pPr>
        <w:rPr>
          <w:sz w:val="12"/>
          <w:szCs w:val="12"/>
        </w:rPr>
      </w:pPr>
    </w:p>
    <w:p w:rsidR="003E6989" w:rsidRPr="002F28A4" w:rsidRDefault="003E6989" w:rsidP="003E6989">
      <w:pPr>
        <w:rPr>
          <w:sz w:val="12"/>
          <w:szCs w:val="12"/>
        </w:rPr>
      </w:pPr>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bookmarkStart w:id="269" w:name="RANGE!D7:D48"/>
            <w:bookmarkStart w:id="270" w:name="Note_RECTABLE1" w:colFirst="0" w:colLast="0"/>
            <w:r>
              <w:rPr>
                <w:rFonts w:cs="Calibri"/>
                <w:b/>
                <w:bCs/>
                <w:szCs w:val="18"/>
                <w:u w:val="single"/>
              </w:rPr>
              <w:t>3.1B: Trade and other receivables</w:t>
            </w:r>
            <w:bookmarkEnd w:id="269"/>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bookmarkEnd w:id="270"/>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Good and Services receivables in connection with</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Goods and services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7,697</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4,111</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Total goods and services receivables</w:t>
            </w:r>
          </w:p>
        </w:tc>
        <w:tc>
          <w:tcPr>
            <w:tcW w:w="123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7,697</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4,111</w:t>
            </w:r>
          </w:p>
        </w:tc>
      </w:tr>
      <w:tr w:rsidR="003E6989" w:rsidTr="006A5410">
        <w:trPr>
          <w:trHeight w:val="132"/>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Appropriations receivable</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Existing programmes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73,999</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45,176</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Total appropriations receivable</w:t>
            </w:r>
          </w:p>
        </w:tc>
        <w:tc>
          <w:tcPr>
            <w:tcW w:w="123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73,999</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45,176</w:t>
            </w:r>
          </w:p>
        </w:tc>
      </w:tr>
      <w:tr w:rsidR="003E6989" w:rsidTr="006A5410">
        <w:trPr>
          <w:trHeight w:val="132"/>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Other receivables</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GST receivable from the Australian Taxation Office</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3,647</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2,542</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Total other receivables</w:t>
            </w:r>
          </w:p>
        </w:tc>
        <w:tc>
          <w:tcPr>
            <w:tcW w:w="123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3,647</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2,542</w:t>
            </w:r>
          </w:p>
        </w:tc>
      </w:tr>
      <w:tr w:rsidR="003E6989" w:rsidTr="006A5410">
        <w:trPr>
          <w:trHeight w:val="270"/>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trade and other receivables (gross)</w:t>
            </w:r>
          </w:p>
        </w:tc>
        <w:tc>
          <w:tcPr>
            <w:tcW w:w="1238" w:type="dxa"/>
            <w:tcBorders>
              <w:top w:val="nil"/>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85,343</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51,829</w:t>
            </w:r>
          </w:p>
        </w:tc>
      </w:tr>
      <w:tr w:rsidR="003E6989" w:rsidTr="006A5410">
        <w:trPr>
          <w:trHeight w:val="270"/>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Less impairment allowance</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Goods and services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(98)</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Total impairment allowance</w:t>
            </w:r>
          </w:p>
        </w:tc>
        <w:tc>
          <w:tcPr>
            <w:tcW w:w="123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(98)</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trade and other receivables (net)</w:t>
            </w:r>
          </w:p>
        </w:tc>
        <w:tc>
          <w:tcPr>
            <w:tcW w:w="1238" w:type="dxa"/>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85,245</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51,829</w:t>
            </w:r>
          </w:p>
        </w:tc>
      </w:tr>
      <w:tr w:rsidR="003E6989" w:rsidTr="006A5410">
        <w:trPr>
          <w:trHeight w:val="158"/>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Trade and other receivables (net) expected to be recovered</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No more than 12 months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85,245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51,829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More than 12 months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70"/>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trade and other receivables (net)</w:t>
            </w:r>
          </w:p>
        </w:tc>
        <w:tc>
          <w:tcPr>
            <w:tcW w:w="1238"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85,245</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51,829</w:t>
            </w:r>
          </w:p>
        </w:tc>
      </w:tr>
      <w:tr w:rsidR="003E6989" w:rsidTr="006A5410">
        <w:trPr>
          <w:trHeight w:val="158"/>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Trade and other receivables (gross) aged as follows</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Not overdue</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82,900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50,467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Overdue by</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200" w:firstLine="360"/>
              <w:rPr>
                <w:rFonts w:cs="Calibri"/>
                <w:szCs w:val="18"/>
              </w:rPr>
            </w:pPr>
            <w:r>
              <w:rPr>
                <w:rFonts w:cs="Calibri"/>
                <w:szCs w:val="18"/>
              </w:rPr>
              <w:t>0 to 30 days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518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598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200" w:firstLine="360"/>
              <w:rPr>
                <w:rFonts w:cs="Calibri"/>
                <w:szCs w:val="18"/>
              </w:rPr>
            </w:pPr>
            <w:r>
              <w:rPr>
                <w:rFonts w:cs="Calibri"/>
                <w:szCs w:val="18"/>
              </w:rPr>
              <w:t>31 to 60 days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1,192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193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200" w:firstLine="360"/>
              <w:rPr>
                <w:rFonts w:cs="Calibri"/>
                <w:szCs w:val="18"/>
              </w:rPr>
            </w:pPr>
            <w:r>
              <w:rPr>
                <w:rFonts w:cs="Calibri"/>
                <w:szCs w:val="18"/>
              </w:rPr>
              <w:t>61 to 90 days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278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89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200" w:firstLine="360"/>
              <w:rPr>
                <w:rFonts w:cs="Calibri"/>
                <w:szCs w:val="18"/>
              </w:rPr>
            </w:pPr>
            <w:r>
              <w:rPr>
                <w:rFonts w:cs="Calibri"/>
                <w:szCs w:val="18"/>
              </w:rPr>
              <w:t>More than 90 days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455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482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trade and other receivables (gross)</w:t>
            </w:r>
          </w:p>
        </w:tc>
        <w:tc>
          <w:tcPr>
            <w:tcW w:w="123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85,343</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51,829</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2016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2015</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$'000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lastRenderedPageBreak/>
              <w:t>The impairment allowance aged as follows</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200" w:firstLine="360"/>
              <w:rPr>
                <w:rFonts w:cs="Calibri"/>
                <w:szCs w:val="18"/>
              </w:rPr>
            </w:pPr>
            <w:r>
              <w:rPr>
                <w:rFonts w:cs="Calibri"/>
                <w:szCs w:val="18"/>
              </w:rPr>
              <w:t>More than 90 days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(98)</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 xml:space="preserve">Total impairment allowance </w:t>
            </w:r>
          </w:p>
        </w:tc>
        <w:tc>
          <w:tcPr>
            <w:tcW w:w="123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(98)</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w:t>
            </w:r>
          </w:p>
        </w:tc>
      </w:tr>
    </w:tbl>
    <w:p w:rsidR="003E6989" w:rsidRDefault="003E6989" w:rsidP="003E6989">
      <w:pPr>
        <w:spacing w:after="120"/>
      </w:pPr>
      <w:bookmarkStart w:id="271" w:name="RANGE!D7:G48"/>
      <w:bookmarkStart w:id="272" w:name="RANGE!D7:G47"/>
      <w:bookmarkStart w:id="273" w:name="RANGE!D7:G49"/>
      <w:bookmarkEnd w:id="271"/>
      <w:bookmarkEnd w:id="272"/>
      <w:bookmarkEnd w:id="273"/>
      <w:r>
        <w:t xml:space="preserve">Credit terms for goods and services receivable are net 30 days (2015: 30 days). </w:t>
      </w:r>
    </w:p>
    <w:tbl>
      <w:tblPr>
        <w:tblW w:w="9087" w:type="dxa"/>
        <w:tblInd w:w="80" w:type="dxa"/>
        <w:tblLayout w:type="fixed"/>
        <w:tblLook w:val="04A0" w:firstRow="1" w:lastRow="0" w:firstColumn="1" w:lastColumn="0" w:noHBand="0" w:noVBand="1"/>
      </w:tblPr>
      <w:tblGrid>
        <w:gridCol w:w="5737"/>
        <w:gridCol w:w="1854"/>
        <w:gridCol w:w="1496"/>
      </w:tblGrid>
      <w:tr w:rsidR="003E6989" w:rsidTr="006A5410">
        <w:trPr>
          <w:trHeight w:val="240"/>
        </w:trPr>
        <w:tc>
          <w:tcPr>
            <w:tcW w:w="4816" w:type="dxa"/>
            <w:tcBorders>
              <w:top w:val="nil"/>
              <w:left w:val="nil"/>
              <w:bottom w:val="nil"/>
              <w:right w:val="nil"/>
            </w:tcBorders>
            <w:shd w:val="clear" w:color="FFFFFF" w:fill="FFFFFF"/>
            <w:noWrap/>
            <w:vAlign w:val="bottom"/>
            <w:hideMark/>
          </w:tcPr>
          <w:p w:rsidR="003E6989" w:rsidRDefault="003E6989" w:rsidP="006A5410">
            <w:pPr>
              <w:rPr>
                <w:rFonts w:cs="Calibri"/>
                <w:b/>
                <w:bCs/>
                <w:szCs w:val="18"/>
              </w:rPr>
            </w:pPr>
            <w:bookmarkStart w:id="274" w:name="RANGE!D7:F9"/>
            <w:bookmarkStart w:id="275" w:name="Note_RIATABLE1" w:colFirst="0" w:colLast="0"/>
            <w:r>
              <w:rPr>
                <w:rFonts w:cs="Calibri"/>
                <w:b/>
                <w:bCs/>
                <w:szCs w:val="18"/>
              </w:rPr>
              <w:t>Reconciliation of the Impairment Allowance</w:t>
            </w:r>
            <w:bookmarkEnd w:id="274"/>
          </w:p>
        </w:tc>
        <w:tc>
          <w:tcPr>
            <w:tcW w:w="155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bookmarkEnd w:id="275"/>
      <w:tr w:rsidR="003E6989" w:rsidTr="006A5410">
        <w:trPr>
          <w:trHeight w:val="240"/>
        </w:trPr>
        <w:tc>
          <w:tcPr>
            <w:tcW w:w="481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55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40"/>
        </w:trPr>
        <w:tc>
          <w:tcPr>
            <w:tcW w:w="4816" w:type="dxa"/>
            <w:tcBorders>
              <w:top w:val="nil"/>
              <w:left w:val="nil"/>
              <w:bottom w:val="nil"/>
              <w:right w:val="nil"/>
            </w:tcBorders>
            <w:shd w:val="clear" w:color="FFFFFF" w:fill="FFFFFF"/>
            <w:noWrap/>
            <w:vAlign w:val="bottom"/>
            <w:hideMark/>
          </w:tcPr>
          <w:p w:rsidR="003E6989" w:rsidRDefault="003E6989" w:rsidP="006A5410">
            <w:pPr>
              <w:rPr>
                <w:rFonts w:cs="Calibri"/>
                <w:b/>
                <w:bCs/>
                <w:szCs w:val="18"/>
              </w:rPr>
            </w:pPr>
            <w:r>
              <w:rPr>
                <w:rFonts w:cs="Calibri"/>
                <w:b/>
                <w:bCs/>
                <w:szCs w:val="18"/>
              </w:rPr>
              <w:t>Movements in relation to 2016</w:t>
            </w:r>
          </w:p>
        </w:tc>
        <w:tc>
          <w:tcPr>
            <w:tcW w:w="155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4816" w:type="dxa"/>
            <w:tcBorders>
              <w:top w:val="single" w:sz="4" w:space="0" w:color="auto"/>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556" w:type="dxa"/>
            <w:tcBorders>
              <w:top w:val="single" w:sz="4" w:space="0" w:color="auto"/>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Goods and services</w:t>
            </w:r>
          </w:p>
        </w:tc>
        <w:tc>
          <w:tcPr>
            <w:tcW w:w="1256" w:type="dxa"/>
            <w:tcBorders>
              <w:top w:val="single" w:sz="4" w:space="0" w:color="auto"/>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Total</w:t>
            </w:r>
          </w:p>
        </w:tc>
      </w:tr>
      <w:tr w:rsidR="003E6989" w:rsidTr="006A5410">
        <w:trPr>
          <w:trHeight w:val="255"/>
        </w:trPr>
        <w:tc>
          <w:tcPr>
            <w:tcW w:w="4816" w:type="dxa"/>
            <w:tcBorders>
              <w:top w:val="nil"/>
              <w:left w:val="nil"/>
              <w:bottom w:val="single" w:sz="4" w:space="0" w:color="auto"/>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556" w:type="dxa"/>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1256" w:type="dxa"/>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r>
      <w:tr w:rsidR="003E6989" w:rsidTr="006A5410">
        <w:trPr>
          <w:trHeight w:val="240"/>
        </w:trPr>
        <w:tc>
          <w:tcPr>
            <w:tcW w:w="4816"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Opening balance as at 1 July 2015</w:t>
            </w:r>
          </w:p>
        </w:tc>
        <w:tc>
          <w:tcPr>
            <w:tcW w:w="1556"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1256"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r>
      <w:tr w:rsidR="003E6989" w:rsidTr="006A5410">
        <w:trPr>
          <w:trHeight w:val="240"/>
        </w:trPr>
        <w:tc>
          <w:tcPr>
            <w:tcW w:w="4816"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Increase/(decrease) recognised in net surplus</w:t>
            </w:r>
          </w:p>
        </w:tc>
        <w:tc>
          <w:tcPr>
            <w:tcW w:w="1556"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(98)</w:t>
            </w:r>
          </w:p>
        </w:tc>
        <w:tc>
          <w:tcPr>
            <w:tcW w:w="1256"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(98)</w:t>
            </w:r>
          </w:p>
        </w:tc>
      </w:tr>
      <w:tr w:rsidR="003E6989" w:rsidTr="006A5410">
        <w:trPr>
          <w:trHeight w:val="240"/>
        </w:trPr>
        <w:tc>
          <w:tcPr>
            <w:tcW w:w="4816" w:type="dxa"/>
            <w:tcBorders>
              <w:top w:val="single" w:sz="4" w:space="0" w:color="auto"/>
              <w:left w:val="nil"/>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Closing balance as at 30 June 2016</w:t>
            </w:r>
          </w:p>
        </w:tc>
        <w:tc>
          <w:tcPr>
            <w:tcW w:w="155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(98)</w:t>
            </w:r>
          </w:p>
        </w:tc>
        <w:tc>
          <w:tcPr>
            <w:tcW w:w="125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(98)</w:t>
            </w:r>
          </w:p>
        </w:tc>
      </w:tr>
      <w:tr w:rsidR="003E6989" w:rsidTr="006A5410">
        <w:trPr>
          <w:trHeight w:val="240"/>
        </w:trPr>
        <w:tc>
          <w:tcPr>
            <w:tcW w:w="481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55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40"/>
        </w:trPr>
        <w:tc>
          <w:tcPr>
            <w:tcW w:w="4816"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Movements in relation to 2015</w:t>
            </w:r>
          </w:p>
        </w:tc>
        <w:tc>
          <w:tcPr>
            <w:tcW w:w="155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480"/>
        </w:trPr>
        <w:tc>
          <w:tcPr>
            <w:tcW w:w="4816" w:type="dxa"/>
            <w:tcBorders>
              <w:top w:val="single" w:sz="4" w:space="0" w:color="auto"/>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556" w:type="dxa"/>
            <w:tcBorders>
              <w:top w:val="single" w:sz="4" w:space="0" w:color="auto"/>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Goods and services</w:t>
            </w:r>
          </w:p>
        </w:tc>
        <w:tc>
          <w:tcPr>
            <w:tcW w:w="1256" w:type="dxa"/>
            <w:tcBorders>
              <w:top w:val="single" w:sz="4" w:space="0" w:color="auto"/>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Total</w:t>
            </w:r>
          </w:p>
        </w:tc>
      </w:tr>
      <w:tr w:rsidR="003E6989" w:rsidTr="006A5410">
        <w:trPr>
          <w:trHeight w:val="240"/>
        </w:trPr>
        <w:tc>
          <w:tcPr>
            <w:tcW w:w="4816" w:type="dxa"/>
            <w:tcBorders>
              <w:top w:val="nil"/>
              <w:left w:val="nil"/>
              <w:bottom w:val="single" w:sz="4" w:space="0" w:color="auto"/>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556" w:type="dxa"/>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szCs w:val="18"/>
              </w:rPr>
            </w:pPr>
            <w:r>
              <w:rPr>
                <w:rFonts w:cs="Calibri"/>
                <w:szCs w:val="18"/>
              </w:rPr>
              <w:t>$'000</w:t>
            </w:r>
          </w:p>
        </w:tc>
        <w:tc>
          <w:tcPr>
            <w:tcW w:w="1256" w:type="dxa"/>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40"/>
        </w:trPr>
        <w:tc>
          <w:tcPr>
            <w:tcW w:w="4816"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Opening balance as at 1 July 2014</w:t>
            </w:r>
          </w:p>
        </w:tc>
        <w:tc>
          <w:tcPr>
            <w:tcW w:w="155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(64)</w:t>
            </w:r>
          </w:p>
        </w:tc>
        <w:tc>
          <w:tcPr>
            <w:tcW w:w="125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(64)</w:t>
            </w:r>
          </w:p>
        </w:tc>
      </w:tr>
      <w:tr w:rsidR="003E6989" w:rsidTr="006A5410">
        <w:trPr>
          <w:trHeight w:val="240"/>
        </w:trPr>
        <w:tc>
          <w:tcPr>
            <w:tcW w:w="4816"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Amounts recovered and reversed</w:t>
            </w:r>
          </w:p>
        </w:tc>
        <w:tc>
          <w:tcPr>
            <w:tcW w:w="155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64 </w:t>
            </w:r>
          </w:p>
        </w:tc>
        <w:tc>
          <w:tcPr>
            <w:tcW w:w="125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64</w:t>
            </w:r>
          </w:p>
        </w:tc>
      </w:tr>
      <w:tr w:rsidR="003E6989" w:rsidTr="006A5410">
        <w:trPr>
          <w:trHeight w:val="240"/>
        </w:trPr>
        <w:tc>
          <w:tcPr>
            <w:tcW w:w="4816" w:type="dxa"/>
            <w:tcBorders>
              <w:top w:val="single" w:sz="4" w:space="0" w:color="auto"/>
              <w:left w:val="nil"/>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Closing balance as at 30 June 2015</w:t>
            </w:r>
          </w:p>
        </w:tc>
        <w:tc>
          <w:tcPr>
            <w:tcW w:w="155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w:t>
            </w:r>
          </w:p>
        </w:tc>
        <w:tc>
          <w:tcPr>
            <w:tcW w:w="125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w:t>
            </w:r>
          </w:p>
        </w:tc>
      </w:tr>
    </w:tbl>
    <w:p w:rsidR="003E6989" w:rsidRDefault="003E6989" w:rsidP="003E6989">
      <w:bookmarkStart w:id="276" w:name="RANGE!D7:D27"/>
      <w:bookmarkStart w:id="277" w:name="RANGE!D7:F27"/>
      <w:bookmarkStart w:id="278" w:name="RANGE!D7:D25"/>
      <w:bookmarkStart w:id="279" w:name="RANGE!D7:F25"/>
      <w:bookmarkStart w:id="280" w:name="RANGE!D8:D26"/>
      <w:bookmarkStart w:id="281" w:name="RANGE!D8:F26"/>
      <w:bookmarkEnd w:id="276"/>
      <w:bookmarkEnd w:id="277"/>
      <w:bookmarkEnd w:id="278"/>
      <w:bookmarkEnd w:id="279"/>
      <w:bookmarkEnd w:id="280"/>
      <w:bookmarkEnd w:id="281"/>
    </w:p>
    <w:p w:rsidR="003E6989" w:rsidRDefault="003E6989" w:rsidP="003E6989">
      <w:pPr>
        <w:pStyle w:val="PolicyTextboxbold"/>
        <w:spacing w:before="100" w:after="100" w:line="240" w:lineRule="auto"/>
      </w:pPr>
      <w:r>
        <w:t>Accounting Policy</w:t>
      </w:r>
    </w:p>
    <w:p w:rsidR="003E6989" w:rsidRPr="0059156C" w:rsidRDefault="003E6989" w:rsidP="003E6989">
      <w:pPr>
        <w:pStyle w:val="PolicyTextdeptunderline"/>
        <w:spacing w:before="100" w:after="100" w:line="240" w:lineRule="auto"/>
      </w:pPr>
      <w:r>
        <w:t>Financial assets</w:t>
      </w:r>
    </w:p>
    <w:p w:rsidR="003E6989" w:rsidRPr="00E858EA" w:rsidRDefault="003E6989" w:rsidP="003E6989">
      <w:pPr>
        <w:pStyle w:val="PolicytextDept"/>
        <w:spacing w:before="100" w:after="100" w:line="240" w:lineRule="auto"/>
      </w:pPr>
      <w:r w:rsidRPr="00E858EA">
        <w:t>The department classifies its financial assets in the following categories:</w:t>
      </w:r>
    </w:p>
    <w:p w:rsidR="003E6989" w:rsidRPr="00E858EA" w:rsidRDefault="003E6989" w:rsidP="003E6989">
      <w:pPr>
        <w:pStyle w:val="Policytextdeptbulletpoint"/>
        <w:spacing w:before="100" w:after="100" w:line="240" w:lineRule="auto"/>
      </w:pPr>
      <w:r>
        <w:t>L</w:t>
      </w:r>
      <w:r w:rsidRPr="00E858EA">
        <w:t>oans and receivables</w:t>
      </w:r>
    </w:p>
    <w:p w:rsidR="003E6989" w:rsidRPr="00E858EA" w:rsidRDefault="003E6989" w:rsidP="003E6989">
      <w:pPr>
        <w:pStyle w:val="Policytextdeptbulletpoint"/>
        <w:spacing w:before="100" w:after="100" w:line="240" w:lineRule="auto"/>
      </w:pPr>
      <w:r w:rsidRPr="00E858EA">
        <w:t>Accrued revenue.</w:t>
      </w:r>
    </w:p>
    <w:p w:rsidR="003E6989" w:rsidRPr="00E858EA" w:rsidRDefault="003E6989" w:rsidP="003E6989">
      <w:pPr>
        <w:pStyle w:val="PolicytextDept"/>
        <w:spacing w:before="100" w:after="100" w:line="240" w:lineRule="auto"/>
      </w:pPr>
      <w:r w:rsidRPr="00E858EA">
        <w:t>Trade receivables are classified as ‘loans and receivables’ and recorded at face value less any impairment.  Trade receivables are recognised where the department becomes party to a contract and has a legal right to receive cash.  Trade receivables are derecognised on payment.</w:t>
      </w:r>
    </w:p>
    <w:p w:rsidR="003E6989" w:rsidRPr="00F22F6D" w:rsidRDefault="003E6989" w:rsidP="003E6989">
      <w:pPr>
        <w:pStyle w:val="PolicyTextdeptunderline"/>
        <w:spacing w:before="100" w:after="100" w:line="240" w:lineRule="auto"/>
      </w:pPr>
      <w:r w:rsidRPr="00F22F6D">
        <w:t>Impairment of financial assets</w:t>
      </w:r>
    </w:p>
    <w:p w:rsidR="003E6989" w:rsidRPr="00E858EA" w:rsidRDefault="003E6989" w:rsidP="003E6989">
      <w:pPr>
        <w:pStyle w:val="PolicytextDept"/>
        <w:spacing w:before="100" w:after="100" w:line="240" w:lineRule="auto"/>
      </w:pPr>
      <w:r w:rsidRPr="00E858EA">
        <w:t xml:space="preserve">Financial assets are assessed for impairment at the end of the reporting period. </w:t>
      </w:r>
    </w:p>
    <w:p w:rsidR="003E6989" w:rsidRDefault="003E6989" w:rsidP="003E6989"/>
    <w:tbl>
      <w:tblPr>
        <w:tblW w:w="9087" w:type="dxa"/>
        <w:tblInd w:w="80" w:type="dxa"/>
        <w:tblLayout w:type="fixed"/>
        <w:tblLook w:val="04A0" w:firstRow="1" w:lastRow="0" w:firstColumn="1" w:lastColumn="0" w:noHBand="0" w:noVBand="1"/>
      </w:tblPr>
      <w:tblGrid>
        <w:gridCol w:w="6391"/>
        <w:gridCol w:w="1232"/>
        <w:gridCol w:w="239"/>
        <w:gridCol w:w="1225"/>
      </w:tblGrid>
      <w:tr w:rsidR="003E6989" w:rsidTr="006A5410">
        <w:trPr>
          <w:trHeight w:val="255"/>
        </w:trPr>
        <w:tc>
          <w:tcPr>
            <w:tcW w:w="6319" w:type="dxa"/>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bookmarkStart w:id="282" w:name="Note_OFATABLE1" w:colFirst="0" w:colLast="0"/>
            <w:r>
              <w:rPr>
                <w:rFonts w:cs="Calibri"/>
                <w:b/>
                <w:bCs/>
                <w:szCs w:val="18"/>
                <w:u w:val="single"/>
              </w:rPr>
              <w:t>3.1C: Other financial assets</w:t>
            </w:r>
          </w:p>
        </w:tc>
        <w:tc>
          <w:tcPr>
            <w:tcW w:w="121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11"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bookmarkEnd w:id="282"/>
      <w:tr w:rsidR="003E6989" w:rsidTr="006A5410">
        <w:trPr>
          <w:trHeight w:val="255"/>
        </w:trPr>
        <w:tc>
          <w:tcPr>
            <w:tcW w:w="6319" w:type="dxa"/>
            <w:tcBorders>
              <w:top w:val="nil"/>
              <w:left w:val="nil"/>
              <w:bottom w:val="nil"/>
              <w:right w:val="nil"/>
            </w:tcBorders>
            <w:shd w:val="clear" w:color="FFFFFF" w:fill="FFFFFF"/>
            <w:noWrap/>
            <w:vAlign w:val="bottom"/>
            <w:hideMark/>
          </w:tcPr>
          <w:p w:rsidR="003E6989" w:rsidRDefault="003E6989" w:rsidP="006A5410">
            <w:pPr>
              <w:rPr>
                <w:rFonts w:cs="Calibri"/>
                <w:b/>
                <w:bCs/>
                <w:szCs w:val="18"/>
              </w:rPr>
            </w:pPr>
            <w:r>
              <w:rPr>
                <w:rFonts w:cs="Calibri"/>
                <w:b/>
                <w:bCs/>
                <w:szCs w:val="18"/>
              </w:rPr>
              <w:t> </w:t>
            </w:r>
          </w:p>
        </w:tc>
        <w:tc>
          <w:tcPr>
            <w:tcW w:w="121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11"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319"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Accrued revenue</w:t>
            </w:r>
          </w:p>
        </w:tc>
        <w:tc>
          <w:tcPr>
            <w:tcW w:w="121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1,996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3,276</w:t>
            </w:r>
          </w:p>
        </w:tc>
      </w:tr>
      <w:tr w:rsidR="003E6989" w:rsidTr="006A5410">
        <w:trPr>
          <w:trHeight w:val="255"/>
        </w:trPr>
        <w:tc>
          <w:tcPr>
            <w:tcW w:w="6319"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other financial assets</w:t>
            </w:r>
          </w:p>
        </w:tc>
        <w:tc>
          <w:tcPr>
            <w:tcW w:w="121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1,996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1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3,276</w:t>
            </w:r>
          </w:p>
        </w:tc>
      </w:tr>
      <w:tr w:rsidR="003E6989" w:rsidTr="006A5410">
        <w:trPr>
          <w:trHeight w:val="255"/>
        </w:trPr>
        <w:tc>
          <w:tcPr>
            <w:tcW w:w="6319"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1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11"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319"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Other financial assets expected to be recovered</w:t>
            </w:r>
          </w:p>
        </w:tc>
        <w:tc>
          <w:tcPr>
            <w:tcW w:w="121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11"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319"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No more than 12 months</w:t>
            </w:r>
          </w:p>
        </w:tc>
        <w:tc>
          <w:tcPr>
            <w:tcW w:w="121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1,996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1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3,276 </w:t>
            </w:r>
          </w:p>
        </w:tc>
      </w:tr>
      <w:tr w:rsidR="003E6989" w:rsidTr="006A5410">
        <w:trPr>
          <w:trHeight w:val="270"/>
        </w:trPr>
        <w:tc>
          <w:tcPr>
            <w:tcW w:w="6319"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other financial assets</w:t>
            </w:r>
          </w:p>
        </w:tc>
        <w:tc>
          <w:tcPr>
            <w:tcW w:w="1218"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1,996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11"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3,276</w:t>
            </w:r>
          </w:p>
        </w:tc>
      </w:tr>
    </w:tbl>
    <w:p w:rsidR="003E6989" w:rsidRDefault="003E6989" w:rsidP="003E6989">
      <w:pPr>
        <w:spacing w:line="240" w:lineRule="auto"/>
        <w:sectPr w:rsidR="003E6989" w:rsidSect="006A5410">
          <w:pgSz w:w="11906" w:h="16838"/>
          <w:pgMar w:top="1134" w:right="1134" w:bottom="1134" w:left="1134" w:header="958" w:footer="737" w:gutter="0"/>
          <w:cols w:space="720"/>
        </w:sectPr>
      </w:pPr>
      <w:bookmarkStart w:id="283" w:name="RANGE!D7:G51"/>
      <w:bookmarkStart w:id="284" w:name="RANGE!D43:G74"/>
      <w:bookmarkStart w:id="285" w:name="RANGE!D44:G75"/>
      <w:bookmarkStart w:id="286" w:name="RANGE!D44:G74"/>
      <w:bookmarkStart w:id="287" w:name="RANGE!D44:G73"/>
      <w:bookmarkStart w:id="288" w:name="RANGE!D44:G72"/>
      <w:bookmarkStart w:id="289" w:name="RANGE!D53:H70"/>
      <w:bookmarkStart w:id="290" w:name="RANGE!D52:H69"/>
      <w:bookmarkStart w:id="291" w:name="RANGE!D59:H76"/>
      <w:bookmarkStart w:id="292" w:name="RANGE!D62:H80"/>
      <w:bookmarkStart w:id="293" w:name="RANGE!D7:G15"/>
      <w:bookmarkStart w:id="294" w:name="RANGE!D6:D63"/>
      <w:bookmarkStart w:id="295" w:name="RANGE!D6:H63"/>
      <w:bookmarkStart w:id="296" w:name="RANGE!D6:D28"/>
      <w:bookmarkStart w:id="297" w:name="RANGE!D6:H28"/>
      <w:bookmarkStart w:id="298" w:name="RANGE!D6:H13"/>
      <w:bookmarkStart w:id="299" w:name="RANGE!D6:H14"/>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3E6989" w:rsidRDefault="003E6989" w:rsidP="003E6989">
      <w:pPr>
        <w:pStyle w:val="SubHeading"/>
      </w:pPr>
      <w:r>
        <w:lastRenderedPageBreak/>
        <w:t xml:space="preserve"> </w:t>
      </w:r>
      <w:bookmarkStart w:id="300" w:name="_Toc455416736"/>
      <w:bookmarkStart w:id="301" w:name="_Toc464726627"/>
      <w:r>
        <w:t>Non-Financial Assets</w:t>
      </w:r>
      <w:bookmarkEnd w:id="300"/>
      <w:bookmarkEnd w:id="301"/>
    </w:p>
    <w:tbl>
      <w:tblPr>
        <w:tblW w:w="13991" w:type="dxa"/>
        <w:tblInd w:w="80" w:type="dxa"/>
        <w:tblLayout w:type="fixed"/>
        <w:tblCellMar>
          <w:left w:w="6" w:type="dxa"/>
          <w:right w:w="6" w:type="dxa"/>
        </w:tblCellMar>
        <w:tblLook w:val="04A0" w:firstRow="1" w:lastRow="0" w:firstColumn="1" w:lastColumn="0" w:noHBand="0" w:noVBand="1"/>
      </w:tblPr>
      <w:tblGrid>
        <w:gridCol w:w="5649"/>
        <w:gridCol w:w="1191"/>
        <w:gridCol w:w="1191"/>
        <w:gridCol w:w="1192"/>
        <w:gridCol w:w="1192"/>
        <w:gridCol w:w="1192"/>
        <w:gridCol w:w="1192"/>
        <w:gridCol w:w="1192"/>
      </w:tblGrid>
      <w:tr w:rsidR="003E6989" w:rsidTr="006A5410">
        <w:trPr>
          <w:trHeight w:val="227"/>
        </w:trPr>
        <w:tc>
          <w:tcPr>
            <w:tcW w:w="11603" w:type="dxa"/>
            <w:gridSpan w:val="6"/>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b/>
                <w:bCs/>
                <w:szCs w:val="18"/>
                <w:u w:val="single"/>
              </w:rPr>
            </w:pPr>
            <w:bookmarkStart w:id="302" w:name="RANGE!E7:E56"/>
            <w:bookmarkStart w:id="303" w:name="Note_MTATABLE1" w:colFirst="0" w:colLast="0"/>
            <w:r>
              <w:rPr>
                <w:rFonts w:cs="Calibri"/>
                <w:b/>
                <w:bCs/>
                <w:szCs w:val="18"/>
                <w:u w:val="single"/>
              </w:rPr>
              <w:t>3.2A: Reconciliation of the opening and closing balances of property, plant and equipment (2015-16)</w:t>
            </w:r>
            <w:bookmarkEnd w:id="302"/>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r>
      <w:bookmarkEnd w:id="303"/>
      <w:tr w:rsidR="003E6989" w:rsidTr="006A5410">
        <w:trPr>
          <w:trHeight w:val="227"/>
        </w:trPr>
        <w:tc>
          <w:tcPr>
            <w:tcW w:w="5648"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r>
      <w:tr w:rsidR="003E6989" w:rsidTr="006A5410">
        <w:trPr>
          <w:trHeight w:val="227"/>
        </w:trPr>
        <w:tc>
          <w:tcPr>
            <w:tcW w:w="5648" w:type="dxa"/>
            <w:tcBorders>
              <w:top w:val="single" w:sz="4" w:space="0" w:color="auto"/>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1191" w:type="dxa"/>
            <w:tcBorders>
              <w:top w:val="single" w:sz="4" w:space="0" w:color="auto"/>
              <w:left w:val="nil"/>
              <w:bottom w:val="nil"/>
              <w:right w:val="nil"/>
            </w:tcBorders>
            <w:shd w:val="clear" w:color="FFFFFF" w:fill="FFFFFF"/>
            <w:vAlign w:val="bottom"/>
            <w:hideMark/>
          </w:tcPr>
          <w:p w:rsidR="003E6989" w:rsidRDefault="003E6989" w:rsidP="006A5410">
            <w:pPr>
              <w:spacing w:line="240" w:lineRule="auto"/>
              <w:jc w:val="right"/>
              <w:rPr>
                <w:rFonts w:cs="Calibri"/>
                <w:b/>
                <w:bCs/>
                <w:szCs w:val="18"/>
              </w:rPr>
            </w:pPr>
            <w:bookmarkStart w:id="304" w:name="RANGE!F9:J9"/>
            <w:r>
              <w:rPr>
                <w:rFonts w:cs="Calibri"/>
                <w:b/>
                <w:bCs/>
                <w:szCs w:val="18"/>
              </w:rPr>
              <w:t>Land</w:t>
            </w:r>
            <w:bookmarkEnd w:id="304"/>
          </w:p>
        </w:tc>
        <w:tc>
          <w:tcPr>
            <w:tcW w:w="1191" w:type="dxa"/>
            <w:tcBorders>
              <w:top w:val="single" w:sz="4" w:space="0" w:color="auto"/>
              <w:left w:val="nil"/>
              <w:bottom w:val="nil"/>
              <w:right w:val="nil"/>
            </w:tcBorders>
            <w:shd w:val="clear" w:color="FFFFFF" w:fill="FFFFFF"/>
            <w:vAlign w:val="bottom"/>
            <w:hideMark/>
          </w:tcPr>
          <w:p w:rsidR="003E6989" w:rsidRDefault="003E6989" w:rsidP="006A5410">
            <w:pPr>
              <w:spacing w:line="240" w:lineRule="auto"/>
              <w:jc w:val="right"/>
              <w:rPr>
                <w:rFonts w:cs="Calibri"/>
                <w:b/>
                <w:bCs/>
                <w:szCs w:val="18"/>
              </w:rPr>
            </w:pPr>
            <w:r>
              <w:rPr>
                <w:rFonts w:cs="Calibri"/>
                <w:b/>
                <w:bCs/>
                <w:szCs w:val="18"/>
              </w:rPr>
              <w:t>Buildings</w:t>
            </w:r>
          </w:p>
        </w:tc>
        <w:tc>
          <w:tcPr>
            <w:tcW w:w="1191" w:type="dxa"/>
            <w:tcBorders>
              <w:top w:val="single" w:sz="4" w:space="0" w:color="auto"/>
              <w:left w:val="nil"/>
              <w:bottom w:val="nil"/>
              <w:right w:val="nil"/>
            </w:tcBorders>
            <w:shd w:val="clear" w:color="FFFFFF" w:fill="FFFFFF"/>
            <w:vAlign w:val="bottom"/>
            <w:hideMark/>
          </w:tcPr>
          <w:p w:rsidR="003E6989" w:rsidRDefault="003E6989" w:rsidP="006A5410">
            <w:pPr>
              <w:spacing w:line="240" w:lineRule="auto"/>
              <w:jc w:val="right"/>
              <w:rPr>
                <w:rFonts w:cs="Calibri"/>
                <w:b/>
                <w:bCs/>
                <w:szCs w:val="18"/>
              </w:rPr>
            </w:pPr>
            <w:r>
              <w:rPr>
                <w:rFonts w:cs="Calibri"/>
                <w:b/>
                <w:bCs/>
                <w:szCs w:val="18"/>
              </w:rPr>
              <w:t>Leasehold improvements</w:t>
            </w:r>
          </w:p>
        </w:tc>
        <w:tc>
          <w:tcPr>
            <w:tcW w:w="1191" w:type="dxa"/>
            <w:tcBorders>
              <w:top w:val="single" w:sz="4" w:space="0" w:color="auto"/>
              <w:left w:val="nil"/>
              <w:bottom w:val="nil"/>
              <w:right w:val="nil"/>
            </w:tcBorders>
            <w:shd w:val="clear" w:color="FFFFFF" w:fill="FFFFFF"/>
            <w:vAlign w:val="bottom"/>
            <w:hideMark/>
          </w:tcPr>
          <w:p w:rsidR="003E6989" w:rsidRDefault="003E6989" w:rsidP="006A5410">
            <w:pPr>
              <w:spacing w:line="240" w:lineRule="auto"/>
              <w:jc w:val="right"/>
              <w:rPr>
                <w:rFonts w:cs="Calibri"/>
                <w:b/>
                <w:bCs/>
                <w:szCs w:val="18"/>
              </w:rPr>
            </w:pPr>
            <w:r>
              <w:rPr>
                <w:rFonts w:cs="Calibri"/>
                <w:b/>
                <w:bCs/>
                <w:szCs w:val="18"/>
              </w:rPr>
              <w:t>Infrastructure, plant and equipment</w:t>
            </w:r>
          </w:p>
        </w:tc>
        <w:tc>
          <w:tcPr>
            <w:tcW w:w="1191" w:type="dxa"/>
            <w:tcBorders>
              <w:top w:val="single" w:sz="4" w:space="0" w:color="auto"/>
              <w:left w:val="nil"/>
              <w:bottom w:val="nil"/>
              <w:right w:val="nil"/>
            </w:tcBorders>
            <w:shd w:val="clear" w:color="FFFFFF" w:fill="FFFFFF"/>
            <w:vAlign w:val="bottom"/>
            <w:hideMark/>
          </w:tcPr>
          <w:p w:rsidR="003E6989" w:rsidRDefault="003E6989" w:rsidP="006A5410">
            <w:pPr>
              <w:spacing w:line="240" w:lineRule="auto"/>
              <w:jc w:val="right"/>
              <w:rPr>
                <w:rFonts w:cs="Calibri"/>
                <w:b/>
                <w:bCs/>
                <w:szCs w:val="18"/>
              </w:rPr>
            </w:pPr>
            <w:r>
              <w:rPr>
                <w:rFonts w:cs="Calibri"/>
                <w:b/>
                <w:bCs/>
                <w:szCs w:val="18"/>
              </w:rPr>
              <w:t>Computer software internally developed</w:t>
            </w:r>
          </w:p>
        </w:tc>
        <w:tc>
          <w:tcPr>
            <w:tcW w:w="1191" w:type="dxa"/>
            <w:tcBorders>
              <w:top w:val="single" w:sz="4" w:space="0" w:color="auto"/>
              <w:left w:val="nil"/>
              <w:bottom w:val="nil"/>
              <w:right w:val="nil"/>
            </w:tcBorders>
            <w:shd w:val="clear" w:color="FFFFFF" w:fill="FFFFFF"/>
            <w:vAlign w:val="bottom"/>
            <w:hideMark/>
          </w:tcPr>
          <w:p w:rsidR="003E6989" w:rsidRDefault="003E6989" w:rsidP="006A5410">
            <w:pPr>
              <w:spacing w:line="240" w:lineRule="auto"/>
              <w:jc w:val="right"/>
              <w:rPr>
                <w:rFonts w:cs="Calibri"/>
                <w:b/>
                <w:bCs/>
                <w:szCs w:val="18"/>
              </w:rPr>
            </w:pPr>
            <w:r>
              <w:rPr>
                <w:rFonts w:cs="Calibri"/>
                <w:b/>
                <w:bCs/>
                <w:szCs w:val="18"/>
              </w:rPr>
              <w:t>Computer  software purchased</w:t>
            </w:r>
          </w:p>
        </w:tc>
        <w:tc>
          <w:tcPr>
            <w:tcW w:w="1191" w:type="dxa"/>
            <w:tcBorders>
              <w:top w:val="single" w:sz="4" w:space="0" w:color="auto"/>
              <w:left w:val="nil"/>
              <w:bottom w:val="nil"/>
              <w:right w:val="nil"/>
            </w:tcBorders>
            <w:shd w:val="clear" w:color="FFFFFF" w:fill="FFFFFF"/>
            <w:vAlign w:val="bottom"/>
            <w:hideMark/>
          </w:tcPr>
          <w:p w:rsidR="003E6989" w:rsidRDefault="003E6989" w:rsidP="006A5410">
            <w:pPr>
              <w:spacing w:line="240" w:lineRule="auto"/>
              <w:jc w:val="right"/>
              <w:rPr>
                <w:rFonts w:cs="Calibri"/>
                <w:b/>
                <w:bCs/>
                <w:szCs w:val="18"/>
              </w:rPr>
            </w:pPr>
            <w:r>
              <w:rPr>
                <w:rFonts w:cs="Calibri"/>
                <w:b/>
                <w:bCs/>
                <w:szCs w:val="18"/>
              </w:rPr>
              <w:t>Total</w:t>
            </w:r>
          </w:p>
        </w:tc>
      </w:tr>
      <w:tr w:rsidR="003E6989" w:rsidTr="006A5410">
        <w:trPr>
          <w:trHeight w:val="227"/>
        </w:trPr>
        <w:tc>
          <w:tcPr>
            <w:tcW w:w="5648"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1191"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b/>
                <w:bCs/>
                <w:szCs w:val="18"/>
              </w:rPr>
            </w:pPr>
            <w:r>
              <w:rPr>
                <w:rFonts w:cs="Calibri"/>
                <w:b/>
                <w:bCs/>
                <w:szCs w:val="18"/>
              </w:rPr>
              <w:t>$’000</w:t>
            </w:r>
          </w:p>
        </w:tc>
        <w:tc>
          <w:tcPr>
            <w:tcW w:w="1191"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b/>
                <w:bCs/>
                <w:szCs w:val="18"/>
              </w:rPr>
            </w:pPr>
            <w:r>
              <w:rPr>
                <w:rFonts w:cs="Calibri"/>
                <w:b/>
                <w:bCs/>
                <w:szCs w:val="18"/>
              </w:rPr>
              <w:t>$’000</w:t>
            </w:r>
          </w:p>
        </w:tc>
        <w:tc>
          <w:tcPr>
            <w:tcW w:w="1191"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b/>
                <w:bCs/>
                <w:szCs w:val="18"/>
              </w:rPr>
            </w:pPr>
            <w:r>
              <w:rPr>
                <w:rFonts w:cs="Calibri"/>
                <w:b/>
                <w:bCs/>
                <w:szCs w:val="18"/>
              </w:rPr>
              <w:t>$’000</w:t>
            </w:r>
          </w:p>
        </w:tc>
        <w:tc>
          <w:tcPr>
            <w:tcW w:w="1191"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b/>
                <w:bCs/>
                <w:szCs w:val="18"/>
              </w:rPr>
            </w:pPr>
            <w:r>
              <w:rPr>
                <w:rFonts w:cs="Calibri"/>
                <w:b/>
                <w:bCs/>
                <w:szCs w:val="18"/>
              </w:rPr>
              <w:t>$’000</w:t>
            </w:r>
          </w:p>
        </w:tc>
        <w:tc>
          <w:tcPr>
            <w:tcW w:w="1191"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b/>
                <w:bCs/>
                <w:szCs w:val="18"/>
              </w:rPr>
            </w:pPr>
            <w:r>
              <w:rPr>
                <w:rFonts w:cs="Calibri"/>
                <w:b/>
                <w:bCs/>
                <w:szCs w:val="18"/>
              </w:rPr>
              <w:t>$’000</w:t>
            </w:r>
          </w:p>
        </w:tc>
        <w:tc>
          <w:tcPr>
            <w:tcW w:w="1191"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b/>
                <w:bCs/>
                <w:szCs w:val="18"/>
              </w:rPr>
            </w:pPr>
            <w:r>
              <w:rPr>
                <w:rFonts w:cs="Calibri"/>
                <w:b/>
                <w:bCs/>
                <w:szCs w:val="18"/>
              </w:rPr>
              <w:t>$’000</w:t>
            </w:r>
          </w:p>
        </w:tc>
        <w:tc>
          <w:tcPr>
            <w:tcW w:w="1191"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b/>
                <w:bCs/>
                <w:szCs w:val="18"/>
              </w:rPr>
            </w:pPr>
            <w:r>
              <w:rPr>
                <w:rFonts w:cs="Calibri"/>
                <w:b/>
                <w:bCs/>
                <w:szCs w:val="18"/>
              </w:rPr>
              <w:t>$’000</w:t>
            </w:r>
          </w:p>
        </w:tc>
      </w:tr>
      <w:tr w:rsidR="003E6989" w:rsidTr="006A5410">
        <w:trPr>
          <w:trHeight w:val="227"/>
        </w:trPr>
        <w:tc>
          <w:tcPr>
            <w:tcW w:w="5648"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As at 1 July 2015</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r>
      <w:tr w:rsidR="003E6989" w:rsidTr="006A5410">
        <w:trPr>
          <w:trHeight w:val="227"/>
        </w:trPr>
        <w:tc>
          <w:tcPr>
            <w:tcW w:w="5648"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Gross book value</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200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250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47,824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18,216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93,784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570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160,844</w:t>
            </w:r>
          </w:p>
        </w:tc>
      </w:tr>
      <w:tr w:rsidR="003E6989" w:rsidTr="006A5410">
        <w:trPr>
          <w:trHeight w:val="227"/>
        </w:trPr>
        <w:tc>
          <w:tcPr>
            <w:tcW w:w="5648"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Accumulated depreciation and impairment</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(8)</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(6,148)</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(6,889)</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(23,702)</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(249)</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(36,996)</w:t>
            </w:r>
          </w:p>
        </w:tc>
      </w:tr>
      <w:tr w:rsidR="003E6989" w:rsidTr="006A5410">
        <w:trPr>
          <w:trHeight w:val="227"/>
        </w:trPr>
        <w:tc>
          <w:tcPr>
            <w:tcW w:w="564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rPr>
                <w:rFonts w:cs="Calibri"/>
                <w:b/>
                <w:bCs/>
                <w:szCs w:val="18"/>
              </w:rPr>
            </w:pPr>
            <w:r>
              <w:rPr>
                <w:rFonts w:cs="Calibri"/>
                <w:b/>
                <w:bCs/>
                <w:szCs w:val="18"/>
              </w:rPr>
              <w:t>Total as at 1 July 2015</w:t>
            </w:r>
          </w:p>
        </w:tc>
        <w:tc>
          <w:tcPr>
            <w:tcW w:w="119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200</w:t>
            </w:r>
          </w:p>
        </w:tc>
        <w:tc>
          <w:tcPr>
            <w:tcW w:w="119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242</w:t>
            </w:r>
          </w:p>
        </w:tc>
        <w:tc>
          <w:tcPr>
            <w:tcW w:w="119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41,676</w:t>
            </w:r>
          </w:p>
        </w:tc>
        <w:tc>
          <w:tcPr>
            <w:tcW w:w="119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11,327</w:t>
            </w:r>
          </w:p>
        </w:tc>
        <w:tc>
          <w:tcPr>
            <w:tcW w:w="119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70,082</w:t>
            </w:r>
          </w:p>
        </w:tc>
        <w:tc>
          <w:tcPr>
            <w:tcW w:w="119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321</w:t>
            </w:r>
          </w:p>
        </w:tc>
        <w:tc>
          <w:tcPr>
            <w:tcW w:w="119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123,848</w:t>
            </w:r>
          </w:p>
        </w:tc>
      </w:tr>
      <w:tr w:rsidR="003E6989" w:rsidTr="006A5410">
        <w:trPr>
          <w:trHeight w:val="227"/>
        </w:trPr>
        <w:tc>
          <w:tcPr>
            <w:tcW w:w="5648"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Additions</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w:t>
            </w:r>
          </w:p>
        </w:tc>
      </w:tr>
      <w:tr w:rsidR="003E6989" w:rsidTr="006A5410">
        <w:trPr>
          <w:trHeight w:val="227"/>
        </w:trPr>
        <w:tc>
          <w:tcPr>
            <w:tcW w:w="5648" w:type="dxa"/>
            <w:tcBorders>
              <w:top w:val="nil"/>
              <w:left w:val="nil"/>
              <w:bottom w:val="nil"/>
              <w:right w:val="nil"/>
            </w:tcBorders>
            <w:shd w:val="clear" w:color="FFFFFF" w:fill="FFFFFF"/>
            <w:noWrap/>
            <w:vAlign w:val="bottom"/>
            <w:hideMark/>
          </w:tcPr>
          <w:p w:rsidR="003E6989" w:rsidRDefault="003E6989" w:rsidP="003E6989">
            <w:pPr>
              <w:spacing w:line="240" w:lineRule="auto"/>
              <w:ind w:firstLineChars="100" w:firstLine="180"/>
              <w:rPr>
                <w:rFonts w:cs="Calibri"/>
                <w:szCs w:val="18"/>
              </w:rPr>
            </w:pPr>
            <w:r>
              <w:rPr>
                <w:rFonts w:cs="Calibri"/>
                <w:szCs w:val="18"/>
              </w:rPr>
              <w:t>By purchase</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1,360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3,427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23,294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104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28,185</w:t>
            </w:r>
          </w:p>
        </w:tc>
      </w:tr>
      <w:tr w:rsidR="003E6989" w:rsidTr="006A5410">
        <w:trPr>
          <w:trHeight w:val="227"/>
        </w:trPr>
        <w:tc>
          <w:tcPr>
            <w:tcW w:w="5648" w:type="dxa"/>
            <w:tcBorders>
              <w:top w:val="nil"/>
              <w:left w:val="nil"/>
              <w:bottom w:val="nil"/>
              <w:right w:val="nil"/>
            </w:tcBorders>
            <w:shd w:val="clear" w:color="FFFFFF" w:fill="FFFFFF"/>
            <w:noWrap/>
            <w:vAlign w:val="bottom"/>
            <w:hideMark/>
          </w:tcPr>
          <w:p w:rsidR="003E6989" w:rsidRDefault="003E6989" w:rsidP="003E6989">
            <w:pPr>
              <w:spacing w:line="240" w:lineRule="auto"/>
              <w:ind w:firstLineChars="100" w:firstLine="180"/>
              <w:rPr>
                <w:rFonts w:cs="Calibri"/>
                <w:szCs w:val="18"/>
              </w:rPr>
            </w:pPr>
            <w:r>
              <w:rPr>
                <w:rFonts w:cs="Calibri"/>
                <w:szCs w:val="18"/>
              </w:rPr>
              <w:t>By restructuring</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646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40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949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1,635</w:t>
            </w:r>
          </w:p>
        </w:tc>
      </w:tr>
      <w:tr w:rsidR="003E6989" w:rsidTr="006A5410">
        <w:trPr>
          <w:trHeight w:val="227"/>
        </w:trPr>
        <w:tc>
          <w:tcPr>
            <w:tcW w:w="5648" w:type="dxa"/>
            <w:tcBorders>
              <w:top w:val="nil"/>
              <w:left w:val="nil"/>
              <w:bottom w:val="nil"/>
              <w:right w:val="nil"/>
            </w:tcBorders>
            <w:shd w:val="clear" w:color="FFFFFF" w:fill="FFFFFF"/>
            <w:noWrap/>
            <w:vAlign w:val="bottom"/>
            <w:hideMark/>
          </w:tcPr>
          <w:p w:rsidR="003E6989" w:rsidRDefault="003E6989" w:rsidP="003E6989">
            <w:pPr>
              <w:spacing w:line="240" w:lineRule="auto"/>
              <w:ind w:firstLineChars="100" w:firstLine="180"/>
              <w:rPr>
                <w:rFonts w:cs="Calibri"/>
                <w:szCs w:val="18"/>
              </w:rPr>
            </w:pPr>
            <w:r>
              <w:rPr>
                <w:rFonts w:cs="Calibri"/>
                <w:szCs w:val="18"/>
              </w:rPr>
              <w:t>First time recognition</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50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50</w:t>
            </w:r>
          </w:p>
        </w:tc>
      </w:tr>
      <w:tr w:rsidR="003E6989" w:rsidTr="006A5410">
        <w:trPr>
          <w:trHeight w:val="227"/>
        </w:trPr>
        <w:tc>
          <w:tcPr>
            <w:tcW w:w="5648"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Reclassification</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(1,073)</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1,042</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(3)</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34</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w:t>
            </w:r>
          </w:p>
        </w:tc>
      </w:tr>
      <w:tr w:rsidR="003E6989" w:rsidTr="006A5410">
        <w:trPr>
          <w:trHeight w:val="227"/>
        </w:trPr>
        <w:tc>
          <w:tcPr>
            <w:tcW w:w="5648"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Revaluations and impairments recognised in other comprehensive income</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(30)</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(4)</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(1,242)</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897</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(379)</w:t>
            </w:r>
          </w:p>
        </w:tc>
      </w:tr>
      <w:tr w:rsidR="003E6989" w:rsidTr="006A5410">
        <w:trPr>
          <w:trHeight w:val="227"/>
        </w:trPr>
        <w:tc>
          <w:tcPr>
            <w:tcW w:w="5648"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Impairments recognised in net cost of services</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(80)</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(2,502)</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(2,582)</w:t>
            </w:r>
          </w:p>
        </w:tc>
      </w:tr>
      <w:tr w:rsidR="003E6989" w:rsidTr="006A5410">
        <w:trPr>
          <w:trHeight w:val="227"/>
        </w:trPr>
        <w:tc>
          <w:tcPr>
            <w:tcW w:w="5648"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Depreciation and amortisation</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(8)</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(4,608)</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(3,862)</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(16,605)</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(85)</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(25,168)</w:t>
            </w:r>
          </w:p>
        </w:tc>
      </w:tr>
      <w:tr w:rsidR="003E6989" w:rsidTr="006A5410">
        <w:trPr>
          <w:trHeight w:val="227"/>
        </w:trPr>
        <w:tc>
          <w:tcPr>
            <w:tcW w:w="5648"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Other movements</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150</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(3)</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147</w:t>
            </w:r>
          </w:p>
        </w:tc>
      </w:tr>
      <w:tr w:rsidR="003E6989" w:rsidTr="006A5410">
        <w:trPr>
          <w:trHeight w:val="227"/>
        </w:trPr>
        <w:tc>
          <w:tcPr>
            <w:tcW w:w="5648" w:type="dxa"/>
            <w:tcBorders>
              <w:top w:val="nil"/>
              <w:left w:val="nil"/>
              <w:bottom w:val="nil"/>
              <w:right w:val="nil"/>
            </w:tcBorders>
            <w:shd w:val="clear" w:color="FFFFFF" w:fill="FFFFFF"/>
            <w:noWrap/>
            <w:vAlign w:val="bottom"/>
            <w:hideMark/>
          </w:tcPr>
          <w:p w:rsidR="003E6989" w:rsidRDefault="003E6989" w:rsidP="003E6989">
            <w:pPr>
              <w:spacing w:line="240" w:lineRule="auto"/>
              <w:ind w:firstLineChars="100" w:firstLine="180"/>
              <w:rPr>
                <w:rFonts w:cs="Calibri"/>
                <w:szCs w:val="18"/>
              </w:rPr>
            </w:pPr>
            <w:r>
              <w:rPr>
                <w:rFonts w:cs="Calibri"/>
                <w:szCs w:val="18"/>
              </w:rPr>
              <w:t>Other</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(257)</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(257)</w:t>
            </w:r>
          </w:p>
        </w:tc>
      </w:tr>
      <w:tr w:rsidR="003E6989" w:rsidTr="006A5410">
        <w:trPr>
          <w:trHeight w:val="227"/>
        </w:trPr>
        <w:tc>
          <w:tcPr>
            <w:tcW w:w="5648" w:type="dxa"/>
            <w:tcBorders>
              <w:top w:val="nil"/>
              <w:left w:val="nil"/>
              <w:bottom w:val="nil"/>
              <w:right w:val="nil"/>
            </w:tcBorders>
            <w:shd w:val="clear" w:color="FFFFFF" w:fill="FFFFFF"/>
            <w:noWrap/>
            <w:vAlign w:val="bottom"/>
            <w:hideMark/>
          </w:tcPr>
          <w:p w:rsidR="003E6989" w:rsidRDefault="003E6989" w:rsidP="003E6989">
            <w:pPr>
              <w:spacing w:line="240" w:lineRule="auto"/>
              <w:ind w:firstLineChars="100" w:firstLine="180"/>
              <w:rPr>
                <w:rFonts w:cs="Calibri"/>
                <w:szCs w:val="18"/>
              </w:rPr>
            </w:pPr>
            <w:r>
              <w:rPr>
                <w:rFonts w:cs="Calibri"/>
                <w:szCs w:val="18"/>
              </w:rPr>
              <w:t>Write-offs</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(92)</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(2)</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(94)</w:t>
            </w:r>
          </w:p>
        </w:tc>
      </w:tr>
      <w:tr w:rsidR="003E6989" w:rsidTr="006A5410">
        <w:trPr>
          <w:trHeight w:val="227"/>
        </w:trPr>
        <w:tc>
          <w:tcPr>
            <w:tcW w:w="5648"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spacing w:line="240" w:lineRule="auto"/>
              <w:rPr>
                <w:rFonts w:cs="Calibri"/>
                <w:b/>
                <w:bCs/>
                <w:szCs w:val="18"/>
              </w:rPr>
            </w:pPr>
            <w:r>
              <w:rPr>
                <w:rFonts w:cs="Calibri"/>
                <w:b/>
                <w:bCs/>
                <w:szCs w:val="18"/>
              </w:rPr>
              <w:t>Total as at 30 June 2016</w:t>
            </w:r>
          </w:p>
        </w:tc>
        <w:tc>
          <w:tcPr>
            <w:tcW w:w="1191"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170</w:t>
            </w:r>
          </w:p>
        </w:tc>
        <w:tc>
          <w:tcPr>
            <w:tcW w:w="1191"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230</w:t>
            </w:r>
          </w:p>
        </w:tc>
        <w:tc>
          <w:tcPr>
            <w:tcW w:w="1191"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36,737</w:t>
            </w:r>
          </w:p>
        </w:tc>
        <w:tc>
          <w:tcPr>
            <w:tcW w:w="1191"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12,659</w:t>
            </w:r>
          </w:p>
        </w:tc>
        <w:tc>
          <w:tcPr>
            <w:tcW w:w="1191"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75,215</w:t>
            </w:r>
          </w:p>
        </w:tc>
        <w:tc>
          <w:tcPr>
            <w:tcW w:w="1191"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374</w:t>
            </w:r>
          </w:p>
        </w:tc>
        <w:tc>
          <w:tcPr>
            <w:tcW w:w="1191"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125,385</w:t>
            </w:r>
          </w:p>
        </w:tc>
      </w:tr>
      <w:tr w:rsidR="003E6989" w:rsidTr="006A5410">
        <w:trPr>
          <w:trHeight w:val="227"/>
        </w:trPr>
        <w:tc>
          <w:tcPr>
            <w:tcW w:w="5648"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r>
      <w:tr w:rsidR="003E6989" w:rsidTr="006A5410">
        <w:trPr>
          <w:trHeight w:val="227"/>
        </w:trPr>
        <w:tc>
          <w:tcPr>
            <w:tcW w:w="5648"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Total as at 30 June 2016 represented by</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r>
      <w:tr w:rsidR="003E6989" w:rsidTr="006A5410">
        <w:trPr>
          <w:trHeight w:val="227"/>
        </w:trPr>
        <w:tc>
          <w:tcPr>
            <w:tcW w:w="5648"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Gross book value</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170</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230</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36,749</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12,743</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112,132</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708</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162,732</w:t>
            </w:r>
          </w:p>
        </w:tc>
      </w:tr>
      <w:tr w:rsidR="003E6989" w:rsidTr="006A5410">
        <w:trPr>
          <w:trHeight w:val="227"/>
        </w:trPr>
        <w:tc>
          <w:tcPr>
            <w:tcW w:w="5648"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Accumulated depreciation, impairment and amortisation</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(12)</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(84)</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(36,917)</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(334)</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(37,347)</w:t>
            </w:r>
          </w:p>
        </w:tc>
      </w:tr>
      <w:tr w:rsidR="003E6989" w:rsidTr="006A5410">
        <w:trPr>
          <w:trHeight w:val="227"/>
        </w:trPr>
        <w:tc>
          <w:tcPr>
            <w:tcW w:w="5648"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spacing w:line="240" w:lineRule="auto"/>
              <w:rPr>
                <w:rFonts w:cs="Calibri"/>
                <w:b/>
                <w:bCs/>
                <w:szCs w:val="18"/>
              </w:rPr>
            </w:pPr>
            <w:r>
              <w:rPr>
                <w:rFonts w:cs="Calibri"/>
                <w:b/>
                <w:bCs/>
                <w:szCs w:val="18"/>
              </w:rPr>
              <w:t>Total as at 30 June 2016</w:t>
            </w:r>
          </w:p>
        </w:tc>
        <w:tc>
          <w:tcPr>
            <w:tcW w:w="1191"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170</w:t>
            </w:r>
          </w:p>
        </w:tc>
        <w:tc>
          <w:tcPr>
            <w:tcW w:w="1191"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230</w:t>
            </w:r>
          </w:p>
        </w:tc>
        <w:tc>
          <w:tcPr>
            <w:tcW w:w="1191"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36,737</w:t>
            </w:r>
          </w:p>
        </w:tc>
        <w:tc>
          <w:tcPr>
            <w:tcW w:w="1191"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12,659</w:t>
            </w:r>
          </w:p>
        </w:tc>
        <w:tc>
          <w:tcPr>
            <w:tcW w:w="1191"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75,215</w:t>
            </w:r>
          </w:p>
        </w:tc>
        <w:tc>
          <w:tcPr>
            <w:tcW w:w="1191"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374</w:t>
            </w:r>
          </w:p>
        </w:tc>
        <w:tc>
          <w:tcPr>
            <w:tcW w:w="1191"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125,385</w:t>
            </w:r>
          </w:p>
        </w:tc>
      </w:tr>
    </w:tbl>
    <w:p w:rsidR="003E6989" w:rsidRDefault="003E6989" w:rsidP="003E6989">
      <w:pPr>
        <w:pStyle w:val="NotesText0"/>
      </w:pPr>
      <w:bookmarkStart w:id="305" w:name="RANGE!E7:L57"/>
      <w:bookmarkStart w:id="306" w:name="RANGE!E65:K93"/>
      <w:bookmarkEnd w:id="305"/>
      <w:bookmarkEnd w:id="306"/>
    </w:p>
    <w:p w:rsidR="003E6989" w:rsidRDefault="003E6989" w:rsidP="003E6989">
      <w:pPr>
        <w:spacing w:line="240" w:lineRule="auto"/>
      </w:pPr>
      <w:r>
        <w:br w:type="page"/>
      </w:r>
    </w:p>
    <w:tbl>
      <w:tblPr>
        <w:tblW w:w="13991" w:type="dxa"/>
        <w:tblInd w:w="80" w:type="dxa"/>
        <w:tblLayout w:type="fixed"/>
        <w:tblCellMar>
          <w:left w:w="6" w:type="dxa"/>
          <w:right w:w="6" w:type="dxa"/>
        </w:tblCellMar>
        <w:tblLook w:val="04A0" w:firstRow="1" w:lastRow="0" w:firstColumn="1" w:lastColumn="0" w:noHBand="0" w:noVBand="1"/>
      </w:tblPr>
      <w:tblGrid>
        <w:gridCol w:w="5649"/>
        <w:gridCol w:w="1191"/>
        <w:gridCol w:w="1191"/>
        <w:gridCol w:w="1192"/>
        <w:gridCol w:w="1192"/>
        <w:gridCol w:w="1192"/>
        <w:gridCol w:w="1192"/>
        <w:gridCol w:w="1192"/>
      </w:tblGrid>
      <w:tr w:rsidR="003E6989" w:rsidTr="006A5410">
        <w:trPr>
          <w:trHeight w:val="227"/>
        </w:trPr>
        <w:tc>
          <w:tcPr>
            <w:tcW w:w="13985" w:type="dxa"/>
            <w:gridSpan w:val="8"/>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b/>
                <w:bCs/>
                <w:szCs w:val="18"/>
                <w:u w:val="single"/>
              </w:rPr>
            </w:pPr>
            <w:bookmarkStart w:id="307" w:name="Note_MTATABLE2" w:colFirst="0" w:colLast="0"/>
            <w:r>
              <w:rPr>
                <w:rFonts w:cs="Calibri"/>
                <w:b/>
                <w:bCs/>
                <w:szCs w:val="18"/>
                <w:u w:val="single"/>
              </w:rPr>
              <w:lastRenderedPageBreak/>
              <w:t>3.2A: Reconciliation of the opening and closing balances of property, plant and equipment (2014-15)</w:t>
            </w:r>
          </w:p>
        </w:tc>
      </w:tr>
      <w:bookmarkEnd w:id="307"/>
      <w:tr w:rsidR="003E6989" w:rsidTr="006A5410">
        <w:trPr>
          <w:trHeight w:val="227"/>
        </w:trPr>
        <w:tc>
          <w:tcPr>
            <w:tcW w:w="5648"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r>
      <w:tr w:rsidR="003E6989" w:rsidTr="006A5410">
        <w:trPr>
          <w:trHeight w:val="227"/>
        </w:trPr>
        <w:tc>
          <w:tcPr>
            <w:tcW w:w="5648" w:type="dxa"/>
            <w:tcBorders>
              <w:top w:val="single" w:sz="4" w:space="0" w:color="auto"/>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c>
          <w:tcPr>
            <w:tcW w:w="1191" w:type="dxa"/>
            <w:tcBorders>
              <w:top w:val="single" w:sz="4" w:space="0" w:color="auto"/>
              <w:left w:val="nil"/>
              <w:bottom w:val="nil"/>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Land</w:t>
            </w:r>
          </w:p>
        </w:tc>
        <w:tc>
          <w:tcPr>
            <w:tcW w:w="1191" w:type="dxa"/>
            <w:tcBorders>
              <w:top w:val="single" w:sz="4" w:space="0" w:color="auto"/>
              <w:left w:val="nil"/>
              <w:bottom w:val="nil"/>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Buildings</w:t>
            </w:r>
          </w:p>
        </w:tc>
        <w:tc>
          <w:tcPr>
            <w:tcW w:w="1191" w:type="dxa"/>
            <w:tcBorders>
              <w:top w:val="single" w:sz="4" w:space="0" w:color="auto"/>
              <w:left w:val="nil"/>
              <w:bottom w:val="nil"/>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Leasehold improvements</w:t>
            </w:r>
          </w:p>
        </w:tc>
        <w:tc>
          <w:tcPr>
            <w:tcW w:w="1191" w:type="dxa"/>
            <w:tcBorders>
              <w:top w:val="single" w:sz="4" w:space="0" w:color="auto"/>
              <w:left w:val="nil"/>
              <w:bottom w:val="nil"/>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Infrastructure, plant and equipment</w:t>
            </w:r>
          </w:p>
        </w:tc>
        <w:tc>
          <w:tcPr>
            <w:tcW w:w="1191" w:type="dxa"/>
            <w:tcBorders>
              <w:top w:val="single" w:sz="4" w:space="0" w:color="auto"/>
              <w:left w:val="nil"/>
              <w:bottom w:val="nil"/>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Computer software internally developed</w:t>
            </w:r>
          </w:p>
        </w:tc>
        <w:tc>
          <w:tcPr>
            <w:tcW w:w="1191" w:type="dxa"/>
            <w:tcBorders>
              <w:top w:val="single" w:sz="4" w:space="0" w:color="auto"/>
              <w:left w:val="nil"/>
              <w:bottom w:val="nil"/>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Computer  software purchased</w:t>
            </w:r>
          </w:p>
        </w:tc>
        <w:tc>
          <w:tcPr>
            <w:tcW w:w="1191" w:type="dxa"/>
            <w:tcBorders>
              <w:top w:val="single" w:sz="4" w:space="0" w:color="auto"/>
              <w:left w:val="nil"/>
              <w:bottom w:val="nil"/>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Total</w:t>
            </w:r>
          </w:p>
        </w:tc>
      </w:tr>
      <w:tr w:rsidR="003E6989" w:rsidTr="006A5410">
        <w:trPr>
          <w:trHeight w:val="227"/>
        </w:trPr>
        <w:tc>
          <w:tcPr>
            <w:tcW w:w="5648"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1191"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$’000</w:t>
            </w:r>
          </w:p>
        </w:tc>
        <w:tc>
          <w:tcPr>
            <w:tcW w:w="1191"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$’000</w:t>
            </w:r>
          </w:p>
        </w:tc>
        <w:tc>
          <w:tcPr>
            <w:tcW w:w="1191"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$’000</w:t>
            </w:r>
          </w:p>
        </w:tc>
        <w:tc>
          <w:tcPr>
            <w:tcW w:w="1191"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$’000</w:t>
            </w:r>
          </w:p>
        </w:tc>
        <w:tc>
          <w:tcPr>
            <w:tcW w:w="1191"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$’000</w:t>
            </w:r>
          </w:p>
        </w:tc>
        <w:tc>
          <w:tcPr>
            <w:tcW w:w="1191"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$’000</w:t>
            </w:r>
          </w:p>
        </w:tc>
        <w:tc>
          <w:tcPr>
            <w:tcW w:w="1191"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$’000</w:t>
            </w:r>
          </w:p>
        </w:tc>
      </w:tr>
      <w:tr w:rsidR="003E6989" w:rsidTr="006A5410">
        <w:trPr>
          <w:trHeight w:val="227"/>
        </w:trPr>
        <w:tc>
          <w:tcPr>
            <w:tcW w:w="5648"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As at 1 July 2014</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r>
      <w:tr w:rsidR="003E6989" w:rsidTr="006A5410">
        <w:trPr>
          <w:trHeight w:val="227"/>
        </w:trPr>
        <w:tc>
          <w:tcPr>
            <w:tcW w:w="5648"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Gross book value</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200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890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49,796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14,591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74,619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570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140,666</w:t>
            </w:r>
          </w:p>
        </w:tc>
      </w:tr>
      <w:tr w:rsidR="003E6989" w:rsidTr="006A5410">
        <w:trPr>
          <w:trHeight w:val="227"/>
        </w:trPr>
        <w:tc>
          <w:tcPr>
            <w:tcW w:w="5648"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Accumulated depreciation and impairment</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(19)</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(3,139)</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(11,580)</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(57)</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(14,795)</w:t>
            </w:r>
          </w:p>
        </w:tc>
      </w:tr>
      <w:tr w:rsidR="003E6989" w:rsidTr="006A5410">
        <w:trPr>
          <w:trHeight w:val="227"/>
        </w:trPr>
        <w:tc>
          <w:tcPr>
            <w:tcW w:w="564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rPr>
                <w:rFonts w:cs="Calibri"/>
                <w:b/>
                <w:bCs/>
                <w:szCs w:val="18"/>
              </w:rPr>
            </w:pPr>
            <w:r>
              <w:rPr>
                <w:rFonts w:cs="Calibri"/>
                <w:b/>
                <w:bCs/>
                <w:szCs w:val="18"/>
              </w:rPr>
              <w:t>Total as at 1 July 2014</w:t>
            </w:r>
          </w:p>
        </w:tc>
        <w:tc>
          <w:tcPr>
            <w:tcW w:w="119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200</w:t>
            </w:r>
          </w:p>
        </w:tc>
        <w:tc>
          <w:tcPr>
            <w:tcW w:w="119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890</w:t>
            </w:r>
          </w:p>
        </w:tc>
        <w:tc>
          <w:tcPr>
            <w:tcW w:w="119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49,777</w:t>
            </w:r>
          </w:p>
        </w:tc>
        <w:tc>
          <w:tcPr>
            <w:tcW w:w="119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11,452</w:t>
            </w:r>
          </w:p>
        </w:tc>
        <w:tc>
          <w:tcPr>
            <w:tcW w:w="119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63,039</w:t>
            </w:r>
          </w:p>
        </w:tc>
        <w:tc>
          <w:tcPr>
            <w:tcW w:w="119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513</w:t>
            </w:r>
          </w:p>
        </w:tc>
        <w:tc>
          <w:tcPr>
            <w:tcW w:w="119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125,871</w:t>
            </w:r>
          </w:p>
        </w:tc>
      </w:tr>
      <w:tr w:rsidR="003E6989" w:rsidTr="006A5410">
        <w:trPr>
          <w:trHeight w:val="227"/>
        </w:trPr>
        <w:tc>
          <w:tcPr>
            <w:tcW w:w="5648"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Additions:</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w:t>
            </w:r>
          </w:p>
        </w:tc>
      </w:tr>
      <w:tr w:rsidR="003E6989" w:rsidTr="006A5410">
        <w:trPr>
          <w:trHeight w:val="227"/>
        </w:trPr>
        <w:tc>
          <w:tcPr>
            <w:tcW w:w="5648" w:type="dxa"/>
            <w:tcBorders>
              <w:top w:val="nil"/>
              <w:left w:val="nil"/>
              <w:bottom w:val="nil"/>
              <w:right w:val="nil"/>
            </w:tcBorders>
            <w:shd w:val="clear" w:color="FFFFFF" w:fill="FFFFFF"/>
            <w:noWrap/>
            <w:vAlign w:val="bottom"/>
            <w:hideMark/>
          </w:tcPr>
          <w:p w:rsidR="003E6989" w:rsidRDefault="003E6989" w:rsidP="003E6989">
            <w:pPr>
              <w:spacing w:line="240" w:lineRule="auto"/>
              <w:ind w:firstLineChars="100" w:firstLine="180"/>
              <w:rPr>
                <w:rFonts w:cs="Calibri"/>
                <w:szCs w:val="18"/>
              </w:rPr>
            </w:pPr>
            <w:r>
              <w:rPr>
                <w:rFonts w:cs="Calibri"/>
                <w:szCs w:val="18"/>
              </w:rPr>
              <w:t>By purchase</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1,884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3,824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18,548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24,256</w:t>
            </w:r>
          </w:p>
        </w:tc>
      </w:tr>
      <w:tr w:rsidR="003E6989" w:rsidTr="006A5410">
        <w:trPr>
          <w:trHeight w:val="227"/>
        </w:trPr>
        <w:tc>
          <w:tcPr>
            <w:tcW w:w="5648" w:type="dxa"/>
            <w:tcBorders>
              <w:top w:val="nil"/>
              <w:left w:val="nil"/>
              <w:bottom w:val="nil"/>
              <w:right w:val="nil"/>
            </w:tcBorders>
            <w:shd w:val="clear" w:color="FFFFFF" w:fill="FFFFFF"/>
            <w:noWrap/>
            <w:vAlign w:val="bottom"/>
            <w:hideMark/>
          </w:tcPr>
          <w:p w:rsidR="003E6989" w:rsidRDefault="003E6989" w:rsidP="003E6989">
            <w:pPr>
              <w:spacing w:line="240" w:lineRule="auto"/>
              <w:ind w:firstLineChars="100" w:firstLine="180"/>
              <w:rPr>
                <w:rFonts w:cs="Calibri"/>
                <w:szCs w:val="18"/>
              </w:rPr>
            </w:pPr>
            <w:r>
              <w:rPr>
                <w:rFonts w:cs="Calibri"/>
                <w:szCs w:val="18"/>
              </w:rPr>
              <w:t>By restructuring</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1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14,712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14,713</w:t>
            </w:r>
          </w:p>
        </w:tc>
      </w:tr>
      <w:tr w:rsidR="003E6989" w:rsidTr="006A5410">
        <w:trPr>
          <w:trHeight w:val="227"/>
        </w:trPr>
        <w:tc>
          <w:tcPr>
            <w:tcW w:w="5648" w:type="dxa"/>
            <w:tcBorders>
              <w:top w:val="nil"/>
              <w:left w:val="nil"/>
              <w:bottom w:val="nil"/>
              <w:right w:val="nil"/>
            </w:tcBorders>
            <w:shd w:val="clear" w:color="FFFFFF" w:fill="FFFFFF"/>
            <w:noWrap/>
            <w:vAlign w:val="bottom"/>
            <w:hideMark/>
          </w:tcPr>
          <w:p w:rsidR="003E6989" w:rsidRDefault="003E6989" w:rsidP="003E6989">
            <w:pPr>
              <w:spacing w:line="240" w:lineRule="auto"/>
              <w:ind w:firstLineChars="100" w:firstLine="180"/>
              <w:rPr>
                <w:rFonts w:cs="Calibri"/>
                <w:szCs w:val="18"/>
              </w:rPr>
            </w:pPr>
            <w:r>
              <w:rPr>
                <w:rFonts w:cs="Calibri"/>
                <w:szCs w:val="18"/>
              </w:rPr>
              <w:t>First time recognition</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111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770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881</w:t>
            </w:r>
          </w:p>
        </w:tc>
      </w:tr>
      <w:tr w:rsidR="003E6989" w:rsidTr="006A5410">
        <w:trPr>
          <w:trHeight w:val="227"/>
        </w:trPr>
        <w:tc>
          <w:tcPr>
            <w:tcW w:w="5648"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Impairments recognised in net cost of services</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(264)</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(2,532)</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(2,796)</w:t>
            </w:r>
          </w:p>
        </w:tc>
      </w:tr>
      <w:tr w:rsidR="003E6989" w:rsidTr="006A5410">
        <w:trPr>
          <w:trHeight w:val="227"/>
        </w:trPr>
        <w:tc>
          <w:tcPr>
            <w:tcW w:w="5648"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Depreciation and amortisation</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(23)</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(6,984)</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(3,928)</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(15,791)</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(192)</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(26,918)</w:t>
            </w:r>
          </w:p>
        </w:tc>
      </w:tr>
      <w:tr w:rsidR="003E6989" w:rsidTr="006A5410">
        <w:trPr>
          <w:trHeight w:val="227"/>
        </w:trPr>
        <w:tc>
          <w:tcPr>
            <w:tcW w:w="5648"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Other movements</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(153)</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(63)</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(107)</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(323)</w:t>
            </w:r>
          </w:p>
        </w:tc>
      </w:tr>
      <w:tr w:rsidR="003E6989" w:rsidTr="006A5410">
        <w:trPr>
          <w:trHeight w:val="227"/>
        </w:trPr>
        <w:tc>
          <w:tcPr>
            <w:tcW w:w="5648"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Restructuring</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(8,557)</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(8,557)</w:t>
            </w:r>
          </w:p>
        </w:tc>
      </w:tr>
      <w:tr w:rsidR="003E6989" w:rsidTr="006A5410">
        <w:trPr>
          <w:trHeight w:val="227"/>
        </w:trPr>
        <w:tc>
          <w:tcPr>
            <w:tcW w:w="5648"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Disposals</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w:t>
            </w:r>
          </w:p>
        </w:tc>
      </w:tr>
      <w:tr w:rsidR="003E6989" w:rsidTr="006A5410">
        <w:trPr>
          <w:trHeight w:val="227"/>
        </w:trPr>
        <w:tc>
          <w:tcPr>
            <w:tcW w:w="5648" w:type="dxa"/>
            <w:tcBorders>
              <w:top w:val="nil"/>
              <w:left w:val="nil"/>
              <w:bottom w:val="nil"/>
              <w:right w:val="nil"/>
            </w:tcBorders>
            <w:shd w:val="clear" w:color="FFFFFF" w:fill="FFFFFF"/>
            <w:noWrap/>
            <w:vAlign w:val="bottom"/>
            <w:hideMark/>
          </w:tcPr>
          <w:p w:rsidR="003E6989" w:rsidRDefault="003E6989" w:rsidP="003E6989">
            <w:pPr>
              <w:spacing w:line="240" w:lineRule="auto"/>
              <w:ind w:firstLineChars="100" w:firstLine="180"/>
              <w:rPr>
                <w:rFonts w:cs="Calibri"/>
                <w:szCs w:val="18"/>
              </w:rPr>
            </w:pPr>
            <w:r>
              <w:rPr>
                <w:rFonts w:cs="Calibri"/>
                <w:szCs w:val="18"/>
              </w:rPr>
              <w:t>From disposal of entities or operations (including restructuring)</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(2,583)</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(25)</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(2,608)</w:t>
            </w:r>
          </w:p>
        </w:tc>
      </w:tr>
      <w:tr w:rsidR="003E6989" w:rsidTr="006A5410">
        <w:trPr>
          <w:trHeight w:val="227"/>
        </w:trPr>
        <w:tc>
          <w:tcPr>
            <w:tcW w:w="5648" w:type="dxa"/>
            <w:tcBorders>
              <w:top w:val="nil"/>
              <w:left w:val="nil"/>
              <w:bottom w:val="nil"/>
              <w:right w:val="nil"/>
            </w:tcBorders>
            <w:shd w:val="clear" w:color="FFFFFF" w:fill="FFFFFF"/>
            <w:noWrap/>
            <w:vAlign w:val="bottom"/>
            <w:hideMark/>
          </w:tcPr>
          <w:p w:rsidR="003E6989" w:rsidRDefault="003E6989" w:rsidP="003E6989">
            <w:pPr>
              <w:spacing w:line="240" w:lineRule="auto"/>
              <w:ind w:firstLineChars="100" w:firstLine="180"/>
              <w:rPr>
                <w:rFonts w:cs="Calibri"/>
                <w:szCs w:val="18"/>
              </w:rPr>
            </w:pPr>
            <w:r>
              <w:rPr>
                <w:rFonts w:cs="Calibri"/>
                <w:szCs w:val="18"/>
              </w:rPr>
              <w:t>Other</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(625)</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(23)</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(648)</w:t>
            </w:r>
          </w:p>
        </w:tc>
      </w:tr>
      <w:tr w:rsidR="003E6989" w:rsidTr="006A5410">
        <w:trPr>
          <w:trHeight w:val="227"/>
        </w:trPr>
        <w:tc>
          <w:tcPr>
            <w:tcW w:w="5648" w:type="dxa"/>
            <w:tcBorders>
              <w:top w:val="nil"/>
              <w:left w:val="nil"/>
              <w:bottom w:val="nil"/>
              <w:right w:val="nil"/>
            </w:tcBorders>
            <w:shd w:val="clear" w:color="FFFFFF" w:fill="FFFFFF"/>
            <w:noWrap/>
            <w:vAlign w:val="bottom"/>
            <w:hideMark/>
          </w:tcPr>
          <w:p w:rsidR="003E6989" w:rsidRDefault="003E6989" w:rsidP="003E6989">
            <w:pPr>
              <w:spacing w:line="240" w:lineRule="auto"/>
              <w:ind w:firstLineChars="100" w:firstLine="180"/>
              <w:rPr>
                <w:rFonts w:cs="Calibri"/>
                <w:szCs w:val="18"/>
              </w:rPr>
            </w:pPr>
            <w:r>
              <w:rPr>
                <w:rFonts w:cs="Calibri"/>
                <w:szCs w:val="18"/>
              </w:rPr>
              <w:t>Write-offs</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(1)</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(22)</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(23)</w:t>
            </w:r>
          </w:p>
        </w:tc>
      </w:tr>
      <w:tr w:rsidR="003E6989" w:rsidTr="006A5410">
        <w:trPr>
          <w:trHeight w:val="227"/>
        </w:trPr>
        <w:tc>
          <w:tcPr>
            <w:tcW w:w="5648"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spacing w:line="240" w:lineRule="auto"/>
              <w:rPr>
                <w:rFonts w:cs="Calibri"/>
                <w:b/>
                <w:bCs/>
                <w:szCs w:val="18"/>
              </w:rPr>
            </w:pPr>
            <w:r>
              <w:rPr>
                <w:rFonts w:cs="Calibri"/>
                <w:b/>
                <w:bCs/>
                <w:szCs w:val="18"/>
              </w:rPr>
              <w:t>Net book value 30 June 2015</w:t>
            </w:r>
          </w:p>
        </w:tc>
        <w:tc>
          <w:tcPr>
            <w:tcW w:w="1191"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200</w:t>
            </w:r>
          </w:p>
        </w:tc>
        <w:tc>
          <w:tcPr>
            <w:tcW w:w="1191"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242</w:t>
            </w:r>
          </w:p>
        </w:tc>
        <w:tc>
          <w:tcPr>
            <w:tcW w:w="1191"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41,676</w:t>
            </w:r>
          </w:p>
        </w:tc>
        <w:tc>
          <w:tcPr>
            <w:tcW w:w="1191"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11,327</w:t>
            </w:r>
          </w:p>
        </w:tc>
        <w:tc>
          <w:tcPr>
            <w:tcW w:w="1191"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70,082</w:t>
            </w:r>
          </w:p>
        </w:tc>
        <w:tc>
          <w:tcPr>
            <w:tcW w:w="1191"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321</w:t>
            </w:r>
          </w:p>
        </w:tc>
        <w:tc>
          <w:tcPr>
            <w:tcW w:w="1191"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123,848</w:t>
            </w:r>
          </w:p>
        </w:tc>
      </w:tr>
      <w:tr w:rsidR="003E6989" w:rsidTr="006A5410">
        <w:trPr>
          <w:trHeight w:val="227"/>
        </w:trPr>
        <w:tc>
          <w:tcPr>
            <w:tcW w:w="5648"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b/>
                <w:bCs/>
                <w:szCs w:val="18"/>
              </w:rPr>
            </w:pPr>
            <w:r>
              <w:rPr>
                <w:rFonts w:ascii="Arial" w:hAnsi="Arial" w:cs="Arial"/>
                <w:b/>
                <w:bCs/>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r>
      <w:tr w:rsidR="003E6989" w:rsidTr="006A5410">
        <w:trPr>
          <w:trHeight w:val="227"/>
        </w:trPr>
        <w:tc>
          <w:tcPr>
            <w:tcW w:w="5648"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Net book value as of 30 June 2015 represented by:</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r>
      <w:tr w:rsidR="003E6989" w:rsidTr="006A5410">
        <w:trPr>
          <w:trHeight w:val="227"/>
        </w:trPr>
        <w:tc>
          <w:tcPr>
            <w:tcW w:w="5648"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Gross book value</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200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250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47,824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18,216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93,784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570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160,844</w:t>
            </w:r>
          </w:p>
        </w:tc>
      </w:tr>
      <w:tr w:rsidR="003E6989" w:rsidTr="006A5410">
        <w:trPr>
          <w:trHeight w:val="227"/>
        </w:trPr>
        <w:tc>
          <w:tcPr>
            <w:tcW w:w="5648"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Accumulated depreciation, impairment and amortisation</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(8)</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(6,148)</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(6,889)</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(23,702)</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(249)</w:t>
            </w:r>
          </w:p>
        </w:tc>
        <w:tc>
          <w:tcPr>
            <w:tcW w:w="119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(36,996)</w:t>
            </w:r>
          </w:p>
        </w:tc>
      </w:tr>
      <w:tr w:rsidR="003E6989" w:rsidTr="006A5410">
        <w:trPr>
          <w:trHeight w:val="227"/>
        </w:trPr>
        <w:tc>
          <w:tcPr>
            <w:tcW w:w="5648"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spacing w:line="240" w:lineRule="auto"/>
              <w:rPr>
                <w:rFonts w:cs="Calibri"/>
                <w:b/>
                <w:bCs/>
                <w:szCs w:val="18"/>
              </w:rPr>
            </w:pPr>
            <w:r>
              <w:rPr>
                <w:rFonts w:cs="Calibri"/>
                <w:b/>
                <w:bCs/>
                <w:szCs w:val="18"/>
              </w:rPr>
              <w:t>Net book value 30 June 2015</w:t>
            </w:r>
          </w:p>
        </w:tc>
        <w:tc>
          <w:tcPr>
            <w:tcW w:w="1191"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200</w:t>
            </w:r>
          </w:p>
        </w:tc>
        <w:tc>
          <w:tcPr>
            <w:tcW w:w="1191"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242</w:t>
            </w:r>
          </w:p>
        </w:tc>
        <w:tc>
          <w:tcPr>
            <w:tcW w:w="1191"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41,676</w:t>
            </w:r>
          </w:p>
        </w:tc>
        <w:tc>
          <w:tcPr>
            <w:tcW w:w="1191"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11,327</w:t>
            </w:r>
          </w:p>
        </w:tc>
        <w:tc>
          <w:tcPr>
            <w:tcW w:w="1191"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70,082</w:t>
            </w:r>
          </w:p>
        </w:tc>
        <w:tc>
          <w:tcPr>
            <w:tcW w:w="1191"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321</w:t>
            </w:r>
          </w:p>
        </w:tc>
        <w:tc>
          <w:tcPr>
            <w:tcW w:w="1191"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123,848</w:t>
            </w:r>
          </w:p>
        </w:tc>
      </w:tr>
    </w:tbl>
    <w:p w:rsidR="003E6989" w:rsidRDefault="003E6989" w:rsidP="003E6989">
      <w:pPr>
        <w:rPr>
          <w:lang w:eastAsia="en-AU"/>
        </w:rPr>
      </w:pPr>
      <w:bookmarkStart w:id="308" w:name="RANGE!E65:L90"/>
      <w:bookmarkStart w:id="309" w:name="RANGE!E65:K89"/>
      <w:bookmarkEnd w:id="308"/>
      <w:bookmarkEnd w:id="309"/>
    </w:p>
    <w:p w:rsidR="003E6989" w:rsidRPr="005B41FB" w:rsidRDefault="003E6989" w:rsidP="003E6989">
      <w:pPr>
        <w:pStyle w:val="NotesText0"/>
        <w:sectPr w:rsidR="003E6989" w:rsidRPr="005B41FB" w:rsidSect="006A5410">
          <w:pgSz w:w="16838" w:h="11906" w:orient="landscape"/>
          <w:pgMar w:top="1134" w:right="1134" w:bottom="1134" w:left="1134" w:header="958" w:footer="737" w:gutter="0"/>
          <w:cols w:space="720"/>
          <w:docGrid w:linePitch="245"/>
        </w:sectPr>
      </w:pPr>
      <w:bookmarkStart w:id="310" w:name="RANGE!E7:K57"/>
      <w:bookmarkStart w:id="311" w:name="RANGE!E7:K56"/>
      <w:bookmarkStart w:id="312" w:name="RANGE!E7:K52"/>
      <w:bookmarkStart w:id="313" w:name="RANGE!E7:K53"/>
      <w:bookmarkStart w:id="314" w:name="RANGE!E7:K49"/>
      <w:bookmarkStart w:id="315" w:name="RANGE!E6:K48"/>
      <w:bookmarkStart w:id="316" w:name="RANGE!E6:K47"/>
      <w:bookmarkStart w:id="317" w:name="RANGE!E6:K49"/>
      <w:bookmarkStart w:id="318" w:name="RANGE!E6:E50"/>
      <w:bookmarkStart w:id="319" w:name="RANGE!E6:K50"/>
      <w:bookmarkStart w:id="320" w:name="RANGE!E64:K90"/>
      <w:bookmarkStart w:id="321" w:name="RANGE!E61:K87"/>
      <w:bookmarkStart w:id="322" w:name="RANGE!E60:K85"/>
      <w:bookmarkStart w:id="323" w:name="RANGE!E61:K86"/>
      <w:bookmarkStart w:id="324" w:name="RANGE!E57:K82"/>
      <w:bookmarkStart w:id="325" w:name="RANGE!E58:K83"/>
      <w:bookmarkStart w:id="326" w:name="RANGE!E57:K81"/>
      <w:bookmarkStart w:id="327" w:name="RANGE!E56:K79"/>
      <w:bookmarkStart w:id="328" w:name="RANGE!E58:K81"/>
      <w:bookmarkStart w:id="329" w:name="RANGE!E59:K82"/>
      <w:bookmarkStart w:id="330" w:name="RANGE!E59:K83"/>
      <w:bookmarkStart w:id="331" w:name="RANGE!D6:G22"/>
      <w:bookmarkStart w:id="332" w:name="RANGE!D6:D23"/>
      <w:bookmarkStart w:id="333" w:name="RANGE!D6:G23"/>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rsidR="003E6989" w:rsidRDefault="003E6989" w:rsidP="003E6989">
      <w:pPr>
        <w:pStyle w:val="DeptRowTextTotal"/>
      </w:pPr>
      <w:r>
        <w:lastRenderedPageBreak/>
        <w:t>Land and Buildings</w:t>
      </w:r>
    </w:p>
    <w:p w:rsidR="003E6989" w:rsidRPr="00640583" w:rsidRDefault="003E6989" w:rsidP="003E6989">
      <w:pPr>
        <w:pStyle w:val="NotesText0"/>
      </w:pPr>
      <w:r w:rsidRPr="00640583">
        <w:t xml:space="preserve">There </w:t>
      </w:r>
      <w:r>
        <w:t>is one (2015: one)</w:t>
      </w:r>
      <w:r w:rsidRPr="00640583">
        <w:t xml:space="preserve"> residential propert</w:t>
      </w:r>
      <w:r>
        <w:t>y</w:t>
      </w:r>
      <w:r w:rsidRPr="00640583">
        <w:t xml:space="preserve"> to be s</w:t>
      </w:r>
      <w:r>
        <w:t xml:space="preserve">old within the next 12 months. It has </w:t>
      </w:r>
      <w:r w:rsidRPr="00640583">
        <w:t>a net book value of</w:t>
      </w:r>
      <w:r>
        <w:t xml:space="preserve"> $400,000</w:t>
      </w:r>
      <w:r>
        <w:br/>
        <w:t>(2015:</w:t>
      </w:r>
      <w:r w:rsidRPr="00640583">
        <w:t xml:space="preserve"> $</w:t>
      </w:r>
      <w:r>
        <w:t>442,424)</w:t>
      </w:r>
      <w:r w:rsidRPr="00640583">
        <w:t xml:space="preserve"> as at 30 June </w:t>
      </w:r>
      <w:r w:rsidR="00403CAE">
        <w:t>2016</w:t>
      </w:r>
      <w:r w:rsidRPr="00640583">
        <w:t xml:space="preserve">.  </w:t>
      </w:r>
    </w:p>
    <w:p w:rsidR="003E6989" w:rsidRPr="00640583" w:rsidRDefault="003E6989" w:rsidP="003E6989">
      <w:pPr>
        <w:pStyle w:val="NotesText0"/>
      </w:pPr>
      <w:r w:rsidRPr="00640583">
        <w:t>There are</w:t>
      </w:r>
      <w:r>
        <w:t xml:space="preserve"> three (2015: four)</w:t>
      </w:r>
      <w:r w:rsidRPr="00640583">
        <w:t xml:space="preserve"> leased properties that the department manages which are due to </w:t>
      </w:r>
      <w:r>
        <w:t>expire</w:t>
      </w:r>
      <w:r w:rsidRPr="00640583">
        <w:t xml:space="preserve"> within the next 12 months that have leasehold improvement assets.  The total net book value of the leasehold improvements including rest</w:t>
      </w:r>
      <w:r>
        <w:t>oration for these properties is $940,700</w:t>
      </w:r>
      <w:r w:rsidRPr="00640583">
        <w:t xml:space="preserve"> </w:t>
      </w:r>
      <w:r>
        <w:t xml:space="preserve">(2015: </w:t>
      </w:r>
      <w:r w:rsidRPr="00640583">
        <w:t>$</w:t>
      </w:r>
      <w:r>
        <w:t>582,849)</w:t>
      </w:r>
      <w:r w:rsidRPr="00640583">
        <w:t xml:space="preserve"> as at 30 June </w:t>
      </w:r>
      <w:r w:rsidR="00403CAE">
        <w:t>2016</w:t>
      </w:r>
      <w:r w:rsidRPr="00640583">
        <w:t>.</w:t>
      </w:r>
    </w:p>
    <w:p w:rsidR="003E6989" w:rsidRDefault="003E6989" w:rsidP="003E6989">
      <w:pPr>
        <w:pStyle w:val="NotesText0"/>
      </w:pPr>
      <w:r w:rsidRPr="00640583">
        <w:t xml:space="preserve">An impairment loss of </w:t>
      </w:r>
      <w:r>
        <w:t>$80,000 (2015: $264,000)</w:t>
      </w:r>
      <w:r w:rsidRPr="00640583">
        <w:t xml:space="preserve"> was recognised for </w:t>
      </w:r>
      <w:r>
        <w:t>one</w:t>
      </w:r>
      <w:r w:rsidRPr="00640583">
        <w:t xml:space="preserve"> propert</w:t>
      </w:r>
      <w:r>
        <w:t xml:space="preserve">y </w:t>
      </w:r>
      <w:r w:rsidRPr="00640583">
        <w:t>associ</w:t>
      </w:r>
      <w:r>
        <w:t xml:space="preserve">ated with surplus lease space. </w:t>
      </w:r>
    </w:p>
    <w:p w:rsidR="003E6989" w:rsidRDefault="003E6989" w:rsidP="003E6989">
      <w:pPr>
        <w:pStyle w:val="DeptRowTextTotal"/>
      </w:pPr>
      <w:r>
        <w:t>Infrastructure, plant and equipment</w:t>
      </w:r>
    </w:p>
    <w:p w:rsidR="003E6989" w:rsidRPr="00640583" w:rsidRDefault="003E6989" w:rsidP="003E6989">
      <w:pPr>
        <w:pStyle w:val="NotesText0"/>
      </w:pPr>
      <w:r w:rsidRPr="00640583">
        <w:t xml:space="preserve">No material amounts of infrastructure, plant and equipment are expected to be sold or disposed of within the next 12 months. </w:t>
      </w:r>
    </w:p>
    <w:p w:rsidR="003E6989" w:rsidRDefault="003E6989" w:rsidP="003E6989">
      <w:pPr>
        <w:pStyle w:val="NotesText0"/>
      </w:pPr>
      <w:r w:rsidRPr="00640583">
        <w:t>No indicators of impairment were found for infrastructure, plant and equipment assets.</w:t>
      </w:r>
    </w:p>
    <w:p w:rsidR="003E6989" w:rsidRDefault="003E6989" w:rsidP="003E6989">
      <w:pPr>
        <w:pStyle w:val="DeptRowTextTotal"/>
      </w:pPr>
      <w:r>
        <w:t>Intangibles</w:t>
      </w:r>
    </w:p>
    <w:p w:rsidR="003E6989" w:rsidRDefault="003E6989" w:rsidP="003E6989">
      <w:pPr>
        <w:pStyle w:val="NotesText0"/>
      </w:pPr>
      <w:r>
        <w:t xml:space="preserve">No material amounts of intangibles are expected to be sold or disposed of within the next 12 months. </w:t>
      </w:r>
    </w:p>
    <w:p w:rsidR="003E6989" w:rsidRDefault="003E6989" w:rsidP="003E6989">
      <w:pPr>
        <w:pStyle w:val="NotesText0"/>
      </w:pPr>
      <w:r>
        <w:t>An impairment loss of $2.502 million was recognised for internally developed intangibles in the 2015-16 year (2015: $2.532 million).</w:t>
      </w:r>
    </w:p>
    <w:p w:rsidR="003E6989" w:rsidRDefault="003E6989" w:rsidP="003E6989">
      <w:pPr>
        <w:rPr>
          <w:b/>
        </w:rPr>
      </w:pPr>
      <w:r>
        <w:rPr>
          <w:b/>
        </w:rPr>
        <w:t>Revaluations of non-financial assets</w:t>
      </w:r>
    </w:p>
    <w:p w:rsidR="003E6989" w:rsidRPr="00640583" w:rsidRDefault="003E6989" w:rsidP="003E6989">
      <w:pPr>
        <w:pStyle w:val="NotesText0"/>
      </w:pPr>
      <w:r w:rsidRPr="00640583">
        <w:t xml:space="preserve">All revaluations were conducted in accordance with the revaluation policy stated </w:t>
      </w:r>
      <w:r>
        <w:t>below.</w:t>
      </w:r>
    </w:p>
    <w:p w:rsidR="003E6989" w:rsidRDefault="003E6989" w:rsidP="003E6989">
      <w:pPr>
        <w:rPr>
          <w:rFonts w:asciiTheme="minorHAnsi" w:hAnsiTheme="minorHAnsi" w:cs="Arial"/>
          <w:szCs w:val="18"/>
          <w:lang w:eastAsia="en-AU"/>
        </w:rPr>
      </w:pPr>
      <w:r>
        <w:rPr>
          <w:rFonts w:asciiTheme="minorHAnsi" w:hAnsiTheme="minorHAnsi" w:cs="Arial"/>
          <w:szCs w:val="18"/>
          <w:lang w:eastAsia="en-AU"/>
        </w:rPr>
        <w:t>Revaluation</w:t>
      </w:r>
      <w:r w:rsidRPr="008E6A94">
        <w:rPr>
          <w:rFonts w:asciiTheme="minorHAnsi" w:hAnsiTheme="minorHAnsi" w:cs="Arial"/>
          <w:szCs w:val="18"/>
          <w:lang w:eastAsia="en-AU"/>
        </w:rPr>
        <w:t xml:space="preserve"> decrement</w:t>
      </w:r>
      <w:r>
        <w:rPr>
          <w:rFonts w:asciiTheme="minorHAnsi" w:hAnsiTheme="minorHAnsi" w:cs="Arial"/>
          <w:szCs w:val="18"/>
          <w:lang w:eastAsia="en-AU"/>
        </w:rPr>
        <w:t>s</w:t>
      </w:r>
      <w:r w:rsidRPr="008E6A94">
        <w:rPr>
          <w:rFonts w:asciiTheme="minorHAnsi" w:hAnsiTheme="minorHAnsi" w:cs="Arial"/>
          <w:szCs w:val="18"/>
          <w:lang w:eastAsia="en-AU"/>
        </w:rPr>
        <w:t xml:space="preserve"> of </w:t>
      </w:r>
      <w:r>
        <w:rPr>
          <w:rFonts w:asciiTheme="minorHAnsi" w:hAnsiTheme="minorHAnsi" w:cs="Arial"/>
          <w:szCs w:val="18"/>
          <w:lang w:eastAsia="en-AU"/>
        </w:rPr>
        <w:t>$30,000 (2015: nil)</w:t>
      </w:r>
      <w:r w:rsidRPr="008E6A94">
        <w:rPr>
          <w:rFonts w:asciiTheme="minorHAnsi" w:hAnsiTheme="minorHAnsi" w:cs="Arial"/>
          <w:szCs w:val="18"/>
          <w:lang w:eastAsia="en-AU"/>
        </w:rPr>
        <w:t xml:space="preserve"> for la</w:t>
      </w:r>
      <w:r>
        <w:rPr>
          <w:rFonts w:asciiTheme="minorHAnsi" w:hAnsiTheme="minorHAnsi" w:cs="Arial"/>
          <w:szCs w:val="18"/>
          <w:lang w:eastAsia="en-AU"/>
        </w:rPr>
        <w:t>nd, $4,848 (2015: nil)</w:t>
      </w:r>
      <w:r w:rsidRPr="008E6A94">
        <w:rPr>
          <w:rFonts w:asciiTheme="minorHAnsi" w:hAnsiTheme="minorHAnsi" w:cs="Arial"/>
          <w:szCs w:val="18"/>
          <w:lang w:eastAsia="en-AU"/>
        </w:rPr>
        <w:t xml:space="preserve"> for buildings on freehold land </w:t>
      </w:r>
      <w:r>
        <w:rPr>
          <w:rFonts w:asciiTheme="minorHAnsi" w:hAnsiTheme="minorHAnsi" w:cs="Arial"/>
          <w:szCs w:val="18"/>
          <w:lang w:eastAsia="en-AU"/>
        </w:rPr>
        <w:t>and $1.242 million (2015: $5,148) for leasehold improvements and a</w:t>
      </w:r>
      <w:r w:rsidRPr="008E6A94">
        <w:rPr>
          <w:rFonts w:asciiTheme="minorHAnsi" w:hAnsiTheme="minorHAnsi" w:cs="Arial"/>
          <w:szCs w:val="18"/>
          <w:lang w:eastAsia="en-AU"/>
        </w:rPr>
        <w:t xml:space="preserve"> revaluation</w:t>
      </w:r>
      <w:r>
        <w:rPr>
          <w:rFonts w:asciiTheme="minorHAnsi" w:hAnsiTheme="minorHAnsi" w:cs="Arial"/>
          <w:szCs w:val="18"/>
          <w:lang w:eastAsia="en-AU"/>
        </w:rPr>
        <w:t xml:space="preserve"> increment</w:t>
      </w:r>
      <w:r w:rsidRPr="008E6A94">
        <w:rPr>
          <w:rFonts w:asciiTheme="minorHAnsi" w:hAnsiTheme="minorHAnsi" w:cs="Arial"/>
          <w:szCs w:val="18"/>
          <w:lang w:eastAsia="en-AU"/>
        </w:rPr>
        <w:t xml:space="preserve"> of </w:t>
      </w:r>
      <w:r>
        <w:rPr>
          <w:rFonts w:asciiTheme="minorHAnsi" w:hAnsiTheme="minorHAnsi" w:cs="Arial"/>
          <w:szCs w:val="18"/>
          <w:lang w:eastAsia="en-AU"/>
        </w:rPr>
        <w:t xml:space="preserve">$897,000 (2015: </w:t>
      </w:r>
      <w:r w:rsidRPr="008E6A94">
        <w:rPr>
          <w:rFonts w:asciiTheme="minorHAnsi" w:hAnsiTheme="minorHAnsi" w:cs="Arial"/>
          <w:szCs w:val="18"/>
          <w:lang w:eastAsia="en-AU"/>
        </w:rPr>
        <w:t>$</w:t>
      </w:r>
      <w:r>
        <w:rPr>
          <w:rFonts w:asciiTheme="minorHAnsi" w:hAnsiTheme="minorHAnsi" w:cs="Arial"/>
          <w:szCs w:val="18"/>
          <w:lang w:eastAsia="en-AU"/>
        </w:rPr>
        <w:t>5,148)</w:t>
      </w:r>
      <w:r w:rsidRPr="008E6A94">
        <w:rPr>
          <w:rFonts w:asciiTheme="minorHAnsi" w:hAnsiTheme="minorHAnsi" w:cs="Arial"/>
          <w:szCs w:val="18"/>
          <w:lang w:eastAsia="en-AU"/>
        </w:rPr>
        <w:t xml:space="preserve"> for </w:t>
      </w:r>
      <w:r>
        <w:rPr>
          <w:rFonts w:asciiTheme="minorHAnsi" w:hAnsiTheme="minorHAnsi" w:cs="Arial"/>
          <w:szCs w:val="18"/>
          <w:lang w:eastAsia="en-AU"/>
        </w:rPr>
        <w:t>infrastructure, plant and equipment were</w:t>
      </w:r>
      <w:r w:rsidRPr="008E6A94">
        <w:rPr>
          <w:rFonts w:asciiTheme="minorHAnsi" w:hAnsiTheme="minorHAnsi" w:cs="Arial"/>
          <w:szCs w:val="18"/>
          <w:lang w:eastAsia="en-AU"/>
        </w:rPr>
        <w:t xml:space="preserve"> </w:t>
      </w:r>
      <w:r>
        <w:rPr>
          <w:rFonts w:asciiTheme="minorHAnsi" w:hAnsiTheme="minorHAnsi" w:cs="Arial"/>
          <w:szCs w:val="18"/>
          <w:lang w:eastAsia="en-AU"/>
        </w:rPr>
        <w:t>recorded against</w:t>
      </w:r>
      <w:r w:rsidRPr="008E6A94">
        <w:rPr>
          <w:rFonts w:asciiTheme="minorHAnsi" w:hAnsiTheme="minorHAnsi" w:cs="Arial"/>
          <w:szCs w:val="18"/>
          <w:lang w:eastAsia="en-AU"/>
        </w:rPr>
        <w:t xml:space="preserve"> the asset revaluation surplus by asset class and included in the equity section of the </w:t>
      </w:r>
      <w:r>
        <w:rPr>
          <w:rFonts w:asciiTheme="minorHAnsi" w:hAnsiTheme="minorHAnsi" w:cs="Arial"/>
          <w:szCs w:val="18"/>
          <w:lang w:eastAsia="en-AU"/>
        </w:rPr>
        <w:t>statement of financial position</w:t>
      </w:r>
      <w:r w:rsidRPr="008E6A94">
        <w:rPr>
          <w:rFonts w:asciiTheme="minorHAnsi" w:hAnsiTheme="minorHAnsi" w:cs="Arial"/>
          <w:szCs w:val="18"/>
          <w:lang w:eastAsia="en-AU"/>
        </w:rPr>
        <w:t xml:space="preserve">. </w:t>
      </w:r>
      <w:r>
        <w:rPr>
          <w:rFonts w:asciiTheme="minorHAnsi" w:hAnsiTheme="minorHAnsi" w:cs="Arial"/>
          <w:szCs w:val="18"/>
          <w:lang w:eastAsia="en-AU"/>
        </w:rPr>
        <w:t>The department completed an revaluation in the 2015-16 financial year for all assets excluding intangibles.</w:t>
      </w:r>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480"/>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bookmarkStart w:id="334" w:name="Note_CCATABLE1" w:colFirst="0" w:colLast="0"/>
            <w:r>
              <w:rPr>
                <w:rFonts w:cs="Calibri"/>
                <w:b/>
                <w:bCs/>
                <w:szCs w:val="18"/>
              </w:rPr>
              <w:t>Contractual commitments for the acquisition of property, plant, equipment and intangible assets</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bookmarkEnd w:id="334"/>
      <w:tr w:rsidR="003E6989" w:rsidTr="006A5410">
        <w:trPr>
          <w:trHeight w:val="255"/>
        </w:trPr>
        <w:tc>
          <w:tcPr>
            <w:tcW w:w="8982" w:type="dxa"/>
            <w:gridSpan w:val="4"/>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w:t>
            </w:r>
          </w:p>
        </w:tc>
      </w:tr>
      <w:tr w:rsidR="003E6989" w:rsidTr="006A5410">
        <w:trPr>
          <w:trHeight w:val="240"/>
        </w:trPr>
        <w:tc>
          <w:tcPr>
            <w:tcW w:w="6272"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2016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2015</w:t>
            </w:r>
          </w:p>
        </w:tc>
      </w:tr>
      <w:tr w:rsidR="003E6989" w:rsidTr="006A5410">
        <w:trPr>
          <w:trHeight w:val="240"/>
        </w:trPr>
        <w:tc>
          <w:tcPr>
            <w:tcW w:w="6272"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$'000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$'000</w:t>
            </w:r>
          </w:p>
        </w:tc>
      </w:tr>
      <w:tr w:rsidR="003E6989" w:rsidTr="006A5410">
        <w:trPr>
          <w:trHeight w:val="323"/>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Commitments are payable as follows:</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Within 1 year</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6,910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6,345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Between 1 to 5 years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411 </w:t>
            </w:r>
          </w:p>
        </w:tc>
      </w:tr>
      <w:tr w:rsidR="003E6989" w:rsidTr="006A5410">
        <w:trPr>
          <w:trHeight w:val="270"/>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contractual commitments</w:t>
            </w:r>
          </w:p>
        </w:tc>
        <w:tc>
          <w:tcPr>
            <w:tcW w:w="1238"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6,910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6,756</w:t>
            </w:r>
          </w:p>
        </w:tc>
      </w:tr>
    </w:tbl>
    <w:p w:rsidR="003E6989" w:rsidRPr="00023CEA" w:rsidRDefault="003E6989" w:rsidP="003E6989">
      <w:pPr>
        <w:pStyle w:val="PolicyTextboxbold"/>
        <w:pBdr>
          <w:bottom w:val="none" w:sz="0" w:space="0" w:color="auto"/>
        </w:pBdr>
        <w:spacing w:before="100" w:after="100" w:line="240" w:lineRule="auto"/>
      </w:pPr>
      <w:r>
        <w:t>A</w:t>
      </w:r>
      <w:r w:rsidRPr="00F43C3B">
        <w:t>ccounting Policy</w:t>
      </w:r>
    </w:p>
    <w:p w:rsidR="003E6989" w:rsidRPr="00023CEA" w:rsidRDefault="003E6989" w:rsidP="003E6989">
      <w:pPr>
        <w:pStyle w:val="PolicyTextdeptunderline"/>
        <w:pBdr>
          <w:bottom w:val="none" w:sz="0" w:space="0" w:color="auto"/>
        </w:pBdr>
        <w:spacing w:before="100" w:after="100" w:line="240" w:lineRule="auto"/>
      </w:pPr>
      <w:r w:rsidRPr="00F43C3B">
        <w:t xml:space="preserve">Acquisition of Assets </w:t>
      </w:r>
    </w:p>
    <w:p w:rsidR="003E6989" w:rsidRPr="00023CEA" w:rsidRDefault="003E6989" w:rsidP="003E6989">
      <w:pPr>
        <w:pStyle w:val="PolicytextDept"/>
        <w:pBdr>
          <w:bottom w:val="none" w:sz="0" w:space="0" w:color="auto"/>
        </w:pBdr>
        <w:spacing w:before="100" w:after="100" w:line="240" w:lineRule="auto"/>
      </w:pPr>
      <w:r w:rsidRPr="00F43C3B">
        <w:t xml:space="preserve">The cost of acquisition includes the fair value of assets transferred in exchange and liabilities undertaken. Financial assets are initially </w:t>
      </w:r>
      <w:r w:rsidRPr="00023CEA">
        <w:t>measured at their fair value plus transaction costs where appropriate.</w:t>
      </w:r>
    </w:p>
    <w:p w:rsidR="003E6989" w:rsidRPr="00F43C3B" w:rsidRDefault="003E6989" w:rsidP="003E6989">
      <w:pPr>
        <w:pStyle w:val="PolicytextDept"/>
        <w:pBdr>
          <w:bottom w:val="none" w:sz="0" w:space="0" w:color="auto"/>
        </w:pBdr>
        <w:spacing w:before="100" w:after="100" w:line="240" w:lineRule="auto"/>
      </w:pPr>
      <w:r w:rsidRPr="00023CEA">
        <w:t>Assets acquired at no cost, or for nominal consideration, are initially recognised as assets and income at their fair value at the date of acquisition, unless acquired as a consequence of restructuring of administrative arrangements. In the latter case, assets are initially</w:t>
      </w:r>
      <w:r w:rsidRPr="00F43C3B">
        <w:t xml:space="preserve"> recognised as contributions by owners at the amounts at which they were recognised in the transferor’s accounts immediat</w:t>
      </w:r>
      <w:r>
        <w:t>ely prior to the restructuring.</w:t>
      </w:r>
    </w:p>
    <w:p w:rsidR="003E6989" w:rsidRPr="00023CEA" w:rsidRDefault="003E6989" w:rsidP="003E6989">
      <w:pPr>
        <w:pStyle w:val="PolicyTextdeptunderline"/>
        <w:pBdr>
          <w:bottom w:val="none" w:sz="0" w:space="0" w:color="auto"/>
        </w:pBdr>
        <w:spacing w:before="100" w:after="100" w:line="240" w:lineRule="auto"/>
      </w:pPr>
      <w:r w:rsidRPr="00F43C3B">
        <w:t>Asset recognition threshold</w:t>
      </w:r>
    </w:p>
    <w:p w:rsidR="003E6989" w:rsidRPr="00023CEA" w:rsidRDefault="003E6989" w:rsidP="003E6989">
      <w:pPr>
        <w:pStyle w:val="PolicytextDept"/>
        <w:pBdr>
          <w:bottom w:val="none" w:sz="0" w:space="0" w:color="auto"/>
        </w:pBdr>
        <w:spacing w:before="100" w:after="100" w:line="240" w:lineRule="auto"/>
      </w:pPr>
      <w:r w:rsidRPr="00F43C3B">
        <w:t xml:space="preserve">Purchases of non-financial assets are recognised initially at cost in the statement of financial position, except for purchases costing less than $2,000, (or $50,000 </w:t>
      </w:r>
      <w:r w:rsidRPr="00023CEA">
        <w:t>for leasehold improvements) which are expensed in the year of acquisition (other than where they form part of a group of similar items which are significant in total).</w:t>
      </w:r>
    </w:p>
    <w:p w:rsidR="003E6989" w:rsidRPr="00F43C3B" w:rsidRDefault="003E6989" w:rsidP="003E6989">
      <w:pPr>
        <w:pStyle w:val="PolicytextDept"/>
        <w:pBdr>
          <w:bottom w:val="none" w:sz="0" w:space="0" w:color="auto"/>
        </w:pBdr>
        <w:spacing w:before="100" w:after="100" w:line="240" w:lineRule="auto"/>
      </w:pPr>
      <w:r w:rsidRPr="00023CEA">
        <w:t>The initial cost of an asset includes an estimate</w:t>
      </w:r>
      <w:r w:rsidRPr="00F43C3B">
        <w:t xml:space="preserve"> of the cost of dismantling and removing the item and restoring the site on which it is located. This is particularly relevant to the restoration obligation provisions in property leases taken up by the department where there exists an obligation to restore the property to its original condition. These costs are included in the value of the department's leasehold improvements with a corresponding provision for the ‘restoration obligations’ recognised.</w:t>
      </w:r>
    </w:p>
    <w:p w:rsidR="003E6989" w:rsidRDefault="003E6989" w:rsidP="003E6989">
      <w:pPr>
        <w:pStyle w:val="PolicyTextdeptunderline"/>
        <w:pBdr>
          <w:bottom w:val="none" w:sz="0" w:space="0" w:color="auto"/>
        </w:pBdr>
        <w:spacing w:before="100" w:after="100" w:line="240" w:lineRule="auto"/>
      </w:pPr>
      <w:r>
        <w:br w:type="page"/>
      </w:r>
    </w:p>
    <w:p w:rsidR="003E6989" w:rsidRPr="00023CEA" w:rsidRDefault="003E6989" w:rsidP="003E6989">
      <w:pPr>
        <w:pStyle w:val="PolicyTextdeptunderline"/>
        <w:pBdr>
          <w:bottom w:val="none" w:sz="0" w:space="0" w:color="auto"/>
        </w:pBdr>
        <w:spacing w:before="100" w:after="100" w:line="240" w:lineRule="auto"/>
      </w:pPr>
      <w:r w:rsidRPr="00F43C3B">
        <w:lastRenderedPageBreak/>
        <w:t>Revaluations</w:t>
      </w:r>
    </w:p>
    <w:p w:rsidR="003E6989" w:rsidRDefault="003E6989" w:rsidP="003E6989">
      <w:pPr>
        <w:pStyle w:val="PolicytextDept"/>
        <w:pBdr>
          <w:bottom w:val="none" w:sz="0" w:space="0" w:color="auto"/>
        </w:pBdr>
        <w:spacing w:before="60" w:after="20" w:line="240" w:lineRule="auto"/>
      </w:pPr>
      <w:r w:rsidRPr="00F43C3B">
        <w:t xml:space="preserve">Fair values for each class of </w:t>
      </w:r>
      <w:r w:rsidRPr="00023CEA">
        <w:t>asset</w:t>
      </w:r>
      <w:r w:rsidRPr="00F43C3B">
        <w:t xml:space="preserve"> are determined as shown below:</w:t>
      </w:r>
    </w:p>
    <w:tbl>
      <w:tblPr>
        <w:tblW w:w="9092" w:type="dxa"/>
        <w:tblInd w:w="80" w:type="dxa"/>
        <w:tblLayout w:type="fixed"/>
        <w:tblLook w:val="04A0" w:firstRow="1" w:lastRow="0" w:firstColumn="1" w:lastColumn="0" w:noHBand="0" w:noVBand="1"/>
      </w:tblPr>
      <w:tblGrid>
        <w:gridCol w:w="737"/>
        <w:gridCol w:w="3402"/>
        <w:gridCol w:w="4253"/>
        <w:gridCol w:w="700"/>
      </w:tblGrid>
      <w:tr w:rsidR="003E6989" w:rsidTr="006A5410">
        <w:trPr>
          <w:trHeight w:val="279"/>
        </w:trPr>
        <w:tc>
          <w:tcPr>
            <w:tcW w:w="737" w:type="dxa"/>
            <w:tcBorders>
              <w:top w:val="single" w:sz="4" w:space="0" w:color="009560"/>
              <w:left w:val="single" w:sz="4" w:space="0" w:color="009560"/>
              <w:bottom w:val="nil"/>
              <w:right w:val="single" w:sz="4" w:space="0" w:color="auto"/>
            </w:tcBorders>
            <w:shd w:val="clear" w:color="FFFFFF" w:fill="FFFFFF"/>
            <w:noWrap/>
            <w:vAlign w:val="bottom"/>
          </w:tcPr>
          <w:p w:rsidR="003E6989" w:rsidRDefault="003E6989" w:rsidP="006A5410">
            <w:pPr>
              <w:pStyle w:val="Policytextboxtable"/>
              <w:spacing w:before="60" w:after="20" w:line="240" w:lineRule="auto"/>
            </w:pPr>
          </w:p>
        </w:tc>
        <w:tc>
          <w:tcPr>
            <w:tcW w:w="3402" w:type="dxa"/>
            <w:tcBorders>
              <w:top w:val="single" w:sz="4" w:space="0" w:color="009560"/>
              <w:left w:val="single" w:sz="4" w:space="0" w:color="auto"/>
              <w:bottom w:val="single" w:sz="4" w:space="0" w:color="auto"/>
              <w:right w:val="single" w:sz="4" w:space="0" w:color="auto"/>
            </w:tcBorders>
            <w:shd w:val="clear" w:color="FFFFFF" w:fill="FFFFFF"/>
            <w:noWrap/>
          </w:tcPr>
          <w:p w:rsidR="003E6989" w:rsidRPr="008D65EB" w:rsidRDefault="003E6989" w:rsidP="006A5410">
            <w:pPr>
              <w:pStyle w:val="Policytextboxtable"/>
              <w:spacing w:before="60" w:after="20" w:line="240" w:lineRule="auto"/>
              <w:rPr>
                <w:rFonts w:asciiTheme="minorHAnsi" w:hAnsiTheme="minorHAnsi"/>
                <w:b/>
              </w:rPr>
            </w:pPr>
            <w:r w:rsidRPr="008D65EB">
              <w:rPr>
                <w:rFonts w:asciiTheme="minorHAnsi" w:hAnsiTheme="minorHAnsi"/>
                <w:b/>
              </w:rPr>
              <w:t>Asset Class</w:t>
            </w:r>
          </w:p>
        </w:tc>
        <w:tc>
          <w:tcPr>
            <w:tcW w:w="4253" w:type="dxa"/>
            <w:tcBorders>
              <w:top w:val="single" w:sz="4" w:space="0" w:color="009560"/>
              <w:left w:val="single" w:sz="4" w:space="0" w:color="auto"/>
              <w:bottom w:val="single" w:sz="4" w:space="0" w:color="auto"/>
              <w:right w:val="single" w:sz="4" w:space="0" w:color="auto"/>
            </w:tcBorders>
            <w:shd w:val="clear" w:color="FFFFFF" w:fill="FFFFFF"/>
            <w:noWrap/>
          </w:tcPr>
          <w:p w:rsidR="003E6989" w:rsidRPr="008D65EB" w:rsidRDefault="003E6989" w:rsidP="006A5410">
            <w:pPr>
              <w:pStyle w:val="Policytextboxtable"/>
              <w:spacing w:before="60" w:after="20" w:line="240" w:lineRule="auto"/>
              <w:rPr>
                <w:rFonts w:asciiTheme="minorHAnsi" w:hAnsiTheme="minorHAnsi"/>
                <w:b/>
              </w:rPr>
            </w:pPr>
            <w:r w:rsidRPr="008D65EB">
              <w:rPr>
                <w:rFonts w:asciiTheme="minorHAnsi" w:hAnsiTheme="minorHAnsi"/>
                <w:b/>
              </w:rPr>
              <w:t>Fair value measurement</w:t>
            </w:r>
          </w:p>
        </w:tc>
        <w:tc>
          <w:tcPr>
            <w:tcW w:w="700" w:type="dxa"/>
            <w:tcBorders>
              <w:top w:val="single" w:sz="4" w:space="0" w:color="009560"/>
              <w:left w:val="single" w:sz="4" w:space="0" w:color="auto"/>
              <w:bottom w:val="nil"/>
              <w:right w:val="single" w:sz="4" w:space="0" w:color="009560"/>
            </w:tcBorders>
            <w:shd w:val="clear" w:color="FFFFFF" w:fill="FFFFFF"/>
            <w:noWrap/>
            <w:vAlign w:val="bottom"/>
          </w:tcPr>
          <w:p w:rsidR="003E6989" w:rsidRDefault="003E6989" w:rsidP="006A5410">
            <w:pPr>
              <w:pStyle w:val="Policytextboxtable"/>
              <w:spacing w:before="60" w:after="20" w:line="240" w:lineRule="auto"/>
            </w:pPr>
          </w:p>
        </w:tc>
      </w:tr>
      <w:tr w:rsidR="003E6989" w:rsidTr="006A5410">
        <w:trPr>
          <w:trHeight w:val="279"/>
        </w:trPr>
        <w:tc>
          <w:tcPr>
            <w:tcW w:w="737" w:type="dxa"/>
            <w:tcBorders>
              <w:top w:val="nil"/>
              <w:left w:val="single" w:sz="4" w:space="0" w:color="009560"/>
              <w:bottom w:val="nil"/>
              <w:right w:val="single" w:sz="4" w:space="0" w:color="auto"/>
            </w:tcBorders>
            <w:shd w:val="clear" w:color="FFFFFF" w:fill="FFFFFF"/>
            <w:noWrap/>
            <w:vAlign w:val="bottom"/>
          </w:tcPr>
          <w:p w:rsidR="003E6989" w:rsidRDefault="003E6989" w:rsidP="006A5410">
            <w:pPr>
              <w:pStyle w:val="Policytextboxtable"/>
              <w:spacing w:before="60" w:after="20" w:line="240" w:lineRule="auto"/>
              <w:rPr>
                <w:b/>
                <w:bCs/>
                <w:u w:val="single"/>
              </w:rPr>
            </w:pPr>
          </w:p>
        </w:tc>
        <w:tc>
          <w:tcPr>
            <w:tcW w:w="3402" w:type="dxa"/>
            <w:tcBorders>
              <w:top w:val="single" w:sz="4" w:space="0" w:color="auto"/>
              <w:left w:val="single" w:sz="4" w:space="0" w:color="auto"/>
              <w:bottom w:val="single" w:sz="4" w:space="0" w:color="auto"/>
              <w:right w:val="single" w:sz="4" w:space="0" w:color="auto"/>
            </w:tcBorders>
            <w:shd w:val="clear" w:color="FFFFFF" w:fill="FFFFFF"/>
            <w:noWrap/>
          </w:tcPr>
          <w:p w:rsidR="003E6989" w:rsidRPr="008D65EB" w:rsidRDefault="003E6989" w:rsidP="006A5410">
            <w:pPr>
              <w:pStyle w:val="Policytextboxtable"/>
              <w:spacing w:before="60" w:after="20" w:line="240" w:lineRule="auto"/>
              <w:rPr>
                <w:rFonts w:asciiTheme="minorHAnsi" w:hAnsiTheme="minorHAnsi"/>
              </w:rPr>
            </w:pPr>
            <w:r w:rsidRPr="008D65EB">
              <w:rPr>
                <w:rFonts w:asciiTheme="minorHAnsi" w:hAnsiTheme="minorHAnsi"/>
              </w:rPr>
              <w:t>Land</w:t>
            </w:r>
          </w:p>
        </w:tc>
        <w:tc>
          <w:tcPr>
            <w:tcW w:w="4253" w:type="dxa"/>
            <w:tcBorders>
              <w:top w:val="single" w:sz="4" w:space="0" w:color="auto"/>
              <w:left w:val="single" w:sz="4" w:space="0" w:color="auto"/>
              <w:bottom w:val="single" w:sz="4" w:space="0" w:color="auto"/>
              <w:right w:val="single" w:sz="4" w:space="0" w:color="auto"/>
            </w:tcBorders>
            <w:shd w:val="clear" w:color="FFFFFF" w:fill="FFFFFF"/>
            <w:noWrap/>
          </w:tcPr>
          <w:p w:rsidR="003E6989" w:rsidRPr="008D65EB" w:rsidRDefault="003E6989" w:rsidP="006A5410">
            <w:pPr>
              <w:pStyle w:val="Policytextboxtable"/>
              <w:spacing w:before="60" w:after="20" w:line="240" w:lineRule="auto"/>
              <w:rPr>
                <w:rFonts w:asciiTheme="minorHAnsi" w:hAnsiTheme="minorHAnsi"/>
              </w:rPr>
            </w:pPr>
            <w:r w:rsidRPr="008D65EB">
              <w:rPr>
                <w:rFonts w:asciiTheme="minorHAnsi" w:hAnsiTheme="minorHAnsi"/>
              </w:rPr>
              <w:t>Market selling price</w:t>
            </w:r>
          </w:p>
        </w:tc>
        <w:tc>
          <w:tcPr>
            <w:tcW w:w="700" w:type="dxa"/>
            <w:tcBorders>
              <w:top w:val="nil"/>
              <w:left w:val="single" w:sz="4" w:space="0" w:color="auto"/>
              <w:bottom w:val="nil"/>
              <w:right w:val="single" w:sz="4" w:space="0" w:color="009560"/>
            </w:tcBorders>
            <w:shd w:val="clear" w:color="FFFFFF" w:fill="FFFFFF"/>
            <w:noWrap/>
            <w:vAlign w:val="bottom"/>
          </w:tcPr>
          <w:p w:rsidR="003E6989" w:rsidRDefault="003E6989" w:rsidP="006A5410">
            <w:pPr>
              <w:pStyle w:val="Policytextboxtable"/>
              <w:spacing w:before="60" w:after="20" w:line="240" w:lineRule="auto"/>
            </w:pPr>
          </w:p>
        </w:tc>
      </w:tr>
      <w:tr w:rsidR="003E6989" w:rsidTr="006A5410">
        <w:trPr>
          <w:trHeight w:val="279"/>
        </w:trPr>
        <w:tc>
          <w:tcPr>
            <w:tcW w:w="737" w:type="dxa"/>
            <w:tcBorders>
              <w:top w:val="nil"/>
              <w:left w:val="single" w:sz="4" w:space="0" w:color="009560"/>
              <w:bottom w:val="nil"/>
              <w:right w:val="single" w:sz="4" w:space="0" w:color="auto"/>
            </w:tcBorders>
            <w:shd w:val="clear" w:color="FFFFFF" w:fill="FFFFFF"/>
            <w:noWrap/>
            <w:vAlign w:val="bottom"/>
          </w:tcPr>
          <w:p w:rsidR="003E6989" w:rsidRDefault="003E6989" w:rsidP="006A5410">
            <w:pPr>
              <w:pStyle w:val="Policytextboxtable"/>
              <w:spacing w:before="60" w:after="20" w:line="240" w:lineRule="auto"/>
            </w:pPr>
          </w:p>
        </w:tc>
        <w:tc>
          <w:tcPr>
            <w:tcW w:w="3402" w:type="dxa"/>
            <w:tcBorders>
              <w:top w:val="single" w:sz="4" w:space="0" w:color="auto"/>
              <w:left w:val="single" w:sz="4" w:space="0" w:color="auto"/>
              <w:bottom w:val="single" w:sz="4" w:space="0" w:color="auto"/>
              <w:right w:val="single" w:sz="4" w:space="0" w:color="auto"/>
            </w:tcBorders>
            <w:shd w:val="clear" w:color="FFFFFF" w:fill="FFFFFF"/>
            <w:noWrap/>
          </w:tcPr>
          <w:p w:rsidR="003E6989" w:rsidRPr="008D65EB" w:rsidRDefault="003E6989" w:rsidP="006A5410">
            <w:pPr>
              <w:pStyle w:val="Policytextboxtable"/>
              <w:spacing w:before="60" w:after="20" w:line="240" w:lineRule="auto"/>
              <w:rPr>
                <w:rFonts w:asciiTheme="minorHAnsi" w:hAnsiTheme="minorHAnsi"/>
              </w:rPr>
            </w:pPr>
            <w:r w:rsidRPr="008D65EB">
              <w:rPr>
                <w:rFonts w:asciiTheme="minorHAnsi" w:hAnsiTheme="minorHAnsi"/>
              </w:rPr>
              <w:t>Buildings excluding leasehold improvements</w:t>
            </w:r>
          </w:p>
        </w:tc>
        <w:tc>
          <w:tcPr>
            <w:tcW w:w="4253" w:type="dxa"/>
            <w:tcBorders>
              <w:top w:val="single" w:sz="4" w:space="0" w:color="auto"/>
              <w:left w:val="single" w:sz="4" w:space="0" w:color="auto"/>
              <w:bottom w:val="single" w:sz="4" w:space="0" w:color="auto"/>
              <w:right w:val="single" w:sz="4" w:space="0" w:color="auto"/>
            </w:tcBorders>
            <w:shd w:val="clear" w:color="FFFFFF" w:fill="FFFFFF"/>
            <w:noWrap/>
          </w:tcPr>
          <w:p w:rsidR="003E6989" w:rsidRPr="008D65EB" w:rsidRDefault="003E6989" w:rsidP="006A5410">
            <w:pPr>
              <w:pStyle w:val="Policytextboxtable"/>
              <w:spacing w:before="60" w:after="20" w:line="240" w:lineRule="auto"/>
              <w:rPr>
                <w:rFonts w:asciiTheme="minorHAnsi" w:hAnsiTheme="minorHAnsi"/>
              </w:rPr>
            </w:pPr>
            <w:r w:rsidRPr="008D65EB">
              <w:rPr>
                <w:rFonts w:asciiTheme="minorHAnsi" w:hAnsiTheme="minorHAnsi"/>
              </w:rPr>
              <w:t>Market selling price</w:t>
            </w:r>
          </w:p>
        </w:tc>
        <w:tc>
          <w:tcPr>
            <w:tcW w:w="700" w:type="dxa"/>
            <w:tcBorders>
              <w:top w:val="nil"/>
              <w:left w:val="single" w:sz="4" w:space="0" w:color="auto"/>
              <w:bottom w:val="nil"/>
              <w:right w:val="single" w:sz="4" w:space="0" w:color="009560"/>
            </w:tcBorders>
            <w:shd w:val="clear" w:color="FFFFFF" w:fill="FFFFFF"/>
            <w:noWrap/>
            <w:vAlign w:val="bottom"/>
          </w:tcPr>
          <w:p w:rsidR="003E6989" w:rsidRDefault="003E6989" w:rsidP="006A5410">
            <w:pPr>
              <w:pStyle w:val="Policytextboxtable"/>
              <w:spacing w:before="60" w:after="20" w:line="240" w:lineRule="auto"/>
            </w:pPr>
          </w:p>
        </w:tc>
      </w:tr>
      <w:tr w:rsidR="003E6989" w:rsidTr="006A5410">
        <w:trPr>
          <w:trHeight w:val="279"/>
        </w:trPr>
        <w:tc>
          <w:tcPr>
            <w:tcW w:w="737" w:type="dxa"/>
            <w:tcBorders>
              <w:top w:val="nil"/>
              <w:left w:val="single" w:sz="4" w:space="0" w:color="009560"/>
              <w:bottom w:val="nil"/>
              <w:right w:val="single" w:sz="4" w:space="0" w:color="auto"/>
            </w:tcBorders>
            <w:shd w:val="clear" w:color="FFFFFF" w:fill="FFFFFF"/>
            <w:vAlign w:val="bottom"/>
          </w:tcPr>
          <w:p w:rsidR="003E6989" w:rsidRDefault="003E6989" w:rsidP="006A5410">
            <w:pPr>
              <w:pStyle w:val="Policytextboxtable"/>
              <w:spacing w:before="60" w:after="20" w:line="240" w:lineRule="auto"/>
            </w:pPr>
          </w:p>
        </w:tc>
        <w:tc>
          <w:tcPr>
            <w:tcW w:w="3402" w:type="dxa"/>
            <w:tcBorders>
              <w:top w:val="single" w:sz="4" w:space="0" w:color="auto"/>
              <w:left w:val="single" w:sz="4" w:space="0" w:color="auto"/>
              <w:bottom w:val="single" w:sz="4" w:space="0" w:color="auto"/>
              <w:right w:val="single" w:sz="4" w:space="0" w:color="auto"/>
            </w:tcBorders>
            <w:shd w:val="clear" w:color="FFFFFF" w:fill="FFFFFF"/>
            <w:noWrap/>
          </w:tcPr>
          <w:p w:rsidR="003E6989" w:rsidRPr="008D65EB" w:rsidRDefault="003E6989" w:rsidP="006A5410">
            <w:pPr>
              <w:pStyle w:val="Policytextboxtable"/>
              <w:spacing w:before="60" w:after="20" w:line="240" w:lineRule="auto"/>
              <w:rPr>
                <w:rFonts w:asciiTheme="minorHAnsi" w:hAnsiTheme="minorHAnsi"/>
              </w:rPr>
            </w:pPr>
            <w:r w:rsidRPr="008D65EB">
              <w:rPr>
                <w:rFonts w:asciiTheme="minorHAnsi" w:hAnsiTheme="minorHAnsi"/>
              </w:rPr>
              <w:t>Buildings – Leasehold improvements</w:t>
            </w:r>
          </w:p>
        </w:tc>
        <w:tc>
          <w:tcPr>
            <w:tcW w:w="4253" w:type="dxa"/>
            <w:tcBorders>
              <w:top w:val="single" w:sz="4" w:space="0" w:color="auto"/>
              <w:left w:val="single" w:sz="4" w:space="0" w:color="auto"/>
              <w:bottom w:val="single" w:sz="4" w:space="0" w:color="auto"/>
              <w:right w:val="single" w:sz="4" w:space="0" w:color="auto"/>
            </w:tcBorders>
            <w:shd w:val="clear" w:color="FFFFFF" w:fill="FFFFFF"/>
            <w:noWrap/>
          </w:tcPr>
          <w:p w:rsidR="003E6989" w:rsidRPr="008D65EB" w:rsidRDefault="003E6989" w:rsidP="006A5410">
            <w:pPr>
              <w:pStyle w:val="Policytextboxtable"/>
              <w:spacing w:before="60" w:after="20" w:line="240" w:lineRule="auto"/>
              <w:rPr>
                <w:rFonts w:asciiTheme="minorHAnsi" w:hAnsiTheme="minorHAnsi"/>
              </w:rPr>
            </w:pPr>
            <w:r w:rsidRPr="008D65EB">
              <w:rPr>
                <w:rFonts w:asciiTheme="minorHAnsi" w:hAnsiTheme="minorHAnsi"/>
              </w:rPr>
              <w:t>Depreciated replacement cost</w:t>
            </w:r>
          </w:p>
        </w:tc>
        <w:tc>
          <w:tcPr>
            <w:tcW w:w="700" w:type="dxa"/>
            <w:tcBorders>
              <w:top w:val="nil"/>
              <w:left w:val="single" w:sz="4" w:space="0" w:color="auto"/>
              <w:bottom w:val="nil"/>
              <w:right w:val="single" w:sz="4" w:space="0" w:color="009560"/>
            </w:tcBorders>
            <w:shd w:val="clear" w:color="FFFFFF" w:fill="FFFFFF"/>
            <w:noWrap/>
            <w:vAlign w:val="bottom"/>
          </w:tcPr>
          <w:p w:rsidR="003E6989" w:rsidRDefault="003E6989" w:rsidP="006A5410">
            <w:pPr>
              <w:pStyle w:val="Policytextboxtable"/>
              <w:spacing w:before="60" w:after="20" w:line="240" w:lineRule="auto"/>
            </w:pPr>
          </w:p>
        </w:tc>
      </w:tr>
      <w:tr w:rsidR="003E6989" w:rsidTr="006A5410">
        <w:trPr>
          <w:trHeight w:val="279"/>
        </w:trPr>
        <w:tc>
          <w:tcPr>
            <w:tcW w:w="737" w:type="dxa"/>
            <w:tcBorders>
              <w:top w:val="nil"/>
              <w:left w:val="single" w:sz="4" w:space="0" w:color="009560"/>
              <w:right w:val="single" w:sz="4" w:space="0" w:color="auto"/>
            </w:tcBorders>
            <w:shd w:val="clear" w:color="FFFFFF" w:fill="FFFFFF"/>
            <w:vAlign w:val="bottom"/>
          </w:tcPr>
          <w:p w:rsidR="003E6989" w:rsidRDefault="003E6989" w:rsidP="006A5410">
            <w:pPr>
              <w:pStyle w:val="Policytextboxtable"/>
              <w:spacing w:before="60" w:after="20" w:line="240" w:lineRule="auto"/>
            </w:pPr>
          </w:p>
        </w:tc>
        <w:tc>
          <w:tcPr>
            <w:tcW w:w="3402" w:type="dxa"/>
            <w:tcBorders>
              <w:top w:val="single" w:sz="4" w:space="0" w:color="auto"/>
              <w:left w:val="single" w:sz="4" w:space="0" w:color="auto"/>
              <w:bottom w:val="single" w:sz="4" w:space="0" w:color="auto"/>
              <w:right w:val="single" w:sz="4" w:space="0" w:color="auto"/>
            </w:tcBorders>
            <w:shd w:val="clear" w:color="FFFFFF" w:fill="FFFFFF"/>
            <w:noWrap/>
          </w:tcPr>
          <w:p w:rsidR="003E6989" w:rsidRPr="008D65EB" w:rsidRDefault="003E6989" w:rsidP="006A5410">
            <w:pPr>
              <w:pStyle w:val="Policytextboxtable"/>
              <w:spacing w:before="60" w:after="20" w:line="240" w:lineRule="auto"/>
              <w:rPr>
                <w:rFonts w:asciiTheme="minorHAnsi" w:hAnsiTheme="minorHAnsi"/>
              </w:rPr>
            </w:pPr>
            <w:r w:rsidRPr="008D65EB">
              <w:rPr>
                <w:rFonts w:asciiTheme="minorHAnsi" w:hAnsiTheme="minorHAnsi"/>
              </w:rPr>
              <w:t>Infrastructure, plant and equipment</w:t>
            </w:r>
          </w:p>
        </w:tc>
        <w:tc>
          <w:tcPr>
            <w:tcW w:w="4253" w:type="dxa"/>
            <w:tcBorders>
              <w:top w:val="single" w:sz="4" w:space="0" w:color="auto"/>
              <w:left w:val="single" w:sz="4" w:space="0" w:color="auto"/>
              <w:bottom w:val="single" w:sz="4" w:space="0" w:color="auto"/>
              <w:right w:val="single" w:sz="4" w:space="0" w:color="auto"/>
            </w:tcBorders>
            <w:shd w:val="clear" w:color="FFFFFF" w:fill="FFFFFF"/>
            <w:noWrap/>
          </w:tcPr>
          <w:p w:rsidR="003E6989" w:rsidRPr="008D65EB" w:rsidRDefault="003E6989" w:rsidP="006A5410">
            <w:pPr>
              <w:pStyle w:val="Policytextboxtable"/>
              <w:spacing w:before="60" w:after="20" w:line="240" w:lineRule="auto"/>
              <w:rPr>
                <w:rFonts w:asciiTheme="minorHAnsi" w:hAnsiTheme="minorHAnsi"/>
              </w:rPr>
            </w:pPr>
            <w:r w:rsidRPr="008D65EB">
              <w:rPr>
                <w:rFonts w:asciiTheme="minorHAnsi" w:hAnsiTheme="minorHAnsi"/>
              </w:rPr>
              <w:t>Market selling price</w:t>
            </w:r>
          </w:p>
        </w:tc>
        <w:tc>
          <w:tcPr>
            <w:tcW w:w="700" w:type="dxa"/>
            <w:tcBorders>
              <w:top w:val="nil"/>
              <w:left w:val="single" w:sz="4" w:space="0" w:color="auto"/>
              <w:bottom w:val="nil"/>
              <w:right w:val="single" w:sz="4" w:space="0" w:color="009560"/>
            </w:tcBorders>
            <w:shd w:val="clear" w:color="FFFFFF" w:fill="FFFFFF"/>
            <w:noWrap/>
            <w:vAlign w:val="bottom"/>
          </w:tcPr>
          <w:p w:rsidR="003E6989" w:rsidRDefault="003E6989" w:rsidP="006A5410">
            <w:pPr>
              <w:pStyle w:val="Policytextboxtable"/>
              <w:spacing w:before="60" w:after="20" w:line="240" w:lineRule="auto"/>
            </w:pPr>
          </w:p>
        </w:tc>
      </w:tr>
    </w:tbl>
    <w:p w:rsidR="003E6989" w:rsidRPr="00571BFD" w:rsidRDefault="003E6989" w:rsidP="003E6989">
      <w:pPr>
        <w:pStyle w:val="PolicytextDept"/>
        <w:pBdr>
          <w:top w:val="none" w:sz="0" w:space="0" w:color="auto"/>
          <w:bottom w:val="none" w:sz="0" w:space="0" w:color="auto"/>
        </w:pBdr>
        <w:spacing w:before="60" w:after="20" w:line="240" w:lineRule="auto"/>
      </w:pPr>
      <w:r w:rsidRPr="005040A4">
        <w:t xml:space="preserve">Following initial recognition at cost, infrastructure, plant and equipment are carried at fair value less accumulated </w:t>
      </w:r>
      <w:r w:rsidRPr="00F43C3B">
        <w:t xml:space="preserve">depreciation and accumulated impairment losses. Valuations are conducted to ensure that the carrying </w:t>
      </w:r>
      <w:r w:rsidRPr="00571BFD">
        <w:t xml:space="preserve">amounts of assets do not differ materially from the assets’ fair values as at the reporting date. The regularity of independent valuations depends upon the volatility of movements in market values for the relevant assets. </w:t>
      </w:r>
    </w:p>
    <w:p w:rsidR="003E6989" w:rsidRPr="00571BFD" w:rsidRDefault="003E6989" w:rsidP="003E6989">
      <w:pPr>
        <w:pStyle w:val="PolicytextDept"/>
        <w:pBdr>
          <w:top w:val="none" w:sz="0" w:space="0" w:color="auto"/>
          <w:bottom w:val="none" w:sz="0" w:space="0" w:color="auto"/>
        </w:pBdr>
        <w:spacing w:before="100" w:after="100" w:line="240" w:lineRule="auto"/>
      </w:pPr>
      <w:r w:rsidRPr="00571BFD">
        <w:t>Revaluation adjustments are made on a class basis.  Any revaluation increment is credited to equity under the heading of asset revaluation reserve except to the extent that it reverses a previous revaluation decrement previously recognised in the surplus/deficit.  Revaluation decrements for a class of assets are recognised directly in the surplus/deficit except to the extent that they reverse a previous revaluation increment for that class.</w:t>
      </w:r>
    </w:p>
    <w:p w:rsidR="003E6989" w:rsidRPr="00F43C3B" w:rsidRDefault="003E6989" w:rsidP="003E6989">
      <w:pPr>
        <w:pStyle w:val="PolicytextDept"/>
        <w:pBdr>
          <w:top w:val="none" w:sz="0" w:space="0" w:color="auto"/>
          <w:bottom w:val="none" w:sz="0" w:space="0" w:color="auto"/>
        </w:pBdr>
        <w:spacing w:before="100" w:after="100" w:line="240" w:lineRule="auto"/>
      </w:pPr>
      <w:r w:rsidRPr="00571BFD">
        <w:t>Any accumulated</w:t>
      </w:r>
      <w:r w:rsidRPr="00F43C3B">
        <w:t xml:space="preserve"> depreciation as at the revaluation date is eliminated against the gross carrying amount of the asset and the asset restated to the revalued amount.</w:t>
      </w:r>
    </w:p>
    <w:p w:rsidR="003E6989" w:rsidRPr="00571BFD" w:rsidRDefault="003E6989" w:rsidP="003E6989">
      <w:pPr>
        <w:pStyle w:val="PolicyTextdeptunderline"/>
        <w:pBdr>
          <w:top w:val="none" w:sz="0" w:space="0" w:color="auto"/>
          <w:bottom w:val="none" w:sz="0" w:space="0" w:color="auto"/>
        </w:pBdr>
        <w:spacing w:before="100" w:after="100" w:line="240" w:lineRule="auto"/>
      </w:pPr>
      <w:r w:rsidRPr="00F43C3B">
        <w:t>Depreciation</w:t>
      </w:r>
    </w:p>
    <w:p w:rsidR="003E6989" w:rsidRPr="00392121" w:rsidRDefault="003E6989" w:rsidP="003E6989">
      <w:pPr>
        <w:pStyle w:val="PolicytextDept"/>
        <w:pBdr>
          <w:top w:val="none" w:sz="0" w:space="0" w:color="auto"/>
          <w:bottom w:val="none" w:sz="0" w:space="0" w:color="auto"/>
        </w:pBdr>
        <w:spacing w:before="100" w:after="100" w:line="240" w:lineRule="auto"/>
      </w:pPr>
      <w:r w:rsidRPr="00392121">
        <w:t xml:space="preserve">Depreciable infrastructure, plant and equipment assets are written-off to their estimated residual values over their estimated useful lives to the department using, in all cases, the straight-line method of depreciation. </w:t>
      </w:r>
      <w:r w:rsidRPr="00392121">
        <w:tab/>
      </w:r>
    </w:p>
    <w:p w:rsidR="003E6989" w:rsidRPr="00392121" w:rsidRDefault="003E6989" w:rsidP="003E6989">
      <w:pPr>
        <w:pStyle w:val="PolicytextDept"/>
        <w:pBdr>
          <w:top w:val="none" w:sz="0" w:space="0" w:color="auto"/>
          <w:bottom w:val="none" w:sz="0" w:space="0" w:color="auto"/>
        </w:pBdr>
        <w:spacing w:before="100" w:after="100" w:line="240" w:lineRule="auto"/>
      </w:pPr>
      <w:r w:rsidRPr="00392121">
        <w:t xml:space="preserve">Depreciation rates (useful lives), residual values and methods are reviewed at each reporting date </w:t>
      </w:r>
      <w:r>
        <w:t>with</w:t>
      </w:r>
      <w:r w:rsidRPr="00392121">
        <w:t xml:space="preserve"> necessary adjustments recognised in the current, or current and future reporting periods, as appropriate.</w:t>
      </w:r>
    </w:p>
    <w:p w:rsidR="003E6989" w:rsidRDefault="003E6989" w:rsidP="003E6989">
      <w:pPr>
        <w:pStyle w:val="PolicytextDept"/>
        <w:pBdr>
          <w:top w:val="none" w:sz="0" w:space="0" w:color="auto"/>
          <w:bottom w:val="none" w:sz="0" w:space="0" w:color="auto"/>
        </w:pBdr>
        <w:spacing w:before="100" w:after="100" w:line="240" w:lineRule="auto"/>
      </w:pPr>
      <w:r w:rsidRPr="00571BFD">
        <w:t>Depreciation rates applying to</w:t>
      </w:r>
      <w:r w:rsidRPr="00F43C3B">
        <w:t xml:space="preserve"> each class of depreciable asset are based on the following useful lives:</w:t>
      </w:r>
    </w:p>
    <w:tbl>
      <w:tblPr>
        <w:tblW w:w="9092" w:type="dxa"/>
        <w:tblInd w:w="80" w:type="dxa"/>
        <w:tblLayout w:type="fixed"/>
        <w:tblLook w:val="04A0" w:firstRow="1" w:lastRow="0" w:firstColumn="1" w:lastColumn="0" w:noHBand="0" w:noVBand="1"/>
      </w:tblPr>
      <w:tblGrid>
        <w:gridCol w:w="737"/>
        <w:gridCol w:w="3402"/>
        <w:gridCol w:w="4253"/>
        <w:gridCol w:w="700"/>
      </w:tblGrid>
      <w:tr w:rsidR="003E6989" w:rsidTr="006A5410">
        <w:trPr>
          <w:trHeight w:val="279"/>
        </w:trPr>
        <w:tc>
          <w:tcPr>
            <w:tcW w:w="737" w:type="dxa"/>
            <w:tcBorders>
              <w:top w:val="nil"/>
              <w:left w:val="single" w:sz="4" w:space="0" w:color="009560"/>
              <w:bottom w:val="nil"/>
              <w:right w:val="single" w:sz="4" w:space="0" w:color="auto"/>
            </w:tcBorders>
            <w:shd w:val="clear" w:color="FFFFFF" w:fill="FFFFFF"/>
            <w:noWrap/>
            <w:vAlign w:val="bottom"/>
          </w:tcPr>
          <w:p w:rsidR="003E6989" w:rsidRDefault="003E6989" w:rsidP="006A5410">
            <w:pPr>
              <w:pStyle w:val="Policytextboxtable"/>
              <w:spacing w:before="60" w:after="20" w:line="240" w:lineRule="auto"/>
            </w:pPr>
          </w:p>
        </w:tc>
        <w:tc>
          <w:tcPr>
            <w:tcW w:w="3402" w:type="dxa"/>
            <w:tcBorders>
              <w:top w:val="single" w:sz="4" w:space="0" w:color="auto"/>
              <w:left w:val="single" w:sz="4" w:space="0" w:color="auto"/>
              <w:bottom w:val="single" w:sz="4" w:space="0" w:color="auto"/>
              <w:right w:val="single" w:sz="4" w:space="0" w:color="auto"/>
            </w:tcBorders>
            <w:shd w:val="clear" w:color="FFFFFF" w:fill="FFFFFF"/>
            <w:noWrap/>
          </w:tcPr>
          <w:p w:rsidR="003E6989" w:rsidRPr="008D65EB" w:rsidRDefault="003E6989" w:rsidP="006A5410">
            <w:pPr>
              <w:pStyle w:val="Policytextboxtable"/>
              <w:spacing w:before="60" w:after="20" w:line="240" w:lineRule="auto"/>
              <w:rPr>
                <w:rFonts w:asciiTheme="minorHAnsi" w:hAnsiTheme="minorHAnsi"/>
                <w:b/>
              </w:rPr>
            </w:pPr>
            <w:r w:rsidRPr="008D65EB">
              <w:rPr>
                <w:rFonts w:asciiTheme="minorHAnsi" w:hAnsiTheme="minorHAnsi"/>
                <w:b/>
              </w:rPr>
              <w:t>Asset Class</w:t>
            </w:r>
          </w:p>
        </w:tc>
        <w:tc>
          <w:tcPr>
            <w:tcW w:w="4253" w:type="dxa"/>
            <w:tcBorders>
              <w:top w:val="single" w:sz="4" w:space="0" w:color="auto"/>
              <w:left w:val="single" w:sz="4" w:space="0" w:color="auto"/>
              <w:bottom w:val="single" w:sz="4" w:space="0" w:color="auto"/>
              <w:right w:val="single" w:sz="4" w:space="0" w:color="auto"/>
            </w:tcBorders>
            <w:shd w:val="clear" w:color="FFFFFF" w:fill="FFFFFF"/>
            <w:noWrap/>
          </w:tcPr>
          <w:p w:rsidR="003E6989" w:rsidRPr="008D65EB" w:rsidRDefault="003E6989" w:rsidP="006A5410">
            <w:pPr>
              <w:pStyle w:val="Policytextboxtable"/>
              <w:spacing w:before="60" w:after="20" w:line="240" w:lineRule="auto"/>
              <w:rPr>
                <w:rFonts w:asciiTheme="minorHAnsi" w:hAnsiTheme="minorHAnsi"/>
                <w:b/>
              </w:rPr>
            </w:pPr>
            <w:r w:rsidRPr="008D65EB">
              <w:rPr>
                <w:rFonts w:asciiTheme="minorHAnsi" w:hAnsiTheme="minorHAnsi"/>
                <w:b/>
              </w:rPr>
              <w:t>2016</w:t>
            </w:r>
          </w:p>
        </w:tc>
        <w:tc>
          <w:tcPr>
            <w:tcW w:w="700" w:type="dxa"/>
            <w:tcBorders>
              <w:top w:val="nil"/>
              <w:left w:val="single" w:sz="4" w:space="0" w:color="auto"/>
              <w:bottom w:val="nil"/>
              <w:right w:val="single" w:sz="4" w:space="0" w:color="009560"/>
            </w:tcBorders>
            <w:shd w:val="clear" w:color="FFFFFF" w:fill="FFFFFF"/>
            <w:noWrap/>
            <w:vAlign w:val="bottom"/>
          </w:tcPr>
          <w:p w:rsidR="003E6989" w:rsidRDefault="003E6989" w:rsidP="006A5410">
            <w:pPr>
              <w:pStyle w:val="Policytextboxtable"/>
              <w:spacing w:before="60" w:after="20" w:line="240" w:lineRule="auto"/>
            </w:pPr>
          </w:p>
        </w:tc>
      </w:tr>
      <w:tr w:rsidR="003E6989" w:rsidTr="006A5410">
        <w:trPr>
          <w:trHeight w:val="279"/>
        </w:trPr>
        <w:tc>
          <w:tcPr>
            <w:tcW w:w="737" w:type="dxa"/>
            <w:tcBorders>
              <w:top w:val="nil"/>
              <w:left w:val="single" w:sz="4" w:space="0" w:color="009560"/>
              <w:bottom w:val="nil"/>
              <w:right w:val="single" w:sz="4" w:space="0" w:color="auto"/>
            </w:tcBorders>
            <w:shd w:val="clear" w:color="FFFFFF" w:fill="FFFFFF"/>
            <w:noWrap/>
            <w:vAlign w:val="bottom"/>
          </w:tcPr>
          <w:p w:rsidR="003E6989" w:rsidRDefault="003E6989" w:rsidP="006A5410">
            <w:pPr>
              <w:pStyle w:val="Policytextboxtable"/>
              <w:spacing w:before="60" w:after="20" w:line="240" w:lineRule="auto"/>
              <w:rPr>
                <w:b/>
                <w:bCs/>
                <w:u w:val="single"/>
              </w:rPr>
            </w:pPr>
          </w:p>
        </w:tc>
        <w:tc>
          <w:tcPr>
            <w:tcW w:w="3402" w:type="dxa"/>
            <w:tcBorders>
              <w:top w:val="single" w:sz="4" w:space="0" w:color="auto"/>
              <w:left w:val="single" w:sz="4" w:space="0" w:color="auto"/>
              <w:bottom w:val="single" w:sz="4" w:space="0" w:color="auto"/>
              <w:right w:val="single" w:sz="4" w:space="0" w:color="auto"/>
            </w:tcBorders>
            <w:shd w:val="clear" w:color="FFFFFF" w:fill="FFFFFF"/>
            <w:noWrap/>
          </w:tcPr>
          <w:p w:rsidR="003E6989" w:rsidRPr="008D65EB" w:rsidRDefault="003E6989" w:rsidP="006A5410">
            <w:pPr>
              <w:spacing w:before="60" w:after="20" w:line="240" w:lineRule="auto"/>
              <w:rPr>
                <w:rFonts w:asciiTheme="minorHAnsi" w:hAnsiTheme="minorHAnsi"/>
              </w:rPr>
            </w:pPr>
            <w:r w:rsidRPr="008D65EB">
              <w:rPr>
                <w:rFonts w:asciiTheme="minorHAnsi" w:hAnsiTheme="minorHAnsi"/>
              </w:rPr>
              <w:t>Buildings on freehold land</w:t>
            </w:r>
          </w:p>
        </w:tc>
        <w:tc>
          <w:tcPr>
            <w:tcW w:w="4253" w:type="dxa"/>
            <w:tcBorders>
              <w:top w:val="single" w:sz="4" w:space="0" w:color="auto"/>
              <w:left w:val="single" w:sz="4" w:space="0" w:color="auto"/>
              <w:bottom w:val="single" w:sz="4" w:space="0" w:color="auto"/>
              <w:right w:val="single" w:sz="4" w:space="0" w:color="auto"/>
            </w:tcBorders>
            <w:shd w:val="clear" w:color="FFFFFF" w:fill="FFFFFF"/>
            <w:noWrap/>
          </w:tcPr>
          <w:p w:rsidR="003E6989" w:rsidRPr="008D65EB" w:rsidRDefault="003E6989" w:rsidP="006A5410">
            <w:pPr>
              <w:spacing w:before="60" w:after="20" w:line="240" w:lineRule="auto"/>
              <w:rPr>
                <w:rFonts w:asciiTheme="minorHAnsi" w:hAnsiTheme="minorHAnsi"/>
              </w:rPr>
            </w:pPr>
            <w:r w:rsidRPr="008D65EB">
              <w:rPr>
                <w:rFonts w:asciiTheme="minorHAnsi" w:hAnsiTheme="minorHAnsi"/>
              </w:rPr>
              <w:t>37-51 years</w:t>
            </w:r>
          </w:p>
        </w:tc>
        <w:tc>
          <w:tcPr>
            <w:tcW w:w="700" w:type="dxa"/>
            <w:tcBorders>
              <w:top w:val="nil"/>
              <w:left w:val="single" w:sz="4" w:space="0" w:color="auto"/>
              <w:bottom w:val="nil"/>
              <w:right w:val="single" w:sz="4" w:space="0" w:color="009560"/>
            </w:tcBorders>
            <w:shd w:val="clear" w:color="FFFFFF" w:fill="FFFFFF"/>
            <w:noWrap/>
            <w:vAlign w:val="bottom"/>
          </w:tcPr>
          <w:p w:rsidR="003E6989" w:rsidRDefault="003E6989" w:rsidP="006A5410">
            <w:pPr>
              <w:pStyle w:val="Policytextboxtable"/>
              <w:spacing w:before="60" w:after="20" w:line="240" w:lineRule="auto"/>
            </w:pPr>
          </w:p>
        </w:tc>
      </w:tr>
      <w:tr w:rsidR="003E6989" w:rsidTr="006A5410">
        <w:trPr>
          <w:trHeight w:val="279"/>
        </w:trPr>
        <w:tc>
          <w:tcPr>
            <w:tcW w:w="737" w:type="dxa"/>
            <w:tcBorders>
              <w:top w:val="nil"/>
              <w:left w:val="single" w:sz="4" w:space="0" w:color="009560"/>
              <w:bottom w:val="nil"/>
              <w:right w:val="single" w:sz="4" w:space="0" w:color="auto"/>
            </w:tcBorders>
            <w:shd w:val="clear" w:color="FFFFFF" w:fill="FFFFFF"/>
            <w:noWrap/>
            <w:vAlign w:val="bottom"/>
          </w:tcPr>
          <w:p w:rsidR="003E6989" w:rsidRDefault="003E6989" w:rsidP="006A5410">
            <w:pPr>
              <w:pStyle w:val="Policytextboxtable"/>
              <w:spacing w:before="60" w:after="20" w:line="240" w:lineRule="auto"/>
            </w:pPr>
          </w:p>
        </w:tc>
        <w:tc>
          <w:tcPr>
            <w:tcW w:w="3402" w:type="dxa"/>
            <w:tcBorders>
              <w:top w:val="single" w:sz="4" w:space="0" w:color="auto"/>
              <w:left w:val="single" w:sz="4" w:space="0" w:color="auto"/>
              <w:bottom w:val="single" w:sz="4" w:space="0" w:color="auto"/>
              <w:right w:val="single" w:sz="4" w:space="0" w:color="auto"/>
            </w:tcBorders>
            <w:shd w:val="clear" w:color="FFFFFF" w:fill="FFFFFF"/>
            <w:noWrap/>
          </w:tcPr>
          <w:p w:rsidR="003E6989" w:rsidRPr="008D65EB" w:rsidRDefault="003E6989" w:rsidP="006A5410">
            <w:pPr>
              <w:spacing w:before="60" w:after="20" w:line="240" w:lineRule="auto"/>
              <w:rPr>
                <w:rFonts w:asciiTheme="minorHAnsi" w:hAnsiTheme="minorHAnsi"/>
              </w:rPr>
            </w:pPr>
            <w:r w:rsidRPr="008D65EB">
              <w:rPr>
                <w:rFonts w:asciiTheme="minorHAnsi" w:hAnsiTheme="minorHAnsi"/>
              </w:rPr>
              <w:t>Buildings – leasehold improvements</w:t>
            </w:r>
          </w:p>
        </w:tc>
        <w:tc>
          <w:tcPr>
            <w:tcW w:w="4253" w:type="dxa"/>
            <w:tcBorders>
              <w:top w:val="single" w:sz="4" w:space="0" w:color="auto"/>
              <w:left w:val="single" w:sz="4" w:space="0" w:color="auto"/>
              <w:bottom w:val="single" w:sz="4" w:space="0" w:color="auto"/>
              <w:right w:val="single" w:sz="4" w:space="0" w:color="auto"/>
            </w:tcBorders>
            <w:shd w:val="clear" w:color="FFFFFF" w:fill="FFFFFF"/>
            <w:noWrap/>
          </w:tcPr>
          <w:p w:rsidR="003E6989" w:rsidRPr="008D65EB" w:rsidRDefault="003E6989" w:rsidP="006A5410">
            <w:pPr>
              <w:spacing w:before="60" w:after="20" w:line="240" w:lineRule="auto"/>
              <w:rPr>
                <w:rFonts w:asciiTheme="minorHAnsi" w:hAnsiTheme="minorHAnsi"/>
              </w:rPr>
            </w:pPr>
            <w:r w:rsidRPr="008D65EB">
              <w:rPr>
                <w:rFonts w:asciiTheme="minorHAnsi" w:hAnsiTheme="minorHAnsi"/>
              </w:rPr>
              <w:t>Lease term</w:t>
            </w:r>
          </w:p>
        </w:tc>
        <w:tc>
          <w:tcPr>
            <w:tcW w:w="700" w:type="dxa"/>
            <w:tcBorders>
              <w:top w:val="nil"/>
              <w:left w:val="single" w:sz="4" w:space="0" w:color="auto"/>
              <w:bottom w:val="nil"/>
              <w:right w:val="single" w:sz="4" w:space="0" w:color="009560"/>
            </w:tcBorders>
            <w:shd w:val="clear" w:color="FFFFFF" w:fill="FFFFFF"/>
            <w:noWrap/>
            <w:vAlign w:val="bottom"/>
          </w:tcPr>
          <w:p w:rsidR="003E6989" w:rsidRDefault="003E6989" w:rsidP="006A5410">
            <w:pPr>
              <w:pStyle w:val="Policytextboxtable"/>
              <w:spacing w:before="60" w:after="20" w:line="240" w:lineRule="auto"/>
            </w:pPr>
          </w:p>
        </w:tc>
      </w:tr>
      <w:tr w:rsidR="003E6989" w:rsidTr="006A5410">
        <w:trPr>
          <w:trHeight w:val="279"/>
        </w:trPr>
        <w:tc>
          <w:tcPr>
            <w:tcW w:w="737" w:type="dxa"/>
            <w:tcBorders>
              <w:top w:val="nil"/>
              <w:left w:val="single" w:sz="4" w:space="0" w:color="009560"/>
              <w:bottom w:val="nil"/>
              <w:right w:val="single" w:sz="4" w:space="0" w:color="auto"/>
            </w:tcBorders>
            <w:shd w:val="clear" w:color="FFFFFF" w:fill="FFFFFF"/>
            <w:vAlign w:val="bottom"/>
          </w:tcPr>
          <w:p w:rsidR="003E6989" w:rsidRDefault="003E6989" w:rsidP="006A5410">
            <w:pPr>
              <w:pStyle w:val="Policytextboxtable"/>
              <w:spacing w:before="60" w:after="20" w:line="240" w:lineRule="auto"/>
            </w:pPr>
          </w:p>
        </w:tc>
        <w:tc>
          <w:tcPr>
            <w:tcW w:w="3402" w:type="dxa"/>
            <w:tcBorders>
              <w:top w:val="single" w:sz="4" w:space="0" w:color="auto"/>
              <w:left w:val="single" w:sz="4" w:space="0" w:color="auto"/>
              <w:bottom w:val="single" w:sz="4" w:space="0" w:color="auto"/>
              <w:right w:val="single" w:sz="4" w:space="0" w:color="auto"/>
            </w:tcBorders>
            <w:shd w:val="clear" w:color="FFFFFF" w:fill="FFFFFF"/>
            <w:noWrap/>
          </w:tcPr>
          <w:p w:rsidR="003E6989" w:rsidRPr="008D65EB" w:rsidRDefault="003E6989" w:rsidP="006A5410">
            <w:pPr>
              <w:spacing w:before="60" w:after="20" w:line="240" w:lineRule="auto"/>
              <w:rPr>
                <w:rFonts w:asciiTheme="minorHAnsi" w:hAnsiTheme="minorHAnsi"/>
              </w:rPr>
            </w:pPr>
            <w:r w:rsidRPr="008D65EB">
              <w:rPr>
                <w:rFonts w:asciiTheme="minorHAnsi" w:hAnsiTheme="minorHAnsi"/>
              </w:rPr>
              <w:t>Infrastructure, plant and equipment</w:t>
            </w:r>
          </w:p>
        </w:tc>
        <w:tc>
          <w:tcPr>
            <w:tcW w:w="4253" w:type="dxa"/>
            <w:tcBorders>
              <w:top w:val="single" w:sz="4" w:space="0" w:color="auto"/>
              <w:left w:val="single" w:sz="4" w:space="0" w:color="auto"/>
              <w:bottom w:val="single" w:sz="4" w:space="0" w:color="auto"/>
              <w:right w:val="single" w:sz="4" w:space="0" w:color="auto"/>
            </w:tcBorders>
            <w:shd w:val="clear" w:color="FFFFFF" w:fill="FFFFFF"/>
            <w:noWrap/>
          </w:tcPr>
          <w:p w:rsidR="003E6989" w:rsidRPr="008D65EB" w:rsidRDefault="003E6989" w:rsidP="006A5410">
            <w:pPr>
              <w:spacing w:before="60" w:after="20" w:line="240" w:lineRule="auto"/>
              <w:rPr>
                <w:rFonts w:asciiTheme="minorHAnsi" w:hAnsiTheme="minorHAnsi"/>
              </w:rPr>
            </w:pPr>
            <w:r w:rsidRPr="008D65EB">
              <w:rPr>
                <w:rFonts w:asciiTheme="minorHAnsi" w:hAnsiTheme="minorHAnsi"/>
              </w:rPr>
              <w:t>3-25 years</w:t>
            </w:r>
          </w:p>
        </w:tc>
        <w:tc>
          <w:tcPr>
            <w:tcW w:w="700" w:type="dxa"/>
            <w:tcBorders>
              <w:top w:val="nil"/>
              <w:left w:val="single" w:sz="4" w:space="0" w:color="auto"/>
              <w:bottom w:val="nil"/>
              <w:right w:val="single" w:sz="4" w:space="0" w:color="009560"/>
            </w:tcBorders>
            <w:shd w:val="clear" w:color="FFFFFF" w:fill="FFFFFF"/>
            <w:noWrap/>
            <w:vAlign w:val="bottom"/>
          </w:tcPr>
          <w:p w:rsidR="003E6989" w:rsidRDefault="003E6989" w:rsidP="006A5410">
            <w:pPr>
              <w:pStyle w:val="Policytextboxtable"/>
              <w:spacing w:before="60" w:after="20" w:line="240" w:lineRule="auto"/>
            </w:pPr>
          </w:p>
        </w:tc>
      </w:tr>
    </w:tbl>
    <w:p w:rsidR="003E6989" w:rsidRPr="00571BFD" w:rsidRDefault="003E6989" w:rsidP="003E6989">
      <w:pPr>
        <w:pStyle w:val="PolicyTextdeptunderline"/>
        <w:pBdr>
          <w:top w:val="none" w:sz="0" w:space="0" w:color="auto"/>
        </w:pBdr>
        <w:spacing w:before="100" w:after="100" w:line="240" w:lineRule="auto"/>
      </w:pPr>
      <w:r w:rsidRPr="00F43C3B">
        <w:t>Impairment</w:t>
      </w:r>
    </w:p>
    <w:p w:rsidR="003E6989" w:rsidRPr="00571BFD" w:rsidRDefault="003E6989" w:rsidP="003E6989">
      <w:pPr>
        <w:pStyle w:val="PolicytextDept"/>
        <w:pBdr>
          <w:top w:val="none" w:sz="0" w:space="0" w:color="auto"/>
        </w:pBdr>
        <w:spacing w:before="100" w:after="100" w:line="240" w:lineRule="auto"/>
      </w:pPr>
      <w:r w:rsidRPr="00F43C3B">
        <w:t xml:space="preserve">All assets were assessed for impairment at 30 June </w:t>
      </w:r>
      <w:r w:rsidR="00403CAE">
        <w:t>2016</w:t>
      </w:r>
      <w:r w:rsidRPr="00F43C3B">
        <w:t>.  Where indications of impairment exist, the asset’s recoverable amount is estimated and an impairment adjustment made if the asset’s recoverable amount is less than its carrying amount.</w:t>
      </w:r>
    </w:p>
    <w:p w:rsidR="003E6989" w:rsidRPr="00571BFD" w:rsidRDefault="003E6989" w:rsidP="003E6989">
      <w:pPr>
        <w:pStyle w:val="PolicyTextdeptunderline"/>
        <w:pBdr>
          <w:top w:val="none" w:sz="0" w:space="0" w:color="auto"/>
        </w:pBdr>
        <w:spacing w:before="100" w:after="100" w:line="240" w:lineRule="auto"/>
      </w:pPr>
      <w:r w:rsidRPr="00F43C3B">
        <w:t>Derecognition</w:t>
      </w:r>
    </w:p>
    <w:p w:rsidR="003E6989" w:rsidRPr="00571BFD" w:rsidRDefault="003E6989" w:rsidP="003E6989">
      <w:pPr>
        <w:pStyle w:val="PolicytextDept"/>
        <w:pBdr>
          <w:top w:val="none" w:sz="0" w:space="0" w:color="auto"/>
        </w:pBdr>
        <w:spacing w:before="100" w:after="100" w:line="240" w:lineRule="auto"/>
      </w:pPr>
      <w:r w:rsidRPr="00F43C3B">
        <w:t>An item of infrastructure, plant and equipment is derecognised upon disposal or when no further future economic benefits are expected from its use or disposal</w:t>
      </w:r>
      <w:r>
        <w:t>.</w:t>
      </w:r>
    </w:p>
    <w:p w:rsidR="003E6989" w:rsidRPr="00571BFD" w:rsidRDefault="003E6989" w:rsidP="003E6989">
      <w:pPr>
        <w:pStyle w:val="PolicyTextdeptunderline"/>
        <w:pBdr>
          <w:top w:val="none" w:sz="0" w:space="0" w:color="auto"/>
        </w:pBdr>
        <w:spacing w:before="100" w:after="100" w:line="240" w:lineRule="auto"/>
        <w:rPr>
          <w:lang w:eastAsia="en-AU"/>
        </w:rPr>
      </w:pPr>
      <w:r w:rsidRPr="00571BFD">
        <w:rPr>
          <w:lang w:eastAsia="en-AU"/>
        </w:rPr>
        <w:t xml:space="preserve">Assets not previously recognised </w:t>
      </w:r>
    </w:p>
    <w:p w:rsidR="003E6989" w:rsidRDefault="003E6989" w:rsidP="003E6989">
      <w:pPr>
        <w:pStyle w:val="PolicytextDept"/>
        <w:pBdr>
          <w:top w:val="none" w:sz="0" w:space="0" w:color="auto"/>
        </w:pBdr>
        <w:spacing w:before="100" w:after="100" w:line="240" w:lineRule="auto"/>
      </w:pPr>
      <w:r w:rsidRPr="00571BFD">
        <w:rPr>
          <w:lang w:eastAsia="en-AU"/>
        </w:rPr>
        <w:t xml:space="preserve">Assets </w:t>
      </w:r>
      <w:r w:rsidRPr="00571BFD">
        <w:t>were</w:t>
      </w:r>
      <w:r w:rsidRPr="00571BFD">
        <w:rPr>
          <w:lang w:eastAsia="en-AU"/>
        </w:rPr>
        <w:t xml:space="preserve"> brought to account as </w:t>
      </w:r>
      <w:r w:rsidRPr="00571BFD">
        <w:t>part</w:t>
      </w:r>
      <w:r w:rsidRPr="00571BFD">
        <w:rPr>
          <w:lang w:eastAsia="en-AU"/>
        </w:rPr>
        <w:t xml:space="preserve"> of infrastructure, plant &amp; equipment and intangibles for the first time as at </w:t>
      </w:r>
      <w:r>
        <w:rPr>
          <w:lang w:eastAsia="en-AU"/>
        </w:rPr>
        <w:br/>
      </w:r>
      <w:r w:rsidRPr="00571BFD">
        <w:rPr>
          <w:lang w:eastAsia="en-AU"/>
        </w:rPr>
        <w:t>30 June 2015.</w:t>
      </w:r>
    </w:p>
    <w:p w:rsidR="003E6989" w:rsidRPr="006F5FD7" w:rsidRDefault="003E6989" w:rsidP="003E6989">
      <w:pPr>
        <w:pStyle w:val="PolicyTextdeptunderline"/>
        <w:pBdr>
          <w:top w:val="none" w:sz="0" w:space="0" w:color="auto"/>
        </w:pBdr>
        <w:spacing w:before="100" w:after="100" w:line="240" w:lineRule="auto"/>
      </w:pPr>
      <w:r w:rsidRPr="006F5FD7">
        <w:t>Intangibles</w:t>
      </w:r>
    </w:p>
    <w:p w:rsidR="003E6989" w:rsidRPr="00571BFD" w:rsidRDefault="003E6989" w:rsidP="003E6989">
      <w:pPr>
        <w:pStyle w:val="PolicytextDept"/>
        <w:pBdr>
          <w:top w:val="none" w:sz="0" w:space="0" w:color="auto"/>
        </w:pBdr>
        <w:spacing w:before="100" w:after="100" w:line="240" w:lineRule="auto"/>
      </w:pPr>
      <w:r w:rsidRPr="00075D25">
        <w:t xml:space="preserve">The department’s intangibles comprise purchased and internally developed software for internal use. These assets are carried at cost less </w:t>
      </w:r>
      <w:r w:rsidRPr="00571BFD">
        <w:t>accumulated amortisation and accumulated impairment losses. Purchases costing less than $200,000 are expensed in the year of acquisition (other than where they form part of a group of similar items which are significant in total).</w:t>
      </w:r>
    </w:p>
    <w:p w:rsidR="003E6989" w:rsidRPr="00571BFD" w:rsidRDefault="003E6989" w:rsidP="003E6989">
      <w:pPr>
        <w:pStyle w:val="PolicytextDept"/>
        <w:pBdr>
          <w:top w:val="none" w:sz="0" w:space="0" w:color="auto"/>
        </w:pBdr>
        <w:spacing w:before="100" w:after="100" w:line="240" w:lineRule="auto"/>
      </w:pPr>
      <w:r w:rsidRPr="00571BFD">
        <w:t>Software is amortised on a straight-line basis over its anticipated useful life.  The useful lives of the department’s software are 2–15 years.</w:t>
      </w:r>
      <w:r w:rsidRPr="00571BFD">
        <w:tab/>
      </w:r>
    </w:p>
    <w:p w:rsidR="003E6989" w:rsidRPr="00571BFD" w:rsidRDefault="003E6989" w:rsidP="003E6989">
      <w:pPr>
        <w:pStyle w:val="PolicytextDept"/>
        <w:pBdr>
          <w:top w:val="none" w:sz="0" w:space="0" w:color="auto"/>
        </w:pBdr>
        <w:spacing w:before="100" w:after="100" w:line="240" w:lineRule="auto"/>
      </w:pPr>
      <w:r w:rsidRPr="00571BFD">
        <w:t xml:space="preserve">All software assets were assessed for indications of impairment as at 30 June </w:t>
      </w:r>
      <w:r w:rsidR="00403CAE">
        <w:t>2016</w:t>
      </w:r>
      <w:r w:rsidRPr="00571BFD">
        <w:t>.</w:t>
      </w:r>
    </w:p>
    <w:p w:rsidR="003E6989" w:rsidRDefault="003E6989" w:rsidP="003E6989"/>
    <w:p w:rsidR="003E6989" w:rsidRDefault="003E6989" w:rsidP="003E6989">
      <w:r>
        <w:br w:type="page"/>
      </w:r>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rPr>
            </w:pPr>
            <w:bookmarkStart w:id="335" w:name="Note_ONATABLE1" w:colFirst="0" w:colLast="0"/>
            <w:r>
              <w:rPr>
                <w:rFonts w:cs="Calibri"/>
                <w:b/>
                <w:bCs/>
                <w:szCs w:val="18"/>
              </w:rPr>
              <w:lastRenderedPageBreak/>
              <w:t> </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2016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2015</w:t>
            </w:r>
          </w:p>
        </w:tc>
      </w:tr>
      <w:bookmarkEnd w:id="335"/>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r>
              <w:rPr>
                <w:rFonts w:cs="Calibri"/>
                <w:b/>
                <w:bCs/>
                <w:szCs w:val="18"/>
                <w:u w:val="single"/>
              </w:rPr>
              <w:t>3.2B: Other non-financial assets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$'000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Prepayments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10,126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10,728</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other non-financial assets</w:t>
            </w:r>
          </w:p>
        </w:tc>
        <w:tc>
          <w:tcPr>
            <w:tcW w:w="123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10,126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10,728</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 xml:space="preserve">Total other non-financial assets expected to be recovered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No more than 12 months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8,005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9,104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More than 12 months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2,121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1,624 </w:t>
            </w:r>
          </w:p>
        </w:tc>
      </w:tr>
      <w:tr w:rsidR="003E6989" w:rsidTr="006A5410">
        <w:trPr>
          <w:trHeight w:val="270"/>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other non-financial assets</w:t>
            </w:r>
          </w:p>
        </w:tc>
        <w:tc>
          <w:tcPr>
            <w:tcW w:w="1238"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10,126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10,728</w:t>
            </w:r>
          </w:p>
        </w:tc>
      </w:tr>
    </w:tbl>
    <w:p w:rsidR="003E6989" w:rsidRDefault="003E6989" w:rsidP="003E6989">
      <w:pPr>
        <w:spacing w:line="240" w:lineRule="auto"/>
      </w:pPr>
      <w:bookmarkStart w:id="336" w:name="RANGE!E7:H54"/>
      <w:bookmarkStart w:id="337" w:name="RANGE!E7:H50"/>
      <w:bookmarkStart w:id="338" w:name="RANGE!E7:H48"/>
      <w:bookmarkStart w:id="339" w:name="RANGE!E7:H47"/>
      <w:bookmarkStart w:id="340" w:name="RANGE!E7:H46"/>
      <w:bookmarkStart w:id="341" w:name="RANGE!E7:H43"/>
      <w:bookmarkStart w:id="342" w:name="RANGE!E6:H41"/>
      <w:bookmarkStart w:id="343" w:name="RANGE!E6:H47"/>
      <w:bookmarkStart w:id="344" w:name="RANGE!E6:H46"/>
      <w:bookmarkStart w:id="345" w:name="RANGE!E6:J46"/>
      <w:bookmarkStart w:id="346" w:name="RANGE!E6:E47"/>
      <w:bookmarkStart w:id="347" w:name="RANGE!E6:J47"/>
      <w:bookmarkStart w:id="348" w:name="RANGE!E55:H77"/>
      <w:bookmarkStart w:id="349" w:name="RANGE!E52:H74"/>
      <w:bookmarkStart w:id="350" w:name="RANGE!E50:H68"/>
      <w:bookmarkStart w:id="351" w:name="RANGE!E56:H74"/>
      <w:bookmarkStart w:id="352" w:name="RANGE!E55:H73"/>
      <w:bookmarkStart w:id="353" w:name="RANGE!E55:J79"/>
      <w:bookmarkStart w:id="354" w:name="RANGE!E56:J80"/>
      <w:bookmarkStart w:id="355" w:name="RANGE!E63:H89"/>
      <w:bookmarkStart w:id="356" w:name="RANGE!E63:H8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3E6989" w:rsidRDefault="003E6989" w:rsidP="003E6989">
      <w:pPr>
        <w:spacing w:line="240" w:lineRule="auto"/>
      </w:pPr>
      <w:bookmarkStart w:id="357" w:name="_Toc419266949"/>
      <w:r>
        <w:t>No indicators of impairment were found for other non-financial assets.</w:t>
      </w:r>
      <w:bookmarkEnd w:id="357"/>
    </w:p>
    <w:p w:rsidR="003E6989" w:rsidRDefault="003E6989" w:rsidP="003E6989">
      <w:pPr>
        <w:spacing w:line="240" w:lineRule="auto"/>
      </w:pPr>
      <w:r>
        <w:br w:type="page"/>
      </w:r>
    </w:p>
    <w:p w:rsidR="003E6989" w:rsidRPr="00F77629" w:rsidRDefault="003E6989" w:rsidP="003E6989">
      <w:pPr>
        <w:pStyle w:val="SubHeading"/>
      </w:pPr>
      <w:r>
        <w:lastRenderedPageBreak/>
        <w:t xml:space="preserve"> </w:t>
      </w:r>
      <w:bookmarkStart w:id="358" w:name="_Toc455416737"/>
      <w:bookmarkStart w:id="359" w:name="_Toc464726628"/>
      <w:r>
        <w:t>Payables</w:t>
      </w:r>
      <w:bookmarkEnd w:id="358"/>
      <w:bookmarkEnd w:id="359"/>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bookmarkStart w:id="360" w:name="Note_SPATABLE1" w:colFirst="0" w:colLast="0"/>
            <w:r>
              <w:rPr>
                <w:rFonts w:cs="Calibri"/>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2016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2015</w:t>
            </w:r>
          </w:p>
        </w:tc>
      </w:tr>
      <w:bookmarkEnd w:id="360"/>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r>
              <w:rPr>
                <w:rFonts w:cs="Calibri"/>
                <w:b/>
                <w:bCs/>
                <w:szCs w:val="18"/>
                <w:u w:val="single"/>
              </w:rPr>
              <w:t>3.3A: Suppliers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$'000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Trade creditors and accruals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27,100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18,042</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Operating lease rentals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4,563</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5,453</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suppliers</w:t>
            </w:r>
          </w:p>
        </w:tc>
        <w:tc>
          <w:tcPr>
            <w:tcW w:w="123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31,663</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23,495</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Suppliers expected to be settled</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No more than 12 months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28,659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23,438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More than 12 months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3,004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57 </w:t>
            </w:r>
          </w:p>
        </w:tc>
      </w:tr>
      <w:tr w:rsidR="003E6989" w:rsidTr="006A5410">
        <w:trPr>
          <w:trHeight w:val="270"/>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Total suppliers</w:t>
            </w:r>
          </w:p>
        </w:tc>
        <w:tc>
          <w:tcPr>
            <w:tcW w:w="1238"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31,663</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23,495</w:t>
            </w:r>
          </w:p>
        </w:tc>
      </w:tr>
    </w:tbl>
    <w:p w:rsidR="003E6989" w:rsidRDefault="003E6989" w:rsidP="003E6989">
      <w:bookmarkStart w:id="361" w:name="RANGE!D6:D24"/>
      <w:bookmarkStart w:id="362" w:name="RANGE!D6:G24"/>
      <w:bookmarkEnd w:id="361"/>
      <w:bookmarkEnd w:id="362"/>
    </w:p>
    <w:p w:rsidR="003E6989" w:rsidRDefault="003E6989" w:rsidP="003E6989">
      <w:bookmarkStart w:id="363" w:name="_Toc419266951"/>
      <w:r>
        <w:t>Settlement was usually made within 30 days.</w:t>
      </w:r>
      <w:bookmarkEnd w:id="363"/>
    </w:p>
    <w:p w:rsidR="003E6989" w:rsidRDefault="003E6989" w:rsidP="003E6989"/>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bookmarkStart w:id="364" w:name="Note_OPBTABLE1" w:colFirst="0" w:colLast="0"/>
            <w:r>
              <w:rPr>
                <w:rFonts w:cs="Calibri"/>
                <w:b/>
                <w:bCs/>
                <w:szCs w:val="18"/>
                <w:u w:val="single"/>
              </w:rPr>
              <w:t>3.3B: Other payables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bookmarkEnd w:id="364"/>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Wages and salaries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1,340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5,833</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Superannuation</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131</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922</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Separations and redundancies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385</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2,246</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Other employee benefits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542</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111</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Lease incentives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12,565</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13,994</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Unearned income</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5,366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5,189</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Payable to the Official Public Account</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668</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other payables</w:t>
            </w:r>
          </w:p>
        </w:tc>
        <w:tc>
          <w:tcPr>
            <w:tcW w:w="123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20,329</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28,963</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Other payables expected to be settled</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No more than 12 months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9,236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17,434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More than 12 months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11,093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11,529 </w:t>
            </w:r>
          </w:p>
        </w:tc>
      </w:tr>
      <w:tr w:rsidR="003E6989" w:rsidTr="006A5410">
        <w:trPr>
          <w:trHeight w:val="270"/>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other payables</w:t>
            </w:r>
          </w:p>
        </w:tc>
        <w:tc>
          <w:tcPr>
            <w:tcW w:w="1238"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20,329</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28,963</w:t>
            </w:r>
          </w:p>
        </w:tc>
      </w:tr>
    </w:tbl>
    <w:p w:rsidR="003E6989" w:rsidRDefault="003E6989" w:rsidP="003E6989"/>
    <w:p w:rsidR="003E6989" w:rsidRDefault="003E6989" w:rsidP="003E6989">
      <w:pPr>
        <w:pStyle w:val="PolicyTextboxbold"/>
        <w:rPr>
          <w:lang w:eastAsia="en-AU"/>
        </w:rPr>
      </w:pPr>
      <w:r>
        <w:rPr>
          <w:lang w:eastAsia="en-AU"/>
        </w:rPr>
        <w:t>Accounting Policy</w:t>
      </w:r>
    </w:p>
    <w:p w:rsidR="003E6989" w:rsidRDefault="003E6989" w:rsidP="003E6989">
      <w:pPr>
        <w:pStyle w:val="PolicyTextdeptunderline"/>
        <w:rPr>
          <w:lang w:eastAsia="en-AU"/>
        </w:rPr>
      </w:pPr>
      <w:r>
        <w:rPr>
          <w:lang w:eastAsia="en-AU"/>
        </w:rPr>
        <w:t>Financial Liabilities</w:t>
      </w:r>
    </w:p>
    <w:p w:rsidR="003E6989" w:rsidRDefault="003E6989" w:rsidP="003E6989">
      <w:pPr>
        <w:pStyle w:val="PolicytextDept"/>
        <w:rPr>
          <w:lang w:eastAsia="en-AU"/>
        </w:rPr>
      </w:pPr>
      <w:r>
        <w:t>Supplier and other payables are recognised at amortised cost. Liabilities are recognised to the extent that the goods or services have been received (and irrespective of having been invoiced). Supplier and other payables are derecognised on payment.</w:t>
      </w:r>
    </w:p>
    <w:p w:rsidR="003E6989" w:rsidRPr="00023CEA" w:rsidRDefault="003E6989" w:rsidP="003E6989">
      <w:pPr>
        <w:pStyle w:val="PolicyTextdeptunderline"/>
        <w:rPr>
          <w:lang w:eastAsia="en-AU"/>
        </w:rPr>
      </w:pPr>
      <w:r w:rsidRPr="00023CEA">
        <w:rPr>
          <w:lang w:eastAsia="en-AU"/>
        </w:rPr>
        <w:t xml:space="preserve">Lease incentives </w:t>
      </w:r>
    </w:p>
    <w:p w:rsidR="003E6989" w:rsidRDefault="003E6989" w:rsidP="003E6989">
      <w:pPr>
        <w:pStyle w:val="PolicytextDept"/>
      </w:pPr>
      <w:r w:rsidRPr="00023CEA">
        <w:rPr>
          <w:rFonts w:cs="Calibri"/>
          <w:color w:val="000000"/>
          <w:szCs w:val="18"/>
          <w:lang w:eastAsia="en-AU"/>
        </w:rPr>
        <w:t>Lease incentives taking the form of ‘free’ leasehold improvements and rent free holidays are recognised as liabilities. These liabilities are reduced by allocating lease payments between rental expense and reduction of the liability.</w:t>
      </w:r>
    </w:p>
    <w:p w:rsidR="003E6989" w:rsidRDefault="003E6989" w:rsidP="003E6989">
      <w:r>
        <w:br w:type="page"/>
      </w:r>
      <w:bookmarkStart w:id="365" w:name="RANGE!D7:G23"/>
      <w:bookmarkEnd w:id="365"/>
    </w:p>
    <w:p w:rsidR="003E6989" w:rsidRDefault="003E6989" w:rsidP="003E6989">
      <w:pPr>
        <w:pStyle w:val="SubHeading"/>
      </w:pPr>
      <w:bookmarkStart w:id="366" w:name="_Toc443991914"/>
      <w:bookmarkStart w:id="367" w:name="_Toc443991958"/>
      <w:bookmarkStart w:id="368" w:name="_Toc443992020"/>
      <w:bookmarkStart w:id="369" w:name="_Toc443992065"/>
      <w:bookmarkStart w:id="370" w:name="_Toc455416738"/>
      <w:bookmarkStart w:id="371" w:name="_Toc464726629"/>
      <w:bookmarkEnd w:id="366"/>
      <w:bookmarkEnd w:id="367"/>
      <w:bookmarkEnd w:id="368"/>
      <w:bookmarkEnd w:id="369"/>
      <w:r>
        <w:lastRenderedPageBreak/>
        <w:t>Other Provisions</w:t>
      </w:r>
      <w:bookmarkEnd w:id="370"/>
      <w:bookmarkEnd w:id="371"/>
    </w:p>
    <w:p w:rsidR="003E6989" w:rsidRDefault="003E6989" w:rsidP="003E6989">
      <w:pPr>
        <w:pStyle w:val="12line"/>
        <w:rPr>
          <w:lang w:eastAsia="en-AU"/>
        </w:rPr>
      </w:pPr>
      <w:bookmarkStart w:id="372" w:name="RANGE!D7:H17"/>
      <w:bookmarkEnd w:id="372"/>
    </w:p>
    <w:tbl>
      <w:tblPr>
        <w:tblW w:w="9087" w:type="dxa"/>
        <w:tblInd w:w="80" w:type="dxa"/>
        <w:tblLayout w:type="fixed"/>
        <w:tblLook w:val="04A0" w:firstRow="1" w:lastRow="0" w:firstColumn="1" w:lastColumn="0" w:noHBand="0" w:noVBand="1"/>
      </w:tblPr>
      <w:tblGrid>
        <w:gridCol w:w="3301"/>
        <w:gridCol w:w="1183"/>
        <w:gridCol w:w="1223"/>
        <w:gridCol w:w="1203"/>
        <w:gridCol w:w="1180"/>
        <w:gridCol w:w="997"/>
      </w:tblGrid>
      <w:tr w:rsidR="003E6989" w:rsidTr="006A5410">
        <w:trPr>
          <w:trHeight w:val="255"/>
        </w:trPr>
        <w:tc>
          <w:tcPr>
            <w:tcW w:w="9005" w:type="dxa"/>
            <w:gridSpan w:val="6"/>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bookmarkStart w:id="373" w:name="RANGE!D8:D20"/>
            <w:bookmarkStart w:id="374" w:name="Note_ROPTABLE1" w:colFirst="0" w:colLast="0"/>
            <w:r>
              <w:rPr>
                <w:rFonts w:cs="Calibri"/>
                <w:b/>
                <w:bCs/>
                <w:szCs w:val="18"/>
                <w:u w:val="single"/>
              </w:rPr>
              <w:t>3.4A: Other provisions</w:t>
            </w:r>
            <w:bookmarkEnd w:id="373"/>
          </w:p>
        </w:tc>
      </w:tr>
      <w:bookmarkEnd w:id="374"/>
      <w:tr w:rsidR="003E6989" w:rsidTr="006A5410">
        <w:trPr>
          <w:trHeight w:val="255"/>
        </w:trPr>
        <w:tc>
          <w:tcPr>
            <w:tcW w:w="3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w:t>
            </w:r>
          </w:p>
        </w:tc>
        <w:tc>
          <w:tcPr>
            <w:tcW w:w="11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w:t>
            </w:r>
          </w:p>
        </w:tc>
        <w:tc>
          <w:tcPr>
            <w:tcW w:w="121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w:t>
            </w:r>
          </w:p>
        </w:tc>
        <w:tc>
          <w:tcPr>
            <w:tcW w:w="119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w:t>
            </w:r>
          </w:p>
        </w:tc>
        <w:tc>
          <w:tcPr>
            <w:tcW w:w="1169"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w:t>
            </w:r>
          </w:p>
        </w:tc>
        <w:tc>
          <w:tcPr>
            <w:tcW w:w="988"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w:t>
            </w:r>
          </w:p>
        </w:tc>
      </w:tr>
      <w:tr w:rsidR="003E6989" w:rsidTr="006A5410">
        <w:trPr>
          <w:trHeight w:val="720"/>
        </w:trPr>
        <w:tc>
          <w:tcPr>
            <w:tcW w:w="3272" w:type="dxa"/>
            <w:tcBorders>
              <w:top w:val="single" w:sz="4" w:space="0" w:color="auto"/>
              <w:left w:val="nil"/>
              <w:bottom w:val="nil"/>
              <w:right w:val="nil"/>
            </w:tcBorders>
            <w:shd w:val="clear" w:color="FFFFFF" w:fill="FFFFFF"/>
            <w:vAlign w:val="bottom"/>
            <w:hideMark/>
          </w:tcPr>
          <w:p w:rsidR="003E6989" w:rsidRDefault="003E6989" w:rsidP="006A5410">
            <w:pPr>
              <w:rPr>
                <w:rFonts w:ascii="Arial" w:hAnsi="Arial" w:cs="Arial"/>
                <w:szCs w:val="18"/>
              </w:rPr>
            </w:pPr>
            <w:r>
              <w:rPr>
                <w:rFonts w:ascii="Arial" w:hAnsi="Arial" w:cs="Arial"/>
                <w:szCs w:val="18"/>
              </w:rPr>
              <w:t> </w:t>
            </w:r>
          </w:p>
        </w:tc>
        <w:tc>
          <w:tcPr>
            <w:tcW w:w="1172" w:type="dxa"/>
            <w:tcBorders>
              <w:top w:val="single" w:sz="4" w:space="0" w:color="auto"/>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Provision for legal obligations</w:t>
            </w:r>
          </w:p>
        </w:tc>
        <w:tc>
          <w:tcPr>
            <w:tcW w:w="1212" w:type="dxa"/>
            <w:tcBorders>
              <w:top w:val="single" w:sz="4" w:space="0" w:color="auto"/>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Provision for restoration obligations</w:t>
            </w:r>
          </w:p>
        </w:tc>
        <w:tc>
          <w:tcPr>
            <w:tcW w:w="1192" w:type="dxa"/>
            <w:tcBorders>
              <w:top w:val="single" w:sz="4" w:space="0" w:color="auto"/>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Provision for surplus lease space</w:t>
            </w:r>
          </w:p>
        </w:tc>
        <w:tc>
          <w:tcPr>
            <w:tcW w:w="1169" w:type="dxa"/>
            <w:tcBorders>
              <w:top w:val="single" w:sz="4" w:space="0" w:color="auto"/>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Provision for onerous contract</w:t>
            </w:r>
          </w:p>
        </w:tc>
        <w:tc>
          <w:tcPr>
            <w:tcW w:w="988" w:type="dxa"/>
            <w:tcBorders>
              <w:top w:val="single" w:sz="4" w:space="0" w:color="auto"/>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Total</w:t>
            </w:r>
          </w:p>
        </w:tc>
      </w:tr>
      <w:tr w:rsidR="003E6989" w:rsidTr="006A5410">
        <w:trPr>
          <w:trHeight w:val="255"/>
        </w:trPr>
        <w:tc>
          <w:tcPr>
            <w:tcW w:w="3272" w:type="dxa"/>
            <w:tcBorders>
              <w:top w:val="nil"/>
              <w:left w:val="nil"/>
              <w:bottom w:val="single" w:sz="4" w:space="0" w:color="auto"/>
              <w:right w:val="nil"/>
            </w:tcBorders>
            <w:shd w:val="clear" w:color="FFFFFF" w:fill="FFFFFF"/>
            <w:vAlign w:val="bottom"/>
            <w:hideMark/>
          </w:tcPr>
          <w:p w:rsidR="003E6989" w:rsidRDefault="003E6989" w:rsidP="006A5410">
            <w:pPr>
              <w:rPr>
                <w:rFonts w:ascii="Arial" w:hAnsi="Arial" w:cs="Arial"/>
                <w:szCs w:val="18"/>
              </w:rPr>
            </w:pPr>
            <w:r>
              <w:rPr>
                <w:rFonts w:ascii="Arial" w:hAnsi="Arial" w:cs="Arial"/>
                <w:szCs w:val="18"/>
              </w:rPr>
              <w:t> </w:t>
            </w:r>
          </w:p>
        </w:tc>
        <w:tc>
          <w:tcPr>
            <w:tcW w:w="1172" w:type="dxa"/>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1212" w:type="dxa"/>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1192" w:type="dxa"/>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1169" w:type="dxa"/>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988" w:type="dxa"/>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r>
      <w:tr w:rsidR="003E6989" w:rsidTr="006A5410">
        <w:trPr>
          <w:trHeight w:val="255"/>
        </w:trPr>
        <w:tc>
          <w:tcPr>
            <w:tcW w:w="3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As at 1 July 2015</w:t>
            </w:r>
          </w:p>
        </w:tc>
        <w:tc>
          <w:tcPr>
            <w:tcW w:w="1172"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620</w:t>
            </w:r>
          </w:p>
        </w:tc>
        <w:tc>
          <w:tcPr>
            <w:tcW w:w="1212"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320</w:t>
            </w:r>
          </w:p>
        </w:tc>
        <w:tc>
          <w:tcPr>
            <w:tcW w:w="1192"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2,166</w:t>
            </w:r>
          </w:p>
        </w:tc>
        <w:tc>
          <w:tcPr>
            <w:tcW w:w="1169"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98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3,106</w:t>
            </w:r>
          </w:p>
        </w:tc>
      </w:tr>
      <w:tr w:rsidR="003E6989" w:rsidTr="006A5410">
        <w:trPr>
          <w:trHeight w:val="255"/>
        </w:trPr>
        <w:tc>
          <w:tcPr>
            <w:tcW w:w="3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Additional provisions made</w:t>
            </w:r>
          </w:p>
        </w:tc>
        <w:tc>
          <w:tcPr>
            <w:tcW w:w="1172"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1212"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255 </w:t>
            </w:r>
          </w:p>
        </w:tc>
        <w:tc>
          <w:tcPr>
            <w:tcW w:w="1192"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1169"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496 </w:t>
            </w:r>
          </w:p>
        </w:tc>
        <w:tc>
          <w:tcPr>
            <w:tcW w:w="98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751</w:t>
            </w:r>
          </w:p>
        </w:tc>
      </w:tr>
      <w:tr w:rsidR="003E6989" w:rsidTr="006A5410">
        <w:trPr>
          <w:trHeight w:val="255"/>
        </w:trPr>
        <w:tc>
          <w:tcPr>
            <w:tcW w:w="3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Amounts reversed</w:t>
            </w:r>
          </w:p>
        </w:tc>
        <w:tc>
          <w:tcPr>
            <w:tcW w:w="1172"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(79)</w:t>
            </w:r>
          </w:p>
        </w:tc>
        <w:tc>
          <w:tcPr>
            <w:tcW w:w="1212"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(75)</w:t>
            </w:r>
          </w:p>
        </w:tc>
        <w:tc>
          <w:tcPr>
            <w:tcW w:w="1192"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(1,238)</w:t>
            </w:r>
          </w:p>
        </w:tc>
        <w:tc>
          <w:tcPr>
            <w:tcW w:w="1169"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98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(1,392)</w:t>
            </w:r>
          </w:p>
        </w:tc>
      </w:tr>
      <w:tr w:rsidR="003E6989" w:rsidTr="006A5410">
        <w:trPr>
          <w:trHeight w:val="255"/>
        </w:trPr>
        <w:tc>
          <w:tcPr>
            <w:tcW w:w="3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Amounts used</w:t>
            </w:r>
          </w:p>
        </w:tc>
        <w:tc>
          <w:tcPr>
            <w:tcW w:w="1172"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1212"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1192"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(1,127)</w:t>
            </w:r>
          </w:p>
        </w:tc>
        <w:tc>
          <w:tcPr>
            <w:tcW w:w="1169"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98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(1,127)</w:t>
            </w:r>
          </w:p>
        </w:tc>
      </w:tr>
      <w:tr w:rsidR="003E6989" w:rsidTr="006A5410">
        <w:trPr>
          <w:trHeight w:val="480"/>
        </w:trPr>
        <w:tc>
          <w:tcPr>
            <w:tcW w:w="3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Net adjustment due to allocation change in Departments</w:t>
            </w:r>
          </w:p>
        </w:tc>
        <w:tc>
          <w:tcPr>
            <w:tcW w:w="1172"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1212"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1192"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401 </w:t>
            </w:r>
          </w:p>
        </w:tc>
        <w:tc>
          <w:tcPr>
            <w:tcW w:w="1169"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98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401</w:t>
            </w:r>
          </w:p>
        </w:tc>
      </w:tr>
      <w:tr w:rsidR="003E6989" w:rsidTr="006A5410">
        <w:trPr>
          <w:trHeight w:val="255"/>
        </w:trPr>
        <w:tc>
          <w:tcPr>
            <w:tcW w:w="3272" w:type="dxa"/>
            <w:tcBorders>
              <w:top w:val="single" w:sz="4" w:space="0" w:color="auto"/>
              <w:left w:val="nil"/>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Total as at 30 June 2016</w:t>
            </w:r>
          </w:p>
        </w:tc>
        <w:tc>
          <w:tcPr>
            <w:tcW w:w="1172"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541</w:t>
            </w:r>
          </w:p>
        </w:tc>
        <w:tc>
          <w:tcPr>
            <w:tcW w:w="1212"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500</w:t>
            </w:r>
          </w:p>
        </w:tc>
        <w:tc>
          <w:tcPr>
            <w:tcW w:w="1192"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202</w:t>
            </w:r>
          </w:p>
        </w:tc>
        <w:tc>
          <w:tcPr>
            <w:tcW w:w="1169"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496</w:t>
            </w:r>
          </w:p>
        </w:tc>
        <w:tc>
          <w:tcPr>
            <w:tcW w:w="98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1,739</w:t>
            </w:r>
          </w:p>
        </w:tc>
      </w:tr>
    </w:tbl>
    <w:p w:rsidR="003E6989" w:rsidRDefault="003E6989" w:rsidP="003E6989">
      <w:pPr>
        <w:pStyle w:val="12line"/>
        <w:rPr>
          <w:lang w:eastAsia="en-AU"/>
        </w:rPr>
      </w:pPr>
      <w:bookmarkStart w:id="375" w:name="RANGE!D8:I20"/>
      <w:bookmarkStart w:id="376" w:name="RANGE!D8:H20"/>
      <w:bookmarkStart w:id="377" w:name="RANGE!D8:H18"/>
      <w:bookmarkEnd w:id="375"/>
      <w:bookmarkEnd w:id="376"/>
      <w:bookmarkEnd w:id="377"/>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bookmarkStart w:id="378" w:name="Note_OPRTABLE1" w:colFirst="0" w:colLast="0"/>
            <w:r>
              <w:rPr>
                <w:rFonts w:cs="Calibri"/>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2016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2015</w:t>
            </w:r>
          </w:p>
        </w:tc>
      </w:tr>
      <w:bookmarkEnd w:id="378"/>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$'000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Provision for legal obligations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541</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620</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Provision for restoration obligations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500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320</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Provision for surplus lease space</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202</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2,166</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Provision for onerous contract</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496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other provisions</w:t>
            </w:r>
          </w:p>
        </w:tc>
        <w:tc>
          <w:tcPr>
            <w:tcW w:w="123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1,739</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3,106</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Other provisions expected to be settled</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No more than 12 months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1,521</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2,591</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More than 12 months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218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515 </w:t>
            </w:r>
          </w:p>
        </w:tc>
      </w:tr>
      <w:tr w:rsidR="003E6989" w:rsidTr="006A5410">
        <w:trPr>
          <w:trHeight w:val="270"/>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other provisions</w:t>
            </w:r>
          </w:p>
        </w:tc>
        <w:tc>
          <w:tcPr>
            <w:tcW w:w="1238"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1,739</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3,106</w:t>
            </w:r>
          </w:p>
        </w:tc>
      </w:tr>
    </w:tbl>
    <w:p w:rsidR="003E6989" w:rsidRPr="007531DA" w:rsidRDefault="003E6989" w:rsidP="003E6989">
      <w:pPr>
        <w:pStyle w:val="12line"/>
        <w:rPr>
          <w:lang w:eastAsia="en-AU"/>
        </w:rPr>
      </w:pPr>
      <w:bookmarkStart w:id="379" w:name="RANGE!D7:H19"/>
      <w:bookmarkStart w:id="380" w:name="RANGE!D7:H18"/>
      <w:bookmarkEnd w:id="379"/>
      <w:bookmarkEnd w:id="380"/>
    </w:p>
    <w:p w:rsidR="003E6989" w:rsidRDefault="003E6989" w:rsidP="003E6989">
      <w:pPr>
        <w:pStyle w:val="AdminBlankGreyShade"/>
      </w:pPr>
      <w:r>
        <w:t xml:space="preserve">The department currently has two (2015: two) agreements for the leasing of premises which have provisions requiring the department to restore the premises to their original condition at the conclusion of the lease. The department </w:t>
      </w:r>
      <w:r w:rsidRPr="00DC68A9">
        <w:t>has</w:t>
      </w:r>
      <w:r>
        <w:t xml:space="preserve"> made a provision to reflect the present value of this obligation.</w:t>
      </w:r>
    </w:p>
    <w:p w:rsidR="003E6989" w:rsidRDefault="003E6989" w:rsidP="003E6989">
      <w:pPr>
        <w:pStyle w:val="12line"/>
        <w:rPr>
          <w:lang w:eastAsia="en-AU"/>
        </w:rPr>
      </w:pPr>
    </w:p>
    <w:p w:rsidR="003E6989" w:rsidRPr="00551BF9" w:rsidRDefault="003E6989" w:rsidP="003E6989">
      <w:pPr>
        <w:spacing w:line="240" w:lineRule="auto"/>
        <w:rPr>
          <w:sz w:val="20"/>
          <w:lang w:eastAsia="en-AU"/>
        </w:rPr>
        <w:sectPr w:rsidR="003E6989" w:rsidRPr="00551BF9" w:rsidSect="006A5410">
          <w:pgSz w:w="11906" w:h="16838"/>
          <w:pgMar w:top="1134" w:right="1134" w:bottom="1134" w:left="1134" w:header="958" w:footer="737" w:gutter="0"/>
          <w:cols w:space="720"/>
        </w:sectPr>
      </w:pPr>
      <w:r>
        <w:rPr>
          <w:lang w:eastAsia="en-AU"/>
        </w:rPr>
        <w:br w:type="page"/>
      </w:r>
    </w:p>
    <w:p w:rsidR="003E6989" w:rsidRDefault="003E6989" w:rsidP="003E6989">
      <w:pPr>
        <w:pStyle w:val="SectionHeading"/>
      </w:pPr>
      <w:bookmarkStart w:id="381" w:name="RANGE!D7:D23"/>
      <w:bookmarkStart w:id="382" w:name="_Toc455416739"/>
      <w:bookmarkStart w:id="383" w:name="_Toc463440701"/>
      <w:bookmarkStart w:id="384" w:name="_Toc464726286"/>
      <w:bookmarkStart w:id="385" w:name="_Toc464726630"/>
      <w:bookmarkEnd w:id="381"/>
      <w:r>
        <w:lastRenderedPageBreak/>
        <w:t>Assets and Liabilities Administered on Behalf of Government</w:t>
      </w:r>
      <w:bookmarkEnd w:id="382"/>
      <w:bookmarkEnd w:id="383"/>
      <w:bookmarkEnd w:id="384"/>
      <w:bookmarkEnd w:id="385"/>
    </w:p>
    <w:p w:rsidR="003E6989" w:rsidRPr="00B34BA0" w:rsidRDefault="003E6989" w:rsidP="003E6989">
      <w:bookmarkStart w:id="386" w:name="_Toc443991921"/>
      <w:bookmarkStart w:id="387" w:name="_Toc443991965"/>
      <w:bookmarkStart w:id="388" w:name="_Toc443992027"/>
      <w:bookmarkStart w:id="389" w:name="_Toc443992072"/>
      <w:bookmarkStart w:id="390" w:name="_Toc443992552"/>
      <w:bookmarkStart w:id="391" w:name="_Toc444001425"/>
      <w:bookmarkStart w:id="392" w:name="_Toc444260021"/>
      <w:bookmarkStart w:id="393" w:name="_Toc445116328"/>
      <w:bookmarkStart w:id="394" w:name="_Toc447095784"/>
      <w:bookmarkStart w:id="395" w:name="_Toc447095831"/>
      <w:bookmarkStart w:id="396" w:name="_Toc447095874"/>
      <w:bookmarkStart w:id="397" w:name="_Toc447096070"/>
      <w:bookmarkStart w:id="398" w:name="_Toc447796064"/>
      <w:bookmarkEnd w:id="386"/>
      <w:bookmarkEnd w:id="387"/>
      <w:bookmarkEnd w:id="388"/>
      <w:bookmarkEnd w:id="389"/>
      <w:bookmarkEnd w:id="390"/>
      <w:bookmarkEnd w:id="391"/>
      <w:bookmarkEnd w:id="392"/>
      <w:bookmarkEnd w:id="393"/>
      <w:bookmarkEnd w:id="394"/>
      <w:bookmarkEnd w:id="395"/>
      <w:bookmarkEnd w:id="396"/>
      <w:bookmarkEnd w:id="397"/>
      <w:bookmarkEnd w:id="398"/>
    </w:p>
    <w:p w:rsidR="003E6989" w:rsidRDefault="003E6989" w:rsidP="003E6989">
      <w:pPr>
        <w:pStyle w:val="SubHeading"/>
      </w:pPr>
      <w:bookmarkStart w:id="399" w:name="_Toc455416740"/>
      <w:bookmarkStart w:id="400" w:name="_Toc464726631"/>
      <w:r>
        <w:t>Administered – Financial Assets</w:t>
      </w:r>
      <w:bookmarkEnd w:id="399"/>
      <w:bookmarkEnd w:id="400"/>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bookmarkStart w:id="401" w:name="Note_ACSTABLE1" w:colFirst="0" w:colLast="0"/>
            <w:r>
              <w:rPr>
                <w:rFonts w:ascii="Arial" w:hAnsi="Arial" w:cs="Arial"/>
                <w:sz w:val="16"/>
                <w:szCs w:val="16"/>
              </w:rPr>
              <w:t> </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2016</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2015</w:t>
            </w:r>
          </w:p>
        </w:tc>
      </w:tr>
      <w:bookmarkEnd w:id="401"/>
      <w:tr w:rsidR="003E6989" w:rsidTr="006A5410">
        <w:trPr>
          <w:trHeight w:val="255"/>
        </w:trPr>
        <w:tc>
          <w:tcPr>
            <w:tcW w:w="6272" w:type="dxa"/>
            <w:tcBorders>
              <w:top w:val="nil"/>
              <w:left w:val="nil"/>
              <w:bottom w:val="nil"/>
              <w:right w:val="nil"/>
            </w:tcBorders>
            <w:shd w:val="clear" w:color="000000" w:fill="D9D9D9"/>
            <w:noWrap/>
            <w:hideMark/>
          </w:tcPr>
          <w:p w:rsidR="003E6989" w:rsidRDefault="003E6989" w:rsidP="006A5410">
            <w:pPr>
              <w:rPr>
                <w:rFonts w:cs="Calibri"/>
                <w:b/>
                <w:bCs/>
                <w:szCs w:val="18"/>
                <w:u w:val="single"/>
              </w:rPr>
            </w:pPr>
            <w:r>
              <w:rPr>
                <w:rFonts w:cs="Calibri"/>
                <w:b/>
                <w:bCs/>
                <w:szCs w:val="18"/>
                <w:u w:val="single"/>
              </w:rPr>
              <w:t>4.1A: Cash and cash equivalents</w:t>
            </w:r>
          </w:p>
        </w:tc>
        <w:tc>
          <w:tcPr>
            <w:tcW w:w="1238"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$'000</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Special accounts</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72,092</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26,528</w:t>
            </w:r>
          </w:p>
        </w:tc>
      </w:tr>
      <w:tr w:rsidR="003E6989" w:rsidTr="006A5410">
        <w:trPr>
          <w:trHeight w:val="270"/>
        </w:trPr>
        <w:tc>
          <w:tcPr>
            <w:tcW w:w="6272"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cash and cash equivalents</w:t>
            </w:r>
          </w:p>
        </w:tc>
        <w:tc>
          <w:tcPr>
            <w:tcW w:w="1238"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72,092</w:t>
            </w:r>
          </w:p>
        </w:tc>
        <w:tc>
          <w:tcPr>
            <w:tcW w:w="236"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 </w:t>
            </w:r>
          </w:p>
        </w:tc>
        <w:tc>
          <w:tcPr>
            <w:tcW w:w="123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26,528</w:t>
            </w:r>
          </w:p>
        </w:tc>
      </w:tr>
    </w:tbl>
    <w:p w:rsidR="003E6989" w:rsidRDefault="003E6989" w:rsidP="003E6989">
      <w:pPr>
        <w:pStyle w:val="GreyShadeTableBreak"/>
      </w:pPr>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single" w:sz="4" w:space="0" w:color="D9D9D9"/>
              <w:left w:val="nil"/>
              <w:bottom w:val="single" w:sz="4" w:space="0" w:color="D9D9D9"/>
              <w:right w:val="nil"/>
            </w:tcBorders>
            <w:shd w:val="clear" w:color="000000" w:fill="D9D9D9"/>
            <w:noWrap/>
            <w:hideMark/>
          </w:tcPr>
          <w:p w:rsidR="003E6989" w:rsidRDefault="003E6989" w:rsidP="006A5410">
            <w:pPr>
              <w:rPr>
                <w:rFonts w:cs="Calibri"/>
                <w:b/>
                <w:bCs/>
                <w:szCs w:val="18"/>
                <w:u w:val="single"/>
              </w:rPr>
            </w:pPr>
            <w:bookmarkStart w:id="402" w:name="Note_ARETABLE1" w:colFirst="0" w:colLast="0"/>
            <w:r>
              <w:rPr>
                <w:rFonts w:cs="Calibri"/>
                <w:b/>
                <w:bCs/>
                <w:szCs w:val="18"/>
                <w:u w:val="single"/>
              </w:rPr>
              <w:t>4.1B: Receivables</w:t>
            </w:r>
          </w:p>
        </w:tc>
        <w:tc>
          <w:tcPr>
            <w:tcW w:w="1238"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bookmarkEnd w:id="402"/>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Good and services</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Goods and services</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48,482</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39,143</w:t>
            </w:r>
          </w:p>
        </w:tc>
      </w:tr>
      <w:tr w:rsidR="003E6989" w:rsidTr="006A5410">
        <w:trPr>
          <w:trHeight w:val="255"/>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Total receivables for goods and services</w:t>
            </w:r>
          </w:p>
        </w:tc>
        <w:tc>
          <w:tcPr>
            <w:tcW w:w="1238"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48,482</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39,143</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8"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Advances and loans</w:t>
            </w:r>
          </w:p>
        </w:tc>
        <w:tc>
          <w:tcPr>
            <w:tcW w:w="1238"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HECS\HELP</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36,807,652</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30,444,858</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Trade Support Loans</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145,680</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52,960</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Other loans</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591</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w:t>
            </w:r>
          </w:p>
        </w:tc>
      </w:tr>
      <w:tr w:rsidR="003E6989" w:rsidTr="006A5410">
        <w:trPr>
          <w:trHeight w:val="255"/>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Total advances and loans</w:t>
            </w:r>
          </w:p>
        </w:tc>
        <w:tc>
          <w:tcPr>
            <w:tcW w:w="1238"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36,953,923</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30,497,818</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8"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Other receivables</w:t>
            </w:r>
          </w:p>
        </w:tc>
        <w:tc>
          <w:tcPr>
            <w:tcW w:w="1238"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GST receivable from  Australian Taxation Office</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39,821</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16,536</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Higher Education Superannuation Program</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392,000</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382,000</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Personal benefits receivable</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465,440</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w:t>
            </w:r>
          </w:p>
        </w:tc>
      </w:tr>
      <w:tr w:rsidR="003E6989" w:rsidTr="006A5410">
        <w:trPr>
          <w:trHeight w:val="255"/>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Total other receivables</w:t>
            </w:r>
          </w:p>
        </w:tc>
        <w:tc>
          <w:tcPr>
            <w:tcW w:w="1238"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897,261</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398,536</w:t>
            </w:r>
          </w:p>
        </w:tc>
      </w:tr>
      <w:tr w:rsidR="003E6989" w:rsidTr="006A5410">
        <w:trPr>
          <w:trHeight w:val="270"/>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receivables (gross)</w:t>
            </w:r>
          </w:p>
        </w:tc>
        <w:tc>
          <w:tcPr>
            <w:tcW w:w="1238" w:type="dxa"/>
            <w:tcBorders>
              <w:top w:val="nil"/>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37,899,666</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30,935,497</w:t>
            </w:r>
          </w:p>
        </w:tc>
      </w:tr>
      <w:tr w:rsidR="003E6989" w:rsidTr="006A5410">
        <w:trPr>
          <w:trHeight w:val="270"/>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8"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 xml:space="preserve">Less impairment allowance </w:t>
            </w:r>
          </w:p>
        </w:tc>
        <w:tc>
          <w:tcPr>
            <w:tcW w:w="1238"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Goods and services</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(11,557)</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(7,523)</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Personal benefits</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(17,709)</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w:t>
            </w:r>
          </w:p>
        </w:tc>
      </w:tr>
      <w:tr w:rsidR="003E6989" w:rsidTr="006A5410">
        <w:trPr>
          <w:trHeight w:val="255"/>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 xml:space="preserve">Total impairment allowance </w:t>
            </w:r>
          </w:p>
        </w:tc>
        <w:tc>
          <w:tcPr>
            <w:tcW w:w="1238"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(29,266)</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(7,523)</w:t>
            </w:r>
          </w:p>
        </w:tc>
      </w:tr>
      <w:tr w:rsidR="003E6989" w:rsidTr="006A5410">
        <w:trPr>
          <w:trHeight w:val="270"/>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receivables (net)</w:t>
            </w:r>
          </w:p>
        </w:tc>
        <w:tc>
          <w:tcPr>
            <w:tcW w:w="1238" w:type="dxa"/>
            <w:tcBorders>
              <w:top w:val="nil"/>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37,870,400</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30,927,974</w:t>
            </w:r>
          </w:p>
        </w:tc>
      </w:tr>
      <w:tr w:rsidR="003E6989" w:rsidTr="006A5410">
        <w:trPr>
          <w:trHeight w:val="270"/>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8"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Receivables (net) expected to be recovered</w:t>
            </w:r>
          </w:p>
        </w:tc>
        <w:tc>
          <w:tcPr>
            <w:tcW w:w="1238"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No more than 12 months</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486,514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48,156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More than 12 months</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37,383,886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30,879,818 </w:t>
            </w:r>
          </w:p>
        </w:tc>
      </w:tr>
      <w:tr w:rsidR="003E6989" w:rsidTr="006A5410">
        <w:trPr>
          <w:trHeight w:val="255"/>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receivables (net)</w:t>
            </w:r>
          </w:p>
        </w:tc>
        <w:tc>
          <w:tcPr>
            <w:tcW w:w="1238"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37,870,400</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30,927,974</w:t>
            </w:r>
          </w:p>
        </w:tc>
      </w:tr>
    </w:tbl>
    <w:p w:rsidR="003E6989" w:rsidRDefault="003E6989" w:rsidP="003E6989">
      <w:pPr>
        <w:pStyle w:val="GreyShadeTableBreak"/>
      </w:pPr>
      <w:bookmarkStart w:id="403" w:name="RANGE!D7:G53"/>
      <w:bookmarkStart w:id="404" w:name="RANGE!D6:G52"/>
      <w:bookmarkEnd w:id="403"/>
      <w:bookmarkEnd w:id="404"/>
    </w:p>
    <w:p w:rsidR="003E6989" w:rsidRDefault="003E6989" w:rsidP="003E6989">
      <w:pPr>
        <w:spacing w:line="240" w:lineRule="auto"/>
      </w:pPr>
      <w:r>
        <w:br w:type="page"/>
      </w:r>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40"/>
        </w:trPr>
        <w:tc>
          <w:tcPr>
            <w:tcW w:w="6272"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bookmarkStart w:id="405" w:name="RANGE!D40:D84"/>
            <w:bookmarkStart w:id="406" w:name="Note_ARETABLE2" w:colFirst="0" w:colLast="0"/>
            <w:r>
              <w:rPr>
                <w:rFonts w:ascii="Arial" w:hAnsi="Arial" w:cs="Arial"/>
                <w:sz w:val="16"/>
                <w:szCs w:val="16"/>
              </w:rPr>
              <w:lastRenderedPageBreak/>
              <w:t> </w:t>
            </w:r>
            <w:bookmarkEnd w:id="405"/>
          </w:p>
        </w:tc>
        <w:tc>
          <w:tcPr>
            <w:tcW w:w="1238" w:type="dxa"/>
            <w:tcBorders>
              <w:top w:val="single" w:sz="4" w:space="0" w:color="D9D9D9"/>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2016</w:t>
            </w:r>
          </w:p>
        </w:tc>
        <w:tc>
          <w:tcPr>
            <w:tcW w:w="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2015</w:t>
            </w:r>
          </w:p>
        </w:tc>
      </w:tr>
      <w:bookmarkEnd w:id="406"/>
      <w:tr w:rsidR="003E6989" w:rsidTr="006A5410">
        <w:trPr>
          <w:trHeight w:val="240"/>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8"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$'000</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40"/>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Receivables (gross) aged as follows</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40"/>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Not overdue</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37,829,587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30,926,104 </w:t>
            </w:r>
          </w:p>
        </w:tc>
      </w:tr>
      <w:tr w:rsidR="003E6989" w:rsidTr="006A5410">
        <w:trPr>
          <w:trHeight w:val="240"/>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Overdue by</w:t>
            </w:r>
          </w:p>
        </w:tc>
        <w:tc>
          <w:tcPr>
            <w:tcW w:w="1238"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200" w:firstLine="360"/>
              <w:rPr>
                <w:rFonts w:cs="Calibri"/>
                <w:szCs w:val="18"/>
              </w:rPr>
            </w:pPr>
            <w:r>
              <w:rPr>
                <w:rFonts w:cs="Calibri"/>
                <w:szCs w:val="18"/>
              </w:rPr>
              <w:t>0 to 30 days</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299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549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200" w:firstLine="360"/>
              <w:rPr>
                <w:rFonts w:cs="Calibri"/>
                <w:szCs w:val="18"/>
              </w:rPr>
            </w:pPr>
            <w:r>
              <w:rPr>
                <w:rFonts w:cs="Calibri"/>
                <w:szCs w:val="18"/>
              </w:rPr>
              <w:t>31 to 60 days</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170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910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200" w:firstLine="360"/>
              <w:rPr>
                <w:rFonts w:cs="Calibri"/>
                <w:szCs w:val="18"/>
              </w:rPr>
            </w:pPr>
            <w:r>
              <w:rPr>
                <w:rFonts w:cs="Calibri"/>
                <w:szCs w:val="18"/>
              </w:rPr>
              <w:t>61 to 90 days</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77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33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200" w:firstLine="360"/>
              <w:rPr>
                <w:rFonts w:cs="Calibri"/>
                <w:szCs w:val="18"/>
              </w:rPr>
            </w:pPr>
            <w:r>
              <w:rPr>
                <w:rFonts w:cs="Calibri"/>
                <w:szCs w:val="18"/>
              </w:rPr>
              <w:t>More than 90 days</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69,533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7,901 </w:t>
            </w:r>
          </w:p>
        </w:tc>
      </w:tr>
      <w:tr w:rsidR="003E6989" w:rsidTr="006A5410">
        <w:trPr>
          <w:trHeight w:val="240"/>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receivables (gross)</w:t>
            </w:r>
          </w:p>
        </w:tc>
        <w:tc>
          <w:tcPr>
            <w:tcW w:w="1238"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37,899,666</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30,935,497</w:t>
            </w:r>
          </w:p>
        </w:tc>
      </w:tr>
      <w:tr w:rsidR="003E6989" w:rsidTr="006A5410">
        <w:trPr>
          <w:trHeight w:val="240"/>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8"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The impairment allowance aged as follows</w:t>
            </w:r>
          </w:p>
        </w:tc>
        <w:tc>
          <w:tcPr>
            <w:tcW w:w="1238"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Not overdue</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(4,348)</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Overdue by</w:t>
            </w:r>
          </w:p>
        </w:tc>
        <w:tc>
          <w:tcPr>
            <w:tcW w:w="1238"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200" w:firstLine="360"/>
              <w:rPr>
                <w:rFonts w:cs="Calibri"/>
                <w:szCs w:val="18"/>
              </w:rPr>
            </w:pPr>
            <w:r>
              <w:rPr>
                <w:rFonts w:cs="Calibri"/>
                <w:szCs w:val="18"/>
              </w:rPr>
              <w:t>0 to 30 days</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(7)</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(77)</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200" w:firstLine="360"/>
              <w:rPr>
                <w:rFonts w:cs="Calibri"/>
                <w:szCs w:val="18"/>
              </w:rPr>
            </w:pPr>
            <w:r>
              <w:rPr>
                <w:rFonts w:cs="Calibri"/>
                <w:szCs w:val="18"/>
              </w:rPr>
              <w:t>31 to 60 days</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(4)</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200" w:firstLine="360"/>
              <w:rPr>
                <w:rFonts w:cs="Calibri"/>
                <w:szCs w:val="18"/>
              </w:rPr>
            </w:pPr>
            <w:r>
              <w:rPr>
                <w:rFonts w:cs="Calibri"/>
                <w:szCs w:val="18"/>
              </w:rPr>
              <w:t>61 to 90 days</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(23)</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200" w:firstLine="360"/>
              <w:rPr>
                <w:rFonts w:cs="Calibri"/>
                <w:szCs w:val="18"/>
              </w:rPr>
            </w:pPr>
            <w:r>
              <w:rPr>
                <w:rFonts w:cs="Calibri"/>
                <w:szCs w:val="18"/>
              </w:rPr>
              <w:t>More than 90 days</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(24,884)</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(7,446)</w:t>
            </w:r>
          </w:p>
        </w:tc>
      </w:tr>
      <w:tr w:rsidR="003E6989" w:rsidTr="006A5410">
        <w:trPr>
          <w:trHeight w:val="255"/>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 xml:space="preserve">Total impairment allowance </w:t>
            </w:r>
          </w:p>
        </w:tc>
        <w:tc>
          <w:tcPr>
            <w:tcW w:w="1238"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(29,266)</w:t>
            </w:r>
          </w:p>
        </w:tc>
        <w:tc>
          <w:tcPr>
            <w:tcW w:w="236"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(7,523)</w:t>
            </w:r>
          </w:p>
        </w:tc>
      </w:tr>
      <w:tr w:rsidR="003E6989" w:rsidTr="006A5410">
        <w:trPr>
          <w:trHeight w:val="255"/>
        </w:trPr>
        <w:tc>
          <w:tcPr>
            <w:tcW w:w="6272"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 </w:t>
            </w:r>
          </w:p>
        </w:tc>
        <w:tc>
          <w:tcPr>
            <w:tcW w:w="1238"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 </w:t>
            </w:r>
          </w:p>
        </w:tc>
        <w:tc>
          <w:tcPr>
            <w:tcW w:w="23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 </w:t>
            </w:r>
          </w:p>
        </w:tc>
        <w:tc>
          <w:tcPr>
            <w:tcW w:w="123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 </w:t>
            </w:r>
          </w:p>
        </w:tc>
      </w:tr>
      <w:tr w:rsidR="003E6989" w:rsidTr="006A5410">
        <w:trPr>
          <w:trHeight w:val="480"/>
        </w:trPr>
        <w:tc>
          <w:tcPr>
            <w:tcW w:w="8982" w:type="dxa"/>
            <w:gridSpan w:val="4"/>
            <w:tcBorders>
              <w:top w:val="single" w:sz="4" w:space="0" w:color="D9D9D9"/>
              <w:left w:val="nil"/>
              <w:bottom w:val="single" w:sz="4" w:space="0" w:color="D9D9D9"/>
              <w:right w:val="nil"/>
            </w:tcBorders>
            <w:shd w:val="clear" w:color="000000" w:fill="D9D9D9"/>
            <w:vAlign w:val="bottom"/>
            <w:hideMark/>
          </w:tcPr>
          <w:p w:rsidR="003E6989" w:rsidRDefault="003E6989" w:rsidP="006A5410">
            <w:pPr>
              <w:rPr>
                <w:rFonts w:cs="Calibri"/>
                <w:szCs w:val="18"/>
              </w:rPr>
            </w:pPr>
            <w:r>
              <w:rPr>
                <w:rFonts w:cs="Calibri"/>
                <w:szCs w:val="18"/>
              </w:rPr>
              <w:t>Goods and services receivables are with entities external to the Australian Government.  Credit terms are payment within 30 days (2015: 30 days).</w:t>
            </w:r>
          </w:p>
        </w:tc>
      </w:tr>
      <w:tr w:rsidR="003E6989" w:rsidTr="006A5410">
        <w:trPr>
          <w:trHeight w:val="255"/>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 </w:t>
            </w:r>
          </w:p>
        </w:tc>
        <w:tc>
          <w:tcPr>
            <w:tcW w:w="1238"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 </w:t>
            </w:r>
          </w:p>
        </w:tc>
        <w:tc>
          <w:tcPr>
            <w:tcW w:w="1236"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 </w:t>
            </w:r>
          </w:p>
        </w:tc>
      </w:tr>
      <w:tr w:rsidR="003E6989" w:rsidTr="006A5410">
        <w:trPr>
          <w:trHeight w:val="255"/>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Reconciliation of the Impairment Allowance Account:</w:t>
            </w:r>
          </w:p>
        </w:tc>
        <w:tc>
          <w:tcPr>
            <w:tcW w:w="1238"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 </w:t>
            </w:r>
          </w:p>
        </w:tc>
        <w:tc>
          <w:tcPr>
            <w:tcW w:w="1236"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 </w:t>
            </w:r>
          </w:p>
        </w:tc>
      </w:tr>
      <w:tr w:rsidR="003E6989" w:rsidTr="006A5410">
        <w:trPr>
          <w:trHeight w:val="255"/>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 </w:t>
            </w:r>
          </w:p>
        </w:tc>
        <w:tc>
          <w:tcPr>
            <w:tcW w:w="1238"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 </w:t>
            </w:r>
          </w:p>
        </w:tc>
        <w:tc>
          <w:tcPr>
            <w:tcW w:w="1236"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 </w:t>
            </w:r>
          </w:p>
        </w:tc>
      </w:tr>
      <w:tr w:rsidR="003E6989" w:rsidTr="006A5410">
        <w:trPr>
          <w:trHeight w:val="255"/>
        </w:trPr>
        <w:tc>
          <w:tcPr>
            <w:tcW w:w="6272"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Movements in relation to 2016</w:t>
            </w:r>
          </w:p>
        </w:tc>
        <w:tc>
          <w:tcPr>
            <w:tcW w:w="1238"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 </w:t>
            </w:r>
          </w:p>
        </w:tc>
        <w:tc>
          <w:tcPr>
            <w:tcW w:w="23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 </w:t>
            </w:r>
          </w:p>
        </w:tc>
        <w:tc>
          <w:tcPr>
            <w:tcW w:w="123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 </w:t>
            </w:r>
          </w:p>
        </w:tc>
      </w:tr>
      <w:tr w:rsidR="003E6989" w:rsidTr="006A5410">
        <w:trPr>
          <w:trHeight w:val="255"/>
        </w:trPr>
        <w:tc>
          <w:tcPr>
            <w:tcW w:w="6272" w:type="dxa"/>
            <w:tcBorders>
              <w:top w:val="single" w:sz="4" w:space="0" w:color="auto"/>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8" w:type="dxa"/>
            <w:tcBorders>
              <w:top w:val="single" w:sz="4" w:space="0" w:color="auto"/>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Receivables</w:t>
            </w:r>
          </w:p>
        </w:tc>
        <w:tc>
          <w:tcPr>
            <w:tcW w:w="236" w:type="dxa"/>
            <w:tcBorders>
              <w:top w:val="single" w:sz="4" w:space="0" w:color="auto"/>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 </w:t>
            </w:r>
          </w:p>
        </w:tc>
        <w:tc>
          <w:tcPr>
            <w:tcW w:w="1236" w:type="dxa"/>
            <w:tcBorders>
              <w:top w:val="single" w:sz="4" w:space="0" w:color="auto"/>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Total</w:t>
            </w:r>
          </w:p>
        </w:tc>
      </w:tr>
      <w:tr w:rsidR="003E6989" w:rsidTr="006A5410">
        <w:trPr>
          <w:trHeight w:val="255"/>
        </w:trPr>
        <w:tc>
          <w:tcPr>
            <w:tcW w:w="6272" w:type="dxa"/>
            <w:tcBorders>
              <w:top w:val="single" w:sz="4" w:space="0" w:color="D9D9D9"/>
              <w:left w:val="nil"/>
              <w:bottom w:val="single" w:sz="4" w:space="0" w:color="auto"/>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8" w:type="dxa"/>
            <w:tcBorders>
              <w:top w:val="single" w:sz="4" w:space="0" w:color="D9D9D9"/>
              <w:left w:val="nil"/>
              <w:bottom w:val="single" w:sz="4" w:space="0" w:color="auto"/>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$'000</w:t>
            </w:r>
          </w:p>
        </w:tc>
        <w:tc>
          <w:tcPr>
            <w:tcW w:w="236" w:type="dxa"/>
            <w:tcBorders>
              <w:top w:val="single" w:sz="4" w:space="0" w:color="D9D9D9"/>
              <w:left w:val="nil"/>
              <w:bottom w:val="single" w:sz="4" w:space="0" w:color="auto"/>
              <w:right w:val="nil"/>
            </w:tcBorders>
            <w:shd w:val="clear" w:color="000000" w:fill="D9D9D9"/>
            <w:vAlign w:val="bottom"/>
            <w:hideMark/>
          </w:tcPr>
          <w:p w:rsidR="003E6989" w:rsidRDefault="003E6989" w:rsidP="006A5410">
            <w:pPr>
              <w:rPr>
                <w:rFonts w:cs="Calibri"/>
                <w:b/>
                <w:bCs/>
                <w:szCs w:val="18"/>
              </w:rPr>
            </w:pPr>
            <w:r>
              <w:rPr>
                <w:rFonts w:cs="Calibri"/>
                <w:b/>
                <w:bCs/>
                <w:szCs w:val="18"/>
              </w:rPr>
              <w:t> </w:t>
            </w:r>
          </w:p>
        </w:tc>
        <w:tc>
          <w:tcPr>
            <w:tcW w:w="1236" w:type="dxa"/>
            <w:tcBorders>
              <w:top w:val="single" w:sz="4" w:space="0" w:color="D9D9D9"/>
              <w:left w:val="nil"/>
              <w:bottom w:val="single" w:sz="4" w:space="0" w:color="auto"/>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$'000</w:t>
            </w:r>
          </w:p>
        </w:tc>
      </w:tr>
      <w:tr w:rsidR="003E6989" w:rsidTr="006A5410">
        <w:trPr>
          <w:trHeight w:val="255"/>
        </w:trPr>
        <w:tc>
          <w:tcPr>
            <w:tcW w:w="6272"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Opening balance at 1 July 2015</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(7,523)</w:t>
            </w:r>
          </w:p>
        </w:tc>
        <w:tc>
          <w:tcPr>
            <w:tcW w:w="23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(7,523)</w:t>
            </w:r>
          </w:p>
        </w:tc>
      </w:tr>
      <w:tr w:rsidR="003E6989" w:rsidTr="006A5410">
        <w:trPr>
          <w:trHeight w:val="240"/>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Amounts transferred through restructuring</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(19,790)</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(19,790)</w:t>
            </w:r>
          </w:p>
        </w:tc>
      </w:tr>
      <w:tr w:rsidR="003E6989" w:rsidTr="006A5410">
        <w:trPr>
          <w:trHeight w:val="255"/>
        </w:trPr>
        <w:tc>
          <w:tcPr>
            <w:tcW w:w="6272"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Increase (decrease) recognised in net cost of services</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(1,953)</w:t>
            </w:r>
          </w:p>
        </w:tc>
        <w:tc>
          <w:tcPr>
            <w:tcW w:w="23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(1,953)</w:t>
            </w:r>
          </w:p>
        </w:tc>
      </w:tr>
      <w:tr w:rsidR="003E6989" w:rsidTr="006A5410">
        <w:trPr>
          <w:trHeight w:val="255"/>
        </w:trPr>
        <w:tc>
          <w:tcPr>
            <w:tcW w:w="6272" w:type="dxa"/>
            <w:tcBorders>
              <w:top w:val="single" w:sz="4" w:space="0" w:color="auto"/>
              <w:left w:val="nil"/>
              <w:bottom w:val="single" w:sz="4" w:space="0" w:color="auto"/>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Closing balance at 30 June 2016</w:t>
            </w:r>
          </w:p>
        </w:tc>
        <w:tc>
          <w:tcPr>
            <w:tcW w:w="1238"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(29,266)</w:t>
            </w:r>
          </w:p>
        </w:tc>
        <w:tc>
          <w:tcPr>
            <w:tcW w:w="236" w:type="dxa"/>
            <w:tcBorders>
              <w:top w:val="single" w:sz="4" w:space="0" w:color="auto"/>
              <w:left w:val="nil"/>
              <w:bottom w:val="single" w:sz="4" w:space="0" w:color="auto"/>
              <w:right w:val="nil"/>
            </w:tcBorders>
            <w:shd w:val="clear" w:color="000000" w:fill="D9D9D9"/>
            <w:vAlign w:val="bottom"/>
            <w:hideMark/>
          </w:tcPr>
          <w:p w:rsidR="003E6989" w:rsidRDefault="003E6989" w:rsidP="006A5410">
            <w:pPr>
              <w:rPr>
                <w:rFonts w:cs="Calibri"/>
                <w:b/>
                <w:bCs/>
                <w:szCs w:val="18"/>
              </w:rPr>
            </w:pPr>
            <w:r>
              <w:rPr>
                <w:rFonts w:cs="Calibri"/>
                <w:b/>
                <w:bCs/>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(29,266)</w:t>
            </w:r>
          </w:p>
        </w:tc>
      </w:tr>
      <w:tr w:rsidR="003E6989" w:rsidTr="006A5410">
        <w:trPr>
          <w:trHeight w:val="255"/>
        </w:trPr>
        <w:tc>
          <w:tcPr>
            <w:tcW w:w="6272"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Movements in relation to 2015</w:t>
            </w:r>
          </w:p>
        </w:tc>
        <w:tc>
          <w:tcPr>
            <w:tcW w:w="1238"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single" w:sz="4" w:space="0" w:color="auto"/>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8" w:type="dxa"/>
            <w:tcBorders>
              <w:top w:val="single" w:sz="4" w:space="0" w:color="auto"/>
              <w:left w:val="nil"/>
              <w:bottom w:val="nil"/>
              <w:right w:val="nil"/>
            </w:tcBorders>
            <w:shd w:val="clear" w:color="000000" w:fill="D9D9D9"/>
            <w:vAlign w:val="bottom"/>
            <w:hideMark/>
          </w:tcPr>
          <w:p w:rsidR="003E6989" w:rsidRDefault="003E6989" w:rsidP="006A5410">
            <w:pPr>
              <w:jc w:val="right"/>
              <w:rPr>
                <w:rFonts w:cs="Calibri"/>
                <w:szCs w:val="18"/>
              </w:rPr>
            </w:pPr>
            <w:r>
              <w:rPr>
                <w:rFonts w:cs="Calibri"/>
                <w:szCs w:val="18"/>
              </w:rPr>
              <w:t>Receivables</w:t>
            </w:r>
          </w:p>
        </w:tc>
        <w:tc>
          <w:tcPr>
            <w:tcW w:w="236" w:type="dxa"/>
            <w:tcBorders>
              <w:top w:val="single" w:sz="4" w:space="0" w:color="auto"/>
              <w:left w:val="nil"/>
              <w:bottom w:val="nil"/>
              <w:right w:val="nil"/>
            </w:tcBorders>
            <w:shd w:val="clear" w:color="000000" w:fill="D9D9D9"/>
            <w:vAlign w:val="bottom"/>
            <w:hideMark/>
          </w:tcPr>
          <w:p w:rsidR="003E6989" w:rsidRDefault="003E6989" w:rsidP="006A5410">
            <w:pPr>
              <w:jc w:val="right"/>
              <w:rPr>
                <w:rFonts w:cs="Calibri"/>
                <w:szCs w:val="18"/>
              </w:rPr>
            </w:pPr>
            <w:r>
              <w:rPr>
                <w:rFonts w:cs="Calibri"/>
                <w:szCs w:val="18"/>
              </w:rPr>
              <w:t> </w:t>
            </w:r>
          </w:p>
        </w:tc>
        <w:tc>
          <w:tcPr>
            <w:tcW w:w="1236" w:type="dxa"/>
            <w:tcBorders>
              <w:top w:val="single" w:sz="4" w:space="0" w:color="auto"/>
              <w:left w:val="nil"/>
              <w:bottom w:val="nil"/>
              <w:right w:val="nil"/>
            </w:tcBorders>
            <w:shd w:val="clear" w:color="000000" w:fill="D9D9D9"/>
            <w:vAlign w:val="bottom"/>
            <w:hideMark/>
          </w:tcPr>
          <w:p w:rsidR="003E6989" w:rsidRDefault="003E6989" w:rsidP="006A5410">
            <w:pPr>
              <w:jc w:val="right"/>
              <w:rPr>
                <w:rFonts w:cs="Calibri"/>
                <w:szCs w:val="18"/>
              </w:rPr>
            </w:pPr>
            <w:r>
              <w:rPr>
                <w:rFonts w:cs="Calibri"/>
                <w:szCs w:val="18"/>
              </w:rPr>
              <w:t>Total</w:t>
            </w:r>
          </w:p>
        </w:tc>
      </w:tr>
      <w:tr w:rsidR="003E6989" w:rsidTr="006A5410">
        <w:trPr>
          <w:trHeight w:val="255"/>
        </w:trPr>
        <w:tc>
          <w:tcPr>
            <w:tcW w:w="6272" w:type="dxa"/>
            <w:tcBorders>
              <w:top w:val="single" w:sz="4" w:space="0" w:color="D9D9D9"/>
              <w:left w:val="nil"/>
              <w:bottom w:val="single" w:sz="4" w:space="0" w:color="auto"/>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8" w:type="dxa"/>
            <w:tcBorders>
              <w:top w:val="single" w:sz="4" w:space="0" w:color="D9D9D9"/>
              <w:left w:val="nil"/>
              <w:bottom w:val="single" w:sz="4" w:space="0" w:color="auto"/>
              <w:right w:val="nil"/>
            </w:tcBorders>
            <w:shd w:val="clear" w:color="000000" w:fill="D9D9D9"/>
            <w:vAlign w:val="bottom"/>
            <w:hideMark/>
          </w:tcPr>
          <w:p w:rsidR="003E6989" w:rsidRDefault="003E6989" w:rsidP="006A5410">
            <w:pPr>
              <w:jc w:val="right"/>
              <w:rPr>
                <w:rFonts w:cs="Calibri"/>
                <w:szCs w:val="18"/>
              </w:rPr>
            </w:pPr>
            <w:r>
              <w:rPr>
                <w:rFonts w:cs="Calibri"/>
                <w:szCs w:val="18"/>
              </w:rPr>
              <w:t>$'000</w:t>
            </w:r>
          </w:p>
        </w:tc>
        <w:tc>
          <w:tcPr>
            <w:tcW w:w="236" w:type="dxa"/>
            <w:tcBorders>
              <w:top w:val="single" w:sz="4" w:space="0" w:color="D9D9D9"/>
              <w:left w:val="nil"/>
              <w:bottom w:val="single" w:sz="4" w:space="0" w:color="auto"/>
              <w:right w:val="nil"/>
            </w:tcBorders>
            <w:shd w:val="clear" w:color="000000" w:fill="D9D9D9"/>
            <w:vAlign w:val="bottom"/>
            <w:hideMark/>
          </w:tcPr>
          <w:p w:rsidR="003E6989" w:rsidRDefault="003E6989" w:rsidP="006A5410">
            <w:pPr>
              <w:jc w:val="right"/>
              <w:rPr>
                <w:rFonts w:cs="Calibri"/>
                <w:szCs w:val="18"/>
              </w:rPr>
            </w:pPr>
            <w:r>
              <w:rPr>
                <w:rFonts w:cs="Calibri"/>
                <w:szCs w:val="18"/>
              </w:rPr>
              <w:t> </w:t>
            </w:r>
          </w:p>
        </w:tc>
        <w:tc>
          <w:tcPr>
            <w:tcW w:w="1236" w:type="dxa"/>
            <w:tcBorders>
              <w:top w:val="single" w:sz="4" w:space="0" w:color="D9D9D9"/>
              <w:left w:val="nil"/>
              <w:bottom w:val="single" w:sz="4" w:space="0" w:color="auto"/>
              <w:right w:val="nil"/>
            </w:tcBorders>
            <w:shd w:val="clear" w:color="000000" w:fill="D9D9D9"/>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6272"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Opening balance at 1 July 2014</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(1,225,966)</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(1,225,966)</w:t>
            </w:r>
          </w:p>
        </w:tc>
      </w:tr>
      <w:tr w:rsidR="003E6989" w:rsidTr="006A5410">
        <w:trPr>
          <w:trHeight w:val="255"/>
        </w:trPr>
        <w:tc>
          <w:tcPr>
            <w:tcW w:w="6272" w:type="dxa"/>
            <w:tcBorders>
              <w:top w:val="single" w:sz="4" w:space="0" w:color="D9D9D9"/>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Amounts written off</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(142)</w:t>
            </w:r>
          </w:p>
        </w:tc>
        <w:tc>
          <w:tcPr>
            <w:tcW w:w="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(142)</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Amounts recovered and reversed</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142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142</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Reversal of previous impairment</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1,200,266 </w:t>
            </w:r>
          </w:p>
        </w:tc>
        <w:tc>
          <w:tcPr>
            <w:tcW w:w="236"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1,200,266</w:t>
            </w:r>
          </w:p>
        </w:tc>
      </w:tr>
      <w:tr w:rsidR="003E6989" w:rsidTr="006A5410">
        <w:trPr>
          <w:trHeight w:val="240"/>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Amounts transferred through restructuring</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36,559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36,559</w:t>
            </w:r>
          </w:p>
        </w:tc>
      </w:tr>
      <w:tr w:rsidR="003E6989" w:rsidTr="006A5410">
        <w:trPr>
          <w:trHeight w:val="255"/>
        </w:trPr>
        <w:tc>
          <w:tcPr>
            <w:tcW w:w="6272"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Increase/decrease recognised in net surplus</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(18,382)</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(18,382)</w:t>
            </w:r>
          </w:p>
        </w:tc>
      </w:tr>
      <w:tr w:rsidR="003E6989" w:rsidTr="006A5410">
        <w:trPr>
          <w:trHeight w:val="255"/>
        </w:trPr>
        <w:tc>
          <w:tcPr>
            <w:tcW w:w="6272" w:type="dxa"/>
            <w:tcBorders>
              <w:top w:val="single" w:sz="4" w:space="0" w:color="auto"/>
              <w:left w:val="nil"/>
              <w:bottom w:val="single" w:sz="4" w:space="0" w:color="auto"/>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Closing balance at 30 June 2015</w:t>
            </w:r>
          </w:p>
        </w:tc>
        <w:tc>
          <w:tcPr>
            <w:tcW w:w="1238"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(7,523)</w:t>
            </w:r>
          </w:p>
        </w:tc>
        <w:tc>
          <w:tcPr>
            <w:tcW w:w="236" w:type="dxa"/>
            <w:tcBorders>
              <w:top w:val="single" w:sz="4" w:space="0" w:color="auto"/>
              <w:left w:val="nil"/>
              <w:bottom w:val="single" w:sz="4" w:space="0" w:color="auto"/>
              <w:right w:val="nil"/>
            </w:tcBorders>
            <w:shd w:val="clear" w:color="000000" w:fill="D9D9D9"/>
            <w:vAlign w:val="bottom"/>
            <w:hideMark/>
          </w:tcPr>
          <w:p w:rsidR="003E6989" w:rsidRDefault="003E6989" w:rsidP="006A5410">
            <w:pPr>
              <w:rPr>
                <w:rFonts w:cs="Calibri"/>
                <w:b/>
                <w:bCs/>
                <w:szCs w:val="18"/>
              </w:rPr>
            </w:pPr>
            <w:r>
              <w:rPr>
                <w:rFonts w:cs="Calibri"/>
                <w:b/>
                <w:bCs/>
                <w:szCs w:val="18"/>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(7,523)</w:t>
            </w:r>
          </w:p>
        </w:tc>
      </w:tr>
    </w:tbl>
    <w:p w:rsidR="003E6989" w:rsidRDefault="003E6989" w:rsidP="003E6989">
      <w:pPr>
        <w:pStyle w:val="GreyShadeTableBreak"/>
      </w:pPr>
      <w:bookmarkStart w:id="407" w:name="RANGE!D40:G84"/>
      <w:bookmarkStart w:id="408" w:name="RANGE!D41:G85"/>
      <w:bookmarkStart w:id="409" w:name="RANGE!D41:G84"/>
      <w:bookmarkStart w:id="410" w:name="RANGE!D41:G83"/>
      <w:bookmarkStart w:id="411" w:name="RANGE!D41:H83"/>
      <w:bookmarkStart w:id="412" w:name="RANGE!D41:H82"/>
      <w:bookmarkStart w:id="413" w:name="RANGE!D41:H81"/>
      <w:bookmarkStart w:id="414" w:name="RANGE!D43:G83"/>
      <w:bookmarkEnd w:id="407"/>
      <w:bookmarkEnd w:id="408"/>
      <w:bookmarkEnd w:id="409"/>
      <w:bookmarkEnd w:id="410"/>
      <w:bookmarkEnd w:id="411"/>
      <w:bookmarkEnd w:id="412"/>
      <w:bookmarkEnd w:id="413"/>
      <w:bookmarkEnd w:id="414"/>
    </w:p>
    <w:p w:rsidR="003E6989" w:rsidRDefault="003E6989" w:rsidP="003E6989">
      <w:pPr>
        <w:spacing w:line="240" w:lineRule="auto"/>
      </w:pPr>
      <w:r>
        <w:br w:type="page"/>
      </w:r>
    </w:p>
    <w:p w:rsidR="003E6989" w:rsidRDefault="003E6989" w:rsidP="003E6989">
      <w:pPr>
        <w:pStyle w:val="PolicyTextAdminbold"/>
      </w:pPr>
      <w:r>
        <w:lastRenderedPageBreak/>
        <w:t>Accounting Policy</w:t>
      </w:r>
    </w:p>
    <w:p w:rsidR="003E6989" w:rsidRPr="0044472C" w:rsidRDefault="003E6989" w:rsidP="003E6989">
      <w:pPr>
        <w:pStyle w:val="PlicytextAdminUnderline"/>
      </w:pPr>
      <w:bookmarkStart w:id="415" w:name="RANGE!D42:G82"/>
      <w:bookmarkStart w:id="416" w:name="RANGE!D45:G85"/>
      <w:bookmarkStart w:id="417" w:name="RANGE!D44:G84"/>
      <w:bookmarkEnd w:id="415"/>
      <w:bookmarkEnd w:id="416"/>
      <w:bookmarkEnd w:id="417"/>
      <w:r w:rsidRPr="0044472C">
        <w:t>Loans and receivables</w:t>
      </w:r>
    </w:p>
    <w:p w:rsidR="003E6989" w:rsidRPr="004F2332" w:rsidRDefault="003E6989" w:rsidP="003E6989">
      <w:pPr>
        <w:pStyle w:val="PolicyTextAdmin"/>
        <w:spacing w:after="120"/>
      </w:pPr>
      <w:r w:rsidRPr="004F2332">
        <w:t>Where loans and receivables are not subject to concessional treatment, they are carried at amortised cost using the effective interest method.  Gains and losses due to impairment</w:t>
      </w:r>
      <w:r>
        <w:t>,</w:t>
      </w:r>
      <w:r w:rsidRPr="004F2332">
        <w:t xml:space="preserve"> derecognition and amortisation are recognised through profit or loss.  </w:t>
      </w:r>
    </w:p>
    <w:p w:rsidR="003E6989" w:rsidRPr="004F2332" w:rsidRDefault="003E6989" w:rsidP="003E6989">
      <w:pPr>
        <w:pStyle w:val="PolicyTextAdmin"/>
        <w:spacing w:after="120"/>
      </w:pPr>
      <w:r w:rsidRPr="004F2332">
        <w:t xml:space="preserve">The HELP scheme is administered under the </w:t>
      </w:r>
      <w:r w:rsidRPr="000B0704">
        <w:rPr>
          <w:i/>
        </w:rPr>
        <w:t>Higher Education Support Act 2003</w:t>
      </w:r>
      <w:r w:rsidRPr="004F2332">
        <w:t>. HELP consists of HECS-HELP, FEE-HELP, OS-HELP and VET FEE-HELP, and any resulting debts are called a HELP debt.</w:t>
      </w:r>
    </w:p>
    <w:p w:rsidR="003E6989" w:rsidRPr="004F2332" w:rsidRDefault="003E6989" w:rsidP="003E6989">
      <w:pPr>
        <w:pStyle w:val="PolicyTextAdmin"/>
        <w:spacing w:after="120"/>
      </w:pPr>
      <w:r w:rsidRPr="004F2332">
        <w:t>The HELP debts are reflected as a receivable in the Schedule of Administered Items.  The Australian Taxation Office (ATO) collects repayments of debts through the PAYG income tax system and voluntary repayments.</w:t>
      </w:r>
    </w:p>
    <w:p w:rsidR="003E6989" w:rsidRDefault="003E6989" w:rsidP="003E6989">
      <w:pPr>
        <w:pStyle w:val="PolicyTextAdmin"/>
        <w:spacing w:after="120"/>
      </w:pPr>
      <w:r w:rsidRPr="004F2332">
        <w:t xml:space="preserve">The department has recorded the total accumulated HECS and / or HELP debt in its financial statements at fair value in accordance with </w:t>
      </w:r>
      <w:r w:rsidRPr="000B0704">
        <w:rPr>
          <w:i/>
        </w:rPr>
        <w:t>AASB 139 Financial Instruments: Recognition and Measurement</w:t>
      </w:r>
      <w:r w:rsidRPr="004F2332">
        <w:t>. This varies from the debt level shown in the ATO certificate.</w:t>
      </w:r>
    </w:p>
    <w:p w:rsidR="003E6989" w:rsidRPr="00510ED1" w:rsidRDefault="003E6989" w:rsidP="003E6989">
      <w:pPr>
        <w:pStyle w:val="PolicyTextAdmin"/>
        <w:spacing w:after="120"/>
      </w:pPr>
      <w:r w:rsidRPr="00510ED1">
        <w:t>In the actuarial report for 2015-16 attention was drawn to an adjustment to the opening balance of the fair value of the HELP receivable. A number of VET FEE-HELP (VFH) providers are subject to litigation matters surrounding malpractice. Based on the evidence, the actuary deemed the outstanding debt</w:t>
      </w:r>
      <w:r>
        <w:t xml:space="preserve"> for 20 per</w:t>
      </w:r>
      <w:r w:rsidRPr="00510ED1">
        <w:t xml:space="preserve">cent </w:t>
      </w:r>
      <w:r>
        <w:t>of those</w:t>
      </w:r>
      <w:r w:rsidRPr="00510ED1">
        <w:t xml:space="preserve"> who incurred a VFH debt in 2014 and 2015 as effectively irrecoverable, thus removing around $1.2 billion of the debt. This has not led to any restatement of comparatives, however the implications of this irrecoverable amount have been incorporated into the total movement (reflected through profit and loss) of the total HELP receivable.</w:t>
      </w:r>
    </w:p>
    <w:p w:rsidR="003E6989" w:rsidRPr="004F2332" w:rsidRDefault="003E6989" w:rsidP="003E6989">
      <w:pPr>
        <w:pStyle w:val="PolicyTextAdmin"/>
        <w:spacing w:after="120"/>
      </w:pPr>
      <w:r w:rsidRPr="004F2332">
        <w:t>Administered receivables, including those relating to personal benefit overpayments, represent debts owed to the department by past and present customers. All debts known to be irrecoverable are excluded from the value of administered receivables.</w:t>
      </w:r>
    </w:p>
    <w:p w:rsidR="003E6989" w:rsidRPr="004F2332" w:rsidRDefault="003E6989" w:rsidP="003E6989">
      <w:pPr>
        <w:pStyle w:val="PolicyTextAdmin"/>
        <w:spacing w:after="120"/>
      </w:pPr>
      <w:r w:rsidRPr="004F2332">
        <w:t>Independent valuations are conducted with sufficient frequency to ensure that the carrying amounts of impairment allowances for doubtful debts does not differ materially from the fair value as at the reporting date. The regularity of independent valuations depends upon the volatility of movements in the programs.</w:t>
      </w:r>
    </w:p>
    <w:p w:rsidR="003E6989" w:rsidRDefault="003E6989" w:rsidP="003E6989">
      <w:pPr>
        <w:spacing w:line="240" w:lineRule="auto"/>
      </w:pPr>
      <w:r>
        <w:br w:type="page"/>
      </w:r>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bookmarkStart w:id="418" w:name="Note_AOVTABLE1" w:colFirst="0" w:colLast="0"/>
            <w:r>
              <w:rPr>
                <w:rFonts w:ascii="Arial" w:hAnsi="Arial" w:cs="Arial"/>
                <w:sz w:val="16"/>
                <w:szCs w:val="16"/>
              </w:rPr>
              <w:lastRenderedPageBreak/>
              <w:t> </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2016</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2015</w:t>
            </w:r>
          </w:p>
        </w:tc>
      </w:tr>
      <w:bookmarkEnd w:id="418"/>
      <w:tr w:rsidR="003E6989" w:rsidTr="006A5410">
        <w:trPr>
          <w:trHeight w:val="255"/>
        </w:trPr>
        <w:tc>
          <w:tcPr>
            <w:tcW w:w="6272" w:type="dxa"/>
            <w:tcBorders>
              <w:top w:val="nil"/>
              <w:left w:val="nil"/>
              <w:bottom w:val="nil"/>
              <w:right w:val="nil"/>
            </w:tcBorders>
            <w:shd w:val="clear" w:color="000000" w:fill="D9D9D9"/>
            <w:noWrap/>
            <w:hideMark/>
          </w:tcPr>
          <w:p w:rsidR="003E6989" w:rsidRDefault="003E6989" w:rsidP="006A5410">
            <w:pPr>
              <w:rPr>
                <w:rFonts w:cs="Calibri"/>
                <w:b/>
                <w:bCs/>
                <w:szCs w:val="18"/>
                <w:u w:val="single"/>
              </w:rPr>
            </w:pPr>
            <w:r>
              <w:rPr>
                <w:rFonts w:cs="Calibri"/>
                <w:b/>
                <w:bCs/>
                <w:szCs w:val="18"/>
                <w:u w:val="single"/>
              </w:rPr>
              <w:t>4.1C: Other investments</w:t>
            </w:r>
          </w:p>
        </w:tc>
        <w:tc>
          <w:tcPr>
            <w:tcW w:w="1238"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$'000</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6272"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Other Investments:</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85"/>
        </w:trPr>
        <w:tc>
          <w:tcPr>
            <w:tcW w:w="6272"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Australian Institute for Teaching and School Leadership</w:t>
            </w:r>
            <w:r>
              <w:rPr>
                <w:rFonts w:cs="Calibri"/>
                <w:szCs w:val="18"/>
                <w:vertAlign w:val="superscript"/>
              </w:rPr>
              <w:t>1</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4,693</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4,687</w:t>
            </w:r>
          </w:p>
        </w:tc>
      </w:tr>
      <w:tr w:rsidR="003E6989" w:rsidTr="006A5410">
        <w:trPr>
          <w:trHeight w:val="285"/>
        </w:trPr>
        <w:tc>
          <w:tcPr>
            <w:tcW w:w="6272"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Australian Curriculum, Assessment and Reporting Authority</w:t>
            </w:r>
            <w:r>
              <w:rPr>
                <w:rFonts w:cs="Calibri"/>
                <w:szCs w:val="18"/>
                <w:vertAlign w:val="superscript"/>
              </w:rPr>
              <w:t>2</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643</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2,108</w:t>
            </w:r>
          </w:p>
        </w:tc>
      </w:tr>
      <w:tr w:rsidR="003E6989" w:rsidTr="006A5410">
        <w:trPr>
          <w:trHeight w:val="28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Australian National University</w:t>
            </w:r>
            <w:r>
              <w:rPr>
                <w:rFonts w:cs="Calibri"/>
                <w:szCs w:val="18"/>
                <w:vertAlign w:val="superscript"/>
              </w:rPr>
              <w:t>3</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2,076,100</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2,104,675</w:t>
            </w:r>
          </w:p>
        </w:tc>
      </w:tr>
      <w:tr w:rsidR="003E6989" w:rsidTr="006A5410">
        <w:trPr>
          <w:trHeight w:val="285"/>
        </w:trPr>
        <w:tc>
          <w:tcPr>
            <w:tcW w:w="6272"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Australian Institute of Aboriginal and Torres Strait Islander Studies</w:t>
            </w:r>
            <w:r>
              <w:rPr>
                <w:rFonts w:cs="Calibri"/>
                <w:szCs w:val="18"/>
                <w:vertAlign w:val="superscript"/>
              </w:rPr>
              <w:t>4</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36,901</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38,460</w:t>
            </w:r>
          </w:p>
        </w:tc>
      </w:tr>
      <w:tr w:rsidR="003E6989" w:rsidTr="006A5410">
        <w:trPr>
          <w:trHeight w:val="255"/>
        </w:trPr>
        <w:tc>
          <w:tcPr>
            <w:tcW w:w="6272" w:type="dxa"/>
            <w:tcBorders>
              <w:top w:val="single" w:sz="4" w:space="0" w:color="D9D9D9"/>
              <w:left w:val="nil"/>
              <w:bottom w:val="single" w:sz="4" w:space="0" w:color="D9D9D9"/>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other investments</w:t>
            </w:r>
          </w:p>
        </w:tc>
        <w:tc>
          <w:tcPr>
            <w:tcW w:w="1238"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2,118,337</w:t>
            </w:r>
          </w:p>
        </w:tc>
        <w:tc>
          <w:tcPr>
            <w:tcW w:w="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2,149,930</w:t>
            </w:r>
          </w:p>
        </w:tc>
      </w:tr>
      <w:tr w:rsidR="003E6989" w:rsidTr="006A5410">
        <w:trPr>
          <w:trHeight w:val="255"/>
        </w:trPr>
        <w:tc>
          <w:tcPr>
            <w:tcW w:w="6272"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8"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single" w:sz="4" w:space="0" w:color="D9D9D9"/>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 xml:space="preserve">Other investments expected to be recovered </w:t>
            </w:r>
          </w:p>
        </w:tc>
        <w:tc>
          <w:tcPr>
            <w:tcW w:w="1238"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More than 12 months</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2,118,337</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2,149,930</w:t>
            </w:r>
          </w:p>
        </w:tc>
      </w:tr>
      <w:tr w:rsidR="003E6989" w:rsidTr="006A5410">
        <w:trPr>
          <w:trHeight w:val="270"/>
        </w:trPr>
        <w:tc>
          <w:tcPr>
            <w:tcW w:w="6272"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other investments</w:t>
            </w:r>
          </w:p>
        </w:tc>
        <w:tc>
          <w:tcPr>
            <w:tcW w:w="1238"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2,118,337</w:t>
            </w:r>
          </w:p>
        </w:tc>
        <w:tc>
          <w:tcPr>
            <w:tcW w:w="236"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 </w:t>
            </w:r>
          </w:p>
        </w:tc>
        <w:tc>
          <w:tcPr>
            <w:tcW w:w="123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2,149,930</w:t>
            </w:r>
          </w:p>
        </w:tc>
      </w:tr>
    </w:tbl>
    <w:p w:rsidR="003E6989" w:rsidRDefault="003E6989" w:rsidP="003E6989">
      <w:pPr>
        <w:pStyle w:val="GreyShadeTableBreak"/>
      </w:pPr>
      <w:bookmarkStart w:id="419" w:name="RANGE!D7:D21"/>
      <w:bookmarkStart w:id="420" w:name="RANGE!D7:G19"/>
      <w:bookmarkStart w:id="421" w:name="RANGE!D7:H25"/>
      <w:bookmarkStart w:id="422" w:name="RANGE!D6:G48"/>
      <w:bookmarkStart w:id="423" w:name="RANGE!D6:H54"/>
      <w:bookmarkEnd w:id="419"/>
      <w:bookmarkEnd w:id="420"/>
      <w:bookmarkEnd w:id="421"/>
      <w:bookmarkEnd w:id="422"/>
      <w:bookmarkEnd w:id="423"/>
    </w:p>
    <w:tbl>
      <w:tblPr>
        <w:tblW w:w="9090" w:type="dxa"/>
        <w:tblInd w:w="28" w:type="dxa"/>
        <w:shd w:val="clear" w:color="auto" w:fill="D9D9D9" w:themeFill="background1" w:themeFillShade="D9"/>
        <w:tblLayout w:type="fixed"/>
        <w:tblCellMar>
          <w:left w:w="57" w:type="dxa"/>
          <w:right w:w="57" w:type="dxa"/>
        </w:tblCellMar>
        <w:tblLook w:val="01E0" w:firstRow="1" w:lastRow="1" w:firstColumn="1" w:lastColumn="1" w:noHBand="0" w:noVBand="0"/>
      </w:tblPr>
      <w:tblGrid>
        <w:gridCol w:w="9090"/>
      </w:tblGrid>
      <w:tr w:rsidR="003E6989" w:rsidTr="006A5410">
        <w:trPr>
          <w:trHeight w:val="255"/>
        </w:trPr>
        <w:tc>
          <w:tcPr>
            <w:tcW w:w="9088" w:type="dxa"/>
            <w:shd w:val="clear" w:color="auto" w:fill="D9D9D9" w:themeFill="background1" w:themeFillShade="D9"/>
            <w:vAlign w:val="bottom"/>
            <w:hideMark/>
          </w:tcPr>
          <w:p w:rsidR="003E6989" w:rsidRDefault="003E6989" w:rsidP="006A5410">
            <w:pPr>
              <w:pStyle w:val="AdminBlankGreyShade"/>
            </w:pPr>
            <w:r>
              <w:rPr>
                <w:sz w:val="22"/>
              </w:rPr>
              <w:br w:type="page"/>
            </w:r>
            <w:r>
              <w:t>The department retains 100 per cent ownership of each of the listed investments.  The principle activity of the department’s administered investments is as follows:</w:t>
            </w:r>
          </w:p>
          <w:p w:rsidR="003E6989" w:rsidRDefault="003E6989" w:rsidP="006A5410">
            <w:pPr>
              <w:pStyle w:val="AdminBlankGreyShade"/>
            </w:pPr>
            <w:r>
              <w:rPr>
                <w:vertAlign w:val="superscript"/>
              </w:rPr>
              <w:t>1</w:t>
            </w:r>
            <w:r>
              <w:rPr>
                <w:i/>
              </w:rPr>
              <w:t xml:space="preserve"> Australian Institute for Teaching and School Leadership Ltd</w:t>
            </w:r>
            <w:r>
              <w:t xml:space="preserve"> – supports and enhances the teaching profession for the benefit of all Australians.</w:t>
            </w:r>
          </w:p>
          <w:p w:rsidR="003E6989" w:rsidRDefault="003E6989" w:rsidP="006A5410">
            <w:pPr>
              <w:pStyle w:val="AdminBlankGreyShade"/>
            </w:pPr>
            <w:r>
              <w:rPr>
                <w:vertAlign w:val="superscript"/>
              </w:rPr>
              <w:t>2</w:t>
            </w:r>
            <w:r>
              <w:t xml:space="preserve"> </w:t>
            </w:r>
            <w:r>
              <w:rPr>
                <w:i/>
              </w:rPr>
              <w:t>Australian Curriculum, Assessment and Reporting Authority</w:t>
            </w:r>
            <w:r>
              <w:t xml:space="preserve"> – executes the policy directions that are determined by the Ministerial Council for Education, Early Childhood Development and Youth Affairs regarding curriculum, assessment, data collection and reporting at a national level.</w:t>
            </w:r>
          </w:p>
          <w:p w:rsidR="003E6989" w:rsidRDefault="003E6989" w:rsidP="006A5410">
            <w:pPr>
              <w:pStyle w:val="AdminBlankGreyShade"/>
            </w:pPr>
            <w:r w:rsidRPr="00980EE1">
              <w:rPr>
                <w:vertAlign w:val="superscript"/>
              </w:rPr>
              <w:t>3</w:t>
            </w:r>
            <w:r>
              <w:t xml:space="preserve"> </w:t>
            </w:r>
            <w:r w:rsidRPr="00980EE1">
              <w:rPr>
                <w:i/>
              </w:rPr>
              <w:t>Australian National University</w:t>
            </w:r>
            <w:r>
              <w:t xml:space="preserve"> – provision of research and teaching services.</w:t>
            </w:r>
          </w:p>
          <w:p w:rsidR="003E6989" w:rsidRDefault="003E6989" w:rsidP="006A5410">
            <w:pPr>
              <w:pStyle w:val="AdminBlankGreyShade"/>
            </w:pPr>
            <w:r>
              <w:rPr>
                <w:vertAlign w:val="superscript"/>
              </w:rPr>
              <w:t xml:space="preserve">4 </w:t>
            </w:r>
            <w:r>
              <w:rPr>
                <w:i/>
              </w:rPr>
              <w:t>Australian Institute of Aboriginal and Torres Strait Islander Studies</w:t>
            </w:r>
            <w:r>
              <w:t xml:space="preserve"> – building pathways for the knowledge of Aboriginal and Torres Strait Islander peoples to grow and share.</w:t>
            </w:r>
          </w:p>
          <w:p w:rsidR="003E6989" w:rsidRDefault="003E6989" w:rsidP="006A5410">
            <w:pPr>
              <w:pStyle w:val="AdminBlankGreyShade"/>
            </w:pPr>
          </w:p>
        </w:tc>
      </w:tr>
    </w:tbl>
    <w:p w:rsidR="003E6989" w:rsidRDefault="003E6989" w:rsidP="003E6989">
      <w:pPr>
        <w:pStyle w:val="GreyShadeTableBreak"/>
      </w:pPr>
    </w:p>
    <w:p w:rsidR="003E6989" w:rsidRPr="00E84097" w:rsidRDefault="003E6989" w:rsidP="003E6989">
      <w:pPr>
        <w:pStyle w:val="PolicyTextAdminbold"/>
        <w:spacing w:before="100" w:after="100" w:line="240" w:lineRule="auto"/>
      </w:pPr>
      <w:r w:rsidRPr="00E84097">
        <w:t>Accounting Policy</w:t>
      </w:r>
    </w:p>
    <w:p w:rsidR="003E6989" w:rsidRPr="00E84097" w:rsidRDefault="003E6989" w:rsidP="003E6989">
      <w:pPr>
        <w:pStyle w:val="PlicytextAdminUnderline"/>
        <w:spacing w:before="100" w:after="100" w:line="240" w:lineRule="auto"/>
      </w:pPr>
      <w:r w:rsidRPr="00E84097">
        <w:t>Administered investments</w:t>
      </w:r>
    </w:p>
    <w:p w:rsidR="003E6989" w:rsidRDefault="003E6989" w:rsidP="003E6989">
      <w:pPr>
        <w:pStyle w:val="PolicyTextAdmin"/>
        <w:spacing w:before="100" w:after="100" w:line="240" w:lineRule="auto"/>
      </w:pPr>
      <w:r w:rsidRPr="006557EB">
        <w:t>Administered investments in subsidiaries, joint ventures and associates are not consolidated because their consolidation is relevant only at the Whole of Government level.</w:t>
      </w:r>
    </w:p>
    <w:p w:rsidR="003E6989" w:rsidRPr="006557EB" w:rsidRDefault="003E6989" w:rsidP="003E6989">
      <w:pPr>
        <w:pStyle w:val="PolicyTextAdmin"/>
        <w:spacing w:before="100" w:after="100" w:line="240" w:lineRule="auto"/>
      </w:pPr>
      <w:r w:rsidRPr="006557EB">
        <w:t xml:space="preserve">Administered investments other than those held for sale are classified as available–for–sale and are measured at their fair value as at 30 June </w:t>
      </w:r>
      <w:r w:rsidR="00403CAE">
        <w:t>2016</w:t>
      </w:r>
      <w:r w:rsidRPr="006557EB">
        <w:t>.  Fair value has been taken to be the Australian Government's proportional interest in the net assets of the entities as at the end of the reporting period.</w:t>
      </w:r>
    </w:p>
    <w:p w:rsidR="003E6989" w:rsidRDefault="003E6989" w:rsidP="003E6989">
      <w:pPr>
        <w:spacing w:line="240" w:lineRule="auto"/>
      </w:pPr>
    </w:p>
    <w:p w:rsidR="003E6989" w:rsidRDefault="003E6989" w:rsidP="003E6989">
      <w:pPr>
        <w:spacing w:line="240" w:lineRule="auto"/>
      </w:pPr>
      <w:r>
        <w:br w:type="page"/>
      </w:r>
    </w:p>
    <w:p w:rsidR="003E6989" w:rsidRDefault="003E6989" w:rsidP="003E6989">
      <w:pPr>
        <w:pStyle w:val="SubHeading"/>
      </w:pPr>
      <w:bookmarkStart w:id="424" w:name="_Toc455416741"/>
      <w:bookmarkStart w:id="425" w:name="_Toc464726632"/>
      <w:r>
        <w:lastRenderedPageBreak/>
        <w:t>Administered – Non-Financial Asset</w:t>
      </w:r>
      <w:bookmarkEnd w:id="424"/>
      <w:bookmarkEnd w:id="425"/>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40"/>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bookmarkStart w:id="426" w:name="Note_ANFTABLE1" w:colFirst="0" w:colLast="0"/>
            <w:r>
              <w:rPr>
                <w:rFonts w:ascii="Arial" w:hAnsi="Arial" w:cs="Arial"/>
                <w:sz w:val="16"/>
                <w:szCs w:val="16"/>
              </w:rPr>
              <w:t> </w:t>
            </w:r>
          </w:p>
        </w:tc>
        <w:tc>
          <w:tcPr>
            <w:tcW w:w="1238"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2016</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2015</w:t>
            </w:r>
          </w:p>
        </w:tc>
      </w:tr>
      <w:bookmarkEnd w:id="426"/>
      <w:tr w:rsidR="003E6989" w:rsidTr="006A5410">
        <w:trPr>
          <w:trHeight w:val="255"/>
        </w:trPr>
        <w:tc>
          <w:tcPr>
            <w:tcW w:w="6272" w:type="dxa"/>
            <w:tcBorders>
              <w:top w:val="nil"/>
              <w:left w:val="nil"/>
              <w:bottom w:val="nil"/>
              <w:right w:val="nil"/>
            </w:tcBorders>
            <w:shd w:val="clear" w:color="000000" w:fill="D9D9D9"/>
            <w:noWrap/>
            <w:hideMark/>
          </w:tcPr>
          <w:p w:rsidR="003E6989" w:rsidRDefault="003E6989" w:rsidP="006A5410">
            <w:pPr>
              <w:rPr>
                <w:rFonts w:cs="Calibri"/>
                <w:b/>
                <w:bCs/>
                <w:szCs w:val="18"/>
                <w:u w:val="single"/>
              </w:rPr>
            </w:pPr>
            <w:r>
              <w:rPr>
                <w:rFonts w:cs="Calibri"/>
                <w:b/>
                <w:bCs/>
                <w:szCs w:val="18"/>
                <w:u w:val="single"/>
              </w:rPr>
              <w:t>4.2A: Other non-financial assets</w:t>
            </w:r>
          </w:p>
        </w:tc>
        <w:tc>
          <w:tcPr>
            <w:tcW w:w="1238"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$'000</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6272"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Prepayments</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240</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w:t>
            </w:r>
          </w:p>
        </w:tc>
      </w:tr>
      <w:tr w:rsidR="003E6989" w:rsidTr="006A5410">
        <w:trPr>
          <w:trHeight w:val="255"/>
        </w:trPr>
        <w:tc>
          <w:tcPr>
            <w:tcW w:w="6272" w:type="dxa"/>
            <w:tcBorders>
              <w:top w:val="nil"/>
              <w:left w:val="nil"/>
              <w:bottom w:val="nil"/>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other non-financial assets</w:t>
            </w:r>
          </w:p>
        </w:tc>
        <w:tc>
          <w:tcPr>
            <w:tcW w:w="1238"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240</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w:t>
            </w:r>
          </w:p>
        </w:tc>
      </w:tr>
      <w:tr w:rsidR="003E6989" w:rsidTr="006A5410">
        <w:trPr>
          <w:trHeight w:val="255"/>
        </w:trPr>
        <w:tc>
          <w:tcPr>
            <w:tcW w:w="6272"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Other non-financial assets expected to be recovered</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No more than 12 months</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240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70"/>
        </w:trPr>
        <w:tc>
          <w:tcPr>
            <w:tcW w:w="6272" w:type="dxa"/>
            <w:tcBorders>
              <w:top w:val="nil"/>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other non-financial assets</w:t>
            </w:r>
          </w:p>
        </w:tc>
        <w:tc>
          <w:tcPr>
            <w:tcW w:w="1238"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240</w:t>
            </w:r>
          </w:p>
        </w:tc>
        <w:tc>
          <w:tcPr>
            <w:tcW w:w="236"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 </w:t>
            </w:r>
          </w:p>
        </w:tc>
        <w:tc>
          <w:tcPr>
            <w:tcW w:w="123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w:t>
            </w:r>
          </w:p>
        </w:tc>
      </w:tr>
    </w:tbl>
    <w:p w:rsidR="003E6989" w:rsidRDefault="003E6989" w:rsidP="003E6989">
      <w:pPr>
        <w:pStyle w:val="GreyShadeTableBreak"/>
      </w:pPr>
    </w:p>
    <w:p w:rsidR="003E6989" w:rsidRDefault="003E6989" w:rsidP="003E6989">
      <w:pPr>
        <w:pStyle w:val="GreyShadeTableBreak"/>
      </w:pPr>
      <w:r>
        <w:t xml:space="preserve">No indicators of impairment were found for other non-financial assets. </w:t>
      </w:r>
    </w:p>
    <w:p w:rsidR="003E6989" w:rsidRDefault="003E6989" w:rsidP="003E6989">
      <w:pPr>
        <w:pStyle w:val="GreyShadeTableBreak"/>
      </w:pPr>
    </w:p>
    <w:p w:rsidR="003E6989" w:rsidRDefault="003E6989" w:rsidP="003E6989">
      <w:pPr>
        <w:spacing w:line="240" w:lineRule="auto"/>
      </w:pPr>
      <w:r>
        <w:br w:type="page"/>
      </w:r>
    </w:p>
    <w:p w:rsidR="003E6989" w:rsidRDefault="003E6989" w:rsidP="003E6989">
      <w:pPr>
        <w:pStyle w:val="SubHeading"/>
      </w:pPr>
      <w:bookmarkStart w:id="427" w:name="_Toc455416742"/>
      <w:bookmarkStart w:id="428" w:name="_Toc464726633"/>
      <w:r>
        <w:t>Administered - Payables</w:t>
      </w:r>
      <w:bookmarkEnd w:id="427"/>
      <w:bookmarkEnd w:id="428"/>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bookmarkStart w:id="429" w:name="Note_ASPTABLE1" w:colFirst="0" w:colLast="0"/>
            <w:r>
              <w:rPr>
                <w:rFonts w:cs="Calibri"/>
                <w:b/>
                <w:bCs/>
                <w:szCs w:val="18"/>
              </w:rPr>
              <w:t> </w:t>
            </w:r>
          </w:p>
        </w:tc>
        <w:tc>
          <w:tcPr>
            <w:tcW w:w="1238"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2016</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2015</w:t>
            </w:r>
          </w:p>
        </w:tc>
      </w:tr>
      <w:bookmarkEnd w:id="429"/>
      <w:tr w:rsidR="003E6989" w:rsidTr="006A5410">
        <w:trPr>
          <w:trHeight w:val="255"/>
        </w:trPr>
        <w:tc>
          <w:tcPr>
            <w:tcW w:w="6272" w:type="dxa"/>
            <w:tcBorders>
              <w:top w:val="nil"/>
              <w:left w:val="nil"/>
              <w:bottom w:val="nil"/>
              <w:right w:val="nil"/>
            </w:tcBorders>
            <w:shd w:val="clear" w:color="000000" w:fill="D9D9D9"/>
            <w:noWrap/>
            <w:hideMark/>
          </w:tcPr>
          <w:p w:rsidR="003E6989" w:rsidRDefault="003E6989" w:rsidP="006A5410">
            <w:pPr>
              <w:rPr>
                <w:rFonts w:cs="Calibri"/>
                <w:b/>
                <w:bCs/>
                <w:szCs w:val="18"/>
                <w:u w:val="single"/>
              </w:rPr>
            </w:pPr>
            <w:r>
              <w:rPr>
                <w:rFonts w:cs="Calibri"/>
                <w:b/>
                <w:bCs/>
                <w:szCs w:val="18"/>
                <w:u w:val="single"/>
              </w:rPr>
              <w:t>4.3A: Suppliers</w:t>
            </w:r>
          </w:p>
        </w:tc>
        <w:tc>
          <w:tcPr>
            <w:tcW w:w="1238"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$'000</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6272"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right w:val="nil"/>
            </w:tcBorders>
            <w:shd w:val="clear" w:color="000000" w:fill="D9D9D9"/>
            <w:noWrap/>
            <w:vAlign w:val="bottom"/>
            <w:hideMark/>
          </w:tcPr>
          <w:p w:rsidR="003E6989" w:rsidRDefault="003E6989" w:rsidP="006A5410">
            <w:pPr>
              <w:rPr>
                <w:rFonts w:cs="Calibri"/>
                <w:szCs w:val="18"/>
              </w:rPr>
            </w:pPr>
            <w:r>
              <w:rPr>
                <w:rFonts w:cs="Calibri"/>
                <w:szCs w:val="18"/>
              </w:rPr>
              <w:t>Trade creditors and accruals</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57,624</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54,235</w:t>
            </w:r>
          </w:p>
        </w:tc>
      </w:tr>
      <w:tr w:rsidR="003E6989" w:rsidTr="006A5410">
        <w:trPr>
          <w:trHeight w:val="270"/>
        </w:trPr>
        <w:tc>
          <w:tcPr>
            <w:tcW w:w="6272" w:type="dxa"/>
            <w:tcBorders>
              <w:top w:val="nil"/>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suppliers</w:t>
            </w:r>
          </w:p>
        </w:tc>
        <w:tc>
          <w:tcPr>
            <w:tcW w:w="1238"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57,624</w:t>
            </w:r>
          </w:p>
        </w:tc>
        <w:tc>
          <w:tcPr>
            <w:tcW w:w="236" w:type="dxa"/>
            <w:tcBorders>
              <w:top w:val="single" w:sz="4" w:space="0" w:color="D9D9D9"/>
              <w:left w:val="nil"/>
              <w:bottom w:val="single" w:sz="24" w:space="0" w:color="D8D8D8"/>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54,235</w:t>
            </w:r>
          </w:p>
        </w:tc>
      </w:tr>
    </w:tbl>
    <w:p w:rsidR="003E6989" w:rsidRDefault="003E6989" w:rsidP="003E6989">
      <w:pPr>
        <w:pStyle w:val="GreyShadeTableBreak"/>
        <w:tabs>
          <w:tab w:val="clear" w:pos="9214"/>
          <w:tab w:val="right" w:pos="9031"/>
        </w:tabs>
      </w:pPr>
      <w:r>
        <w:t xml:space="preserve">Settlement was usually made within 30 days. All suppliers were expected to be settled no more than 12 months. </w:t>
      </w:r>
    </w:p>
    <w:p w:rsidR="003E6989" w:rsidRDefault="003E6989" w:rsidP="003E6989">
      <w:pPr>
        <w:pStyle w:val="GreyShadeTableBreak"/>
      </w:pPr>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nil"/>
              <w:left w:val="nil"/>
              <w:bottom w:val="nil"/>
              <w:right w:val="nil"/>
            </w:tcBorders>
            <w:shd w:val="clear" w:color="000000" w:fill="D9D9D9"/>
            <w:noWrap/>
            <w:hideMark/>
          </w:tcPr>
          <w:p w:rsidR="003E6989" w:rsidRDefault="003E6989" w:rsidP="006A5410">
            <w:pPr>
              <w:rPr>
                <w:rFonts w:cs="Calibri"/>
                <w:b/>
                <w:bCs/>
                <w:szCs w:val="18"/>
                <w:u w:val="single"/>
              </w:rPr>
            </w:pPr>
            <w:bookmarkStart w:id="430" w:name="Note_APPTABLE1" w:colFirst="0" w:colLast="0"/>
            <w:r>
              <w:rPr>
                <w:rFonts w:cs="Calibri"/>
                <w:b/>
                <w:bCs/>
                <w:szCs w:val="18"/>
                <w:u w:val="single"/>
              </w:rPr>
              <w:t>4.3B: Personal benefits</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r>
      <w:bookmarkEnd w:id="430"/>
      <w:tr w:rsidR="003E6989" w:rsidTr="006A5410">
        <w:trPr>
          <w:trHeight w:val="255"/>
        </w:trPr>
        <w:tc>
          <w:tcPr>
            <w:tcW w:w="6272" w:type="dxa"/>
            <w:tcBorders>
              <w:top w:val="nil"/>
              <w:left w:val="nil"/>
              <w:bottom w:val="nil"/>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r>
      <w:tr w:rsidR="003E6989" w:rsidTr="006A5410">
        <w:trPr>
          <w:trHeight w:val="255"/>
        </w:trPr>
        <w:tc>
          <w:tcPr>
            <w:tcW w:w="6272"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Direct</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13,899</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w:t>
            </w:r>
          </w:p>
        </w:tc>
      </w:tr>
      <w:tr w:rsidR="003E6989" w:rsidTr="006A5410">
        <w:trPr>
          <w:trHeight w:val="255"/>
        </w:trPr>
        <w:tc>
          <w:tcPr>
            <w:tcW w:w="6272"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Indirect</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135,372</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w:t>
            </w:r>
          </w:p>
        </w:tc>
      </w:tr>
      <w:tr w:rsidR="003E6989" w:rsidTr="006A5410">
        <w:trPr>
          <w:trHeight w:val="255"/>
        </w:trPr>
        <w:tc>
          <w:tcPr>
            <w:tcW w:w="6272" w:type="dxa"/>
            <w:tcBorders>
              <w:top w:val="nil"/>
              <w:left w:val="nil"/>
              <w:bottom w:val="nil"/>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personal benefits</w:t>
            </w:r>
          </w:p>
        </w:tc>
        <w:tc>
          <w:tcPr>
            <w:tcW w:w="1238"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149,271</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w:t>
            </w:r>
          </w:p>
        </w:tc>
      </w:tr>
      <w:tr w:rsidR="003E6989" w:rsidTr="006A5410">
        <w:trPr>
          <w:trHeight w:val="255"/>
        </w:trPr>
        <w:tc>
          <w:tcPr>
            <w:tcW w:w="6272"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 xml:space="preserve">Personal benefits expected to be settled </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r>
      <w:tr w:rsidR="003E6989" w:rsidTr="006A5410">
        <w:trPr>
          <w:trHeight w:val="255"/>
        </w:trPr>
        <w:tc>
          <w:tcPr>
            <w:tcW w:w="6272" w:type="dxa"/>
            <w:tcBorders>
              <w:top w:val="nil"/>
              <w:left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No more than 12 months</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149,271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70"/>
        </w:trPr>
        <w:tc>
          <w:tcPr>
            <w:tcW w:w="6272" w:type="dxa"/>
            <w:tcBorders>
              <w:top w:val="nil"/>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personal benefits</w:t>
            </w:r>
          </w:p>
        </w:tc>
        <w:tc>
          <w:tcPr>
            <w:tcW w:w="1238"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149,271</w:t>
            </w:r>
          </w:p>
        </w:tc>
        <w:tc>
          <w:tcPr>
            <w:tcW w:w="236"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 </w:t>
            </w:r>
          </w:p>
        </w:tc>
        <w:tc>
          <w:tcPr>
            <w:tcW w:w="123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w:t>
            </w:r>
          </w:p>
        </w:tc>
      </w:tr>
    </w:tbl>
    <w:p w:rsidR="003E6989" w:rsidRDefault="003E6989" w:rsidP="003E6989">
      <w:pPr>
        <w:pStyle w:val="GreyShadeTableBreak"/>
      </w:pPr>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nil"/>
              <w:left w:val="nil"/>
              <w:bottom w:val="single" w:sz="4" w:space="0" w:color="D9D9D9"/>
              <w:right w:val="nil"/>
            </w:tcBorders>
            <w:shd w:val="clear" w:color="000000" w:fill="D9D9D9"/>
            <w:noWrap/>
            <w:hideMark/>
          </w:tcPr>
          <w:p w:rsidR="003E6989" w:rsidRDefault="003E6989" w:rsidP="006A5410">
            <w:pPr>
              <w:rPr>
                <w:rFonts w:cs="Calibri"/>
                <w:b/>
                <w:bCs/>
                <w:szCs w:val="18"/>
                <w:u w:val="single"/>
              </w:rPr>
            </w:pPr>
            <w:bookmarkStart w:id="431" w:name="Note_AGPTABLE1" w:colFirst="0" w:colLast="0"/>
            <w:r>
              <w:rPr>
                <w:rFonts w:cs="Calibri"/>
                <w:b/>
                <w:bCs/>
                <w:szCs w:val="18"/>
                <w:u w:val="single"/>
              </w:rPr>
              <w:t>4.3C: Grants</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bookmarkEnd w:id="431"/>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Public sector</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State and Territory Governments</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4,435</w:t>
            </w:r>
          </w:p>
        </w:tc>
      </w:tr>
      <w:tr w:rsidR="003E6989" w:rsidTr="006A5410">
        <w:trPr>
          <w:trHeight w:val="255"/>
        </w:trPr>
        <w:tc>
          <w:tcPr>
            <w:tcW w:w="6272"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Private sector</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Non-profit organisations</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481</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196</w:t>
            </w:r>
          </w:p>
        </w:tc>
      </w:tr>
      <w:tr w:rsidR="003E6989" w:rsidTr="006A5410">
        <w:trPr>
          <w:trHeight w:val="255"/>
        </w:trPr>
        <w:tc>
          <w:tcPr>
            <w:tcW w:w="6272" w:type="dxa"/>
            <w:tcBorders>
              <w:top w:val="nil"/>
              <w:left w:val="nil"/>
              <w:bottom w:val="nil"/>
              <w:right w:val="nil"/>
            </w:tcBorders>
            <w:shd w:val="clear" w:color="000000" w:fill="D9D9D9"/>
            <w:noWrap/>
            <w:vAlign w:val="bottom"/>
            <w:hideMark/>
          </w:tcPr>
          <w:p w:rsidR="003E6989" w:rsidRDefault="003E6989" w:rsidP="001F2C80">
            <w:pPr>
              <w:ind w:left="204"/>
              <w:rPr>
                <w:rFonts w:cs="Calibri"/>
                <w:szCs w:val="18"/>
              </w:rPr>
            </w:pPr>
            <w:r>
              <w:rPr>
                <w:rFonts w:cs="Calibri"/>
                <w:szCs w:val="18"/>
              </w:rPr>
              <w:t>Other</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2,837</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31,615</w:t>
            </w:r>
          </w:p>
        </w:tc>
      </w:tr>
      <w:tr w:rsidR="003E6989" w:rsidTr="006A5410">
        <w:trPr>
          <w:trHeight w:val="255"/>
        </w:trPr>
        <w:tc>
          <w:tcPr>
            <w:tcW w:w="6272" w:type="dxa"/>
            <w:tcBorders>
              <w:top w:val="single" w:sz="4" w:space="0" w:color="D9D9D9"/>
              <w:left w:val="nil"/>
              <w:bottom w:val="single" w:sz="4" w:space="0" w:color="D9D9D9"/>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grants</w:t>
            </w:r>
          </w:p>
        </w:tc>
        <w:tc>
          <w:tcPr>
            <w:tcW w:w="1238"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3,318</w:t>
            </w:r>
          </w:p>
        </w:tc>
        <w:tc>
          <w:tcPr>
            <w:tcW w:w="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36,246</w:t>
            </w:r>
          </w:p>
        </w:tc>
      </w:tr>
      <w:tr w:rsidR="003E6989" w:rsidTr="006A5410">
        <w:trPr>
          <w:trHeight w:val="255"/>
        </w:trPr>
        <w:tc>
          <w:tcPr>
            <w:tcW w:w="6272"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8"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single" w:sz="4" w:space="0" w:color="D9D9D9"/>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Grants expected to be settled</w:t>
            </w:r>
          </w:p>
        </w:tc>
        <w:tc>
          <w:tcPr>
            <w:tcW w:w="1238"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No more than 12 months</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3,318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36,246 </w:t>
            </w:r>
          </w:p>
        </w:tc>
      </w:tr>
      <w:tr w:rsidR="003E6989" w:rsidTr="006A5410">
        <w:trPr>
          <w:trHeight w:val="270"/>
        </w:trPr>
        <w:tc>
          <w:tcPr>
            <w:tcW w:w="6272"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grants</w:t>
            </w:r>
          </w:p>
        </w:tc>
        <w:tc>
          <w:tcPr>
            <w:tcW w:w="1238"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3,318</w:t>
            </w:r>
          </w:p>
        </w:tc>
        <w:tc>
          <w:tcPr>
            <w:tcW w:w="236"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 </w:t>
            </w:r>
          </w:p>
        </w:tc>
        <w:tc>
          <w:tcPr>
            <w:tcW w:w="123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36,246</w:t>
            </w:r>
          </w:p>
        </w:tc>
      </w:tr>
    </w:tbl>
    <w:p w:rsidR="003E6989" w:rsidRPr="00E535A5" w:rsidRDefault="003E6989" w:rsidP="003E6989">
      <w:pPr>
        <w:pStyle w:val="GreyShadeTableBreak"/>
      </w:pPr>
    </w:p>
    <w:p w:rsidR="003E6989" w:rsidRPr="00E535A5" w:rsidRDefault="003E6989" w:rsidP="003E6989">
      <w:pPr>
        <w:pStyle w:val="GreyShadeTableBreak"/>
      </w:pPr>
      <w:r w:rsidRPr="00E535A5">
        <w:t>Settlement is usually made according to the terms and conditions of each grant.  This is usually within 30 days of performance or eligibility.</w:t>
      </w:r>
    </w:p>
    <w:p w:rsidR="003E6989" w:rsidRDefault="003E6989" w:rsidP="003E6989">
      <w:pPr>
        <w:pStyle w:val="GreyShadeTableBreak"/>
      </w:pPr>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nil"/>
              <w:left w:val="nil"/>
              <w:bottom w:val="nil"/>
              <w:right w:val="nil"/>
            </w:tcBorders>
            <w:shd w:val="clear" w:color="000000" w:fill="D9D9D9"/>
            <w:noWrap/>
            <w:hideMark/>
          </w:tcPr>
          <w:p w:rsidR="003E6989" w:rsidRDefault="003E6989" w:rsidP="006A5410">
            <w:pPr>
              <w:rPr>
                <w:rFonts w:cs="Calibri"/>
                <w:b/>
                <w:bCs/>
                <w:szCs w:val="18"/>
                <w:u w:val="single"/>
              </w:rPr>
            </w:pPr>
            <w:bookmarkStart w:id="432" w:name="Note_AOPTABLE1" w:colFirst="0" w:colLast="0"/>
            <w:r>
              <w:rPr>
                <w:rFonts w:cs="Calibri"/>
                <w:b/>
                <w:bCs/>
                <w:szCs w:val="18"/>
                <w:u w:val="single"/>
              </w:rPr>
              <w:t>4.3D: Other payables</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bookmarkEnd w:id="432"/>
      <w:tr w:rsidR="003E6989" w:rsidTr="006A5410">
        <w:trPr>
          <w:trHeight w:val="255"/>
        </w:trPr>
        <w:tc>
          <w:tcPr>
            <w:tcW w:w="6272"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Statutory payable</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37,081</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17,701</w:t>
            </w:r>
          </w:p>
        </w:tc>
      </w:tr>
      <w:tr w:rsidR="003E6989" w:rsidTr="006A5410">
        <w:trPr>
          <w:trHeight w:val="255"/>
        </w:trPr>
        <w:tc>
          <w:tcPr>
            <w:tcW w:w="6272" w:type="dxa"/>
            <w:tcBorders>
              <w:top w:val="nil"/>
              <w:left w:val="nil"/>
              <w:bottom w:val="nil"/>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other payables</w:t>
            </w:r>
          </w:p>
        </w:tc>
        <w:tc>
          <w:tcPr>
            <w:tcW w:w="1238"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37,081</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17,701</w:t>
            </w:r>
          </w:p>
        </w:tc>
      </w:tr>
      <w:tr w:rsidR="003E6989" w:rsidTr="006A5410">
        <w:trPr>
          <w:trHeight w:val="255"/>
        </w:trPr>
        <w:tc>
          <w:tcPr>
            <w:tcW w:w="6272"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Other payables expected to be settled</w:t>
            </w:r>
          </w:p>
        </w:tc>
        <w:tc>
          <w:tcPr>
            <w:tcW w:w="1238"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6272" w:type="dxa"/>
            <w:tcBorders>
              <w:top w:val="nil"/>
              <w:left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No more than 12 months</w:t>
            </w:r>
          </w:p>
        </w:tc>
        <w:tc>
          <w:tcPr>
            <w:tcW w:w="1238"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37,081 </w:t>
            </w:r>
          </w:p>
        </w:tc>
        <w:tc>
          <w:tcPr>
            <w:tcW w:w="2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3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17,701 </w:t>
            </w:r>
          </w:p>
        </w:tc>
      </w:tr>
      <w:tr w:rsidR="003E6989" w:rsidTr="006A5410">
        <w:trPr>
          <w:trHeight w:val="270"/>
        </w:trPr>
        <w:tc>
          <w:tcPr>
            <w:tcW w:w="6272" w:type="dxa"/>
            <w:tcBorders>
              <w:top w:val="nil"/>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other payables</w:t>
            </w:r>
          </w:p>
        </w:tc>
        <w:tc>
          <w:tcPr>
            <w:tcW w:w="1238"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37,081</w:t>
            </w:r>
          </w:p>
        </w:tc>
        <w:tc>
          <w:tcPr>
            <w:tcW w:w="236"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 </w:t>
            </w:r>
          </w:p>
        </w:tc>
        <w:tc>
          <w:tcPr>
            <w:tcW w:w="123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17,701</w:t>
            </w:r>
          </w:p>
        </w:tc>
      </w:tr>
    </w:tbl>
    <w:p w:rsidR="003E6989" w:rsidRDefault="003E6989" w:rsidP="003E6989">
      <w:pPr>
        <w:spacing w:line="240" w:lineRule="auto"/>
      </w:pPr>
      <w:bookmarkStart w:id="433" w:name="RANGE!D7:D15"/>
      <w:bookmarkEnd w:id="433"/>
      <w:r>
        <w:br w:type="page"/>
      </w:r>
    </w:p>
    <w:p w:rsidR="003E6989" w:rsidRDefault="003E6989" w:rsidP="003E6989">
      <w:pPr>
        <w:pStyle w:val="SubHeading"/>
      </w:pPr>
      <w:bookmarkStart w:id="434" w:name="_Toc455416743"/>
      <w:bookmarkStart w:id="435" w:name="_Toc464726634"/>
      <w:r>
        <w:t>Administered – Other Provisions</w:t>
      </w:r>
      <w:bookmarkEnd w:id="434"/>
      <w:bookmarkEnd w:id="435"/>
    </w:p>
    <w:p w:rsidR="003E6989" w:rsidRDefault="003E6989" w:rsidP="003E6989">
      <w:pPr>
        <w:pStyle w:val="GreyShadeTableBreak"/>
      </w:pPr>
    </w:p>
    <w:tbl>
      <w:tblPr>
        <w:tblW w:w="9087" w:type="dxa"/>
        <w:tblInd w:w="80" w:type="dxa"/>
        <w:tblLayout w:type="fixed"/>
        <w:tblLook w:val="04A0" w:firstRow="1" w:lastRow="0" w:firstColumn="1" w:lastColumn="0" w:noHBand="0" w:noVBand="1"/>
      </w:tblPr>
      <w:tblGrid>
        <w:gridCol w:w="4997"/>
        <w:gridCol w:w="1194"/>
        <w:gridCol w:w="1448"/>
        <w:gridCol w:w="1448"/>
      </w:tblGrid>
      <w:tr w:rsidR="003E6989" w:rsidTr="006A5410">
        <w:trPr>
          <w:trHeight w:val="255"/>
        </w:trPr>
        <w:tc>
          <w:tcPr>
            <w:tcW w:w="6628" w:type="dxa"/>
            <w:gridSpan w:val="3"/>
            <w:tcBorders>
              <w:top w:val="nil"/>
              <w:left w:val="nil"/>
              <w:bottom w:val="nil"/>
              <w:right w:val="nil"/>
            </w:tcBorders>
            <w:shd w:val="clear" w:color="000000" w:fill="D9D9D9"/>
            <w:noWrap/>
            <w:hideMark/>
          </w:tcPr>
          <w:p w:rsidR="003E6989" w:rsidRDefault="003E6989" w:rsidP="006A5410">
            <w:pPr>
              <w:rPr>
                <w:rFonts w:cs="Calibri"/>
                <w:b/>
                <w:bCs/>
                <w:szCs w:val="18"/>
                <w:u w:val="single"/>
              </w:rPr>
            </w:pPr>
            <w:bookmarkStart w:id="436" w:name="Note_APTTABLE1" w:colFirst="0" w:colLast="0"/>
            <w:r>
              <w:rPr>
                <w:rFonts w:cs="Calibri"/>
                <w:b/>
                <w:bCs/>
                <w:szCs w:val="18"/>
                <w:u w:val="single"/>
              </w:rPr>
              <w:t>4.4A: Reconciliation of movements in provisions for grants and personal benefits</w:t>
            </w:r>
          </w:p>
        </w:tc>
        <w:tc>
          <w:tcPr>
            <w:tcW w:w="1256"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 </w:t>
            </w:r>
          </w:p>
        </w:tc>
      </w:tr>
      <w:bookmarkEnd w:id="436"/>
      <w:tr w:rsidR="003E6989" w:rsidTr="006A5410">
        <w:trPr>
          <w:trHeight w:val="255"/>
        </w:trPr>
        <w:tc>
          <w:tcPr>
            <w:tcW w:w="433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 </w:t>
            </w:r>
          </w:p>
        </w:tc>
        <w:tc>
          <w:tcPr>
            <w:tcW w:w="1036"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 </w:t>
            </w:r>
          </w:p>
        </w:tc>
        <w:tc>
          <w:tcPr>
            <w:tcW w:w="1256"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 </w:t>
            </w:r>
          </w:p>
        </w:tc>
        <w:tc>
          <w:tcPr>
            <w:tcW w:w="1256"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 </w:t>
            </w:r>
          </w:p>
        </w:tc>
      </w:tr>
      <w:tr w:rsidR="003E6989" w:rsidTr="006A5410">
        <w:trPr>
          <w:trHeight w:val="720"/>
        </w:trPr>
        <w:tc>
          <w:tcPr>
            <w:tcW w:w="4336" w:type="dxa"/>
            <w:tcBorders>
              <w:top w:val="single" w:sz="4" w:space="0" w:color="auto"/>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36" w:type="dxa"/>
            <w:tcBorders>
              <w:top w:val="single" w:sz="4" w:space="0" w:color="auto"/>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Provisions for grants</w:t>
            </w:r>
          </w:p>
        </w:tc>
        <w:tc>
          <w:tcPr>
            <w:tcW w:w="1256" w:type="dxa"/>
            <w:tcBorders>
              <w:top w:val="single" w:sz="4" w:space="0" w:color="auto"/>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Provisions for personal benefits</w:t>
            </w:r>
          </w:p>
        </w:tc>
        <w:tc>
          <w:tcPr>
            <w:tcW w:w="1256" w:type="dxa"/>
            <w:tcBorders>
              <w:top w:val="single" w:sz="4" w:space="0" w:color="auto"/>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Total</w:t>
            </w:r>
          </w:p>
        </w:tc>
      </w:tr>
      <w:tr w:rsidR="003E6989" w:rsidTr="006A5410">
        <w:trPr>
          <w:trHeight w:val="255"/>
        </w:trPr>
        <w:tc>
          <w:tcPr>
            <w:tcW w:w="4336" w:type="dxa"/>
            <w:tcBorders>
              <w:top w:val="nil"/>
              <w:left w:val="nil"/>
              <w:bottom w:val="single" w:sz="4" w:space="0" w:color="auto"/>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36" w:type="dxa"/>
            <w:tcBorders>
              <w:top w:val="nil"/>
              <w:left w:val="nil"/>
              <w:bottom w:val="single" w:sz="4" w:space="0" w:color="auto"/>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$’000</w:t>
            </w:r>
          </w:p>
        </w:tc>
        <w:tc>
          <w:tcPr>
            <w:tcW w:w="1256" w:type="dxa"/>
            <w:tcBorders>
              <w:top w:val="nil"/>
              <w:left w:val="nil"/>
              <w:bottom w:val="single" w:sz="4" w:space="0" w:color="auto"/>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$’000</w:t>
            </w:r>
          </w:p>
        </w:tc>
        <w:tc>
          <w:tcPr>
            <w:tcW w:w="1256" w:type="dxa"/>
            <w:tcBorders>
              <w:top w:val="nil"/>
              <w:left w:val="nil"/>
              <w:bottom w:val="single" w:sz="4" w:space="0" w:color="auto"/>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$’000</w:t>
            </w:r>
          </w:p>
        </w:tc>
      </w:tr>
      <w:tr w:rsidR="003E6989" w:rsidTr="006A5410">
        <w:trPr>
          <w:trHeight w:val="255"/>
        </w:trPr>
        <w:tc>
          <w:tcPr>
            <w:tcW w:w="4336"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Opening balance</w:t>
            </w:r>
          </w:p>
        </w:tc>
        <w:tc>
          <w:tcPr>
            <w:tcW w:w="103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6,068,013</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6,068,013</w:t>
            </w:r>
          </w:p>
        </w:tc>
      </w:tr>
      <w:tr w:rsidR="003E6989" w:rsidTr="006A5410">
        <w:trPr>
          <w:trHeight w:val="255"/>
        </w:trPr>
        <w:tc>
          <w:tcPr>
            <w:tcW w:w="4336" w:type="dxa"/>
            <w:tcBorders>
              <w:top w:val="nil"/>
              <w:left w:val="nil"/>
              <w:bottom w:val="single" w:sz="4" w:space="0" w:color="D9D9D9"/>
              <w:right w:val="nil"/>
            </w:tcBorders>
            <w:shd w:val="clear" w:color="000000" w:fill="D9D9D9"/>
            <w:vAlign w:val="bottom"/>
            <w:hideMark/>
          </w:tcPr>
          <w:p w:rsidR="003E6989" w:rsidRDefault="003E6989" w:rsidP="006A5410">
            <w:pPr>
              <w:rPr>
                <w:rFonts w:cs="Calibri"/>
                <w:szCs w:val="18"/>
              </w:rPr>
            </w:pPr>
            <w:r>
              <w:rPr>
                <w:rFonts w:cs="Calibri"/>
                <w:szCs w:val="18"/>
              </w:rPr>
              <w:t>Additional provisions made</w:t>
            </w:r>
          </w:p>
        </w:tc>
        <w:tc>
          <w:tcPr>
            <w:tcW w:w="103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126,042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126,042</w:t>
            </w:r>
          </w:p>
        </w:tc>
      </w:tr>
      <w:tr w:rsidR="003E6989" w:rsidTr="006A5410">
        <w:trPr>
          <w:trHeight w:val="255"/>
        </w:trPr>
        <w:tc>
          <w:tcPr>
            <w:tcW w:w="4336" w:type="dxa"/>
            <w:tcBorders>
              <w:top w:val="nil"/>
              <w:left w:val="nil"/>
              <w:bottom w:val="single" w:sz="4" w:space="0" w:color="D9D9D9"/>
              <w:right w:val="nil"/>
            </w:tcBorders>
            <w:shd w:val="clear" w:color="000000" w:fill="D9D9D9"/>
            <w:vAlign w:val="bottom"/>
            <w:hideMark/>
          </w:tcPr>
          <w:p w:rsidR="003E6989" w:rsidRDefault="003E6989" w:rsidP="006A5410">
            <w:pPr>
              <w:rPr>
                <w:rFonts w:cs="Calibri"/>
                <w:szCs w:val="18"/>
              </w:rPr>
            </w:pPr>
            <w:r>
              <w:rPr>
                <w:rFonts w:cs="Calibri"/>
                <w:szCs w:val="18"/>
              </w:rPr>
              <w:t>Amounts used</w:t>
            </w:r>
          </w:p>
        </w:tc>
        <w:tc>
          <w:tcPr>
            <w:tcW w:w="103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(211,363)</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(211,363)</w:t>
            </w:r>
          </w:p>
        </w:tc>
      </w:tr>
      <w:tr w:rsidR="003E6989" w:rsidTr="006A5410">
        <w:trPr>
          <w:trHeight w:val="255"/>
        </w:trPr>
        <w:tc>
          <w:tcPr>
            <w:tcW w:w="4336" w:type="dxa"/>
            <w:tcBorders>
              <w:top w:val="nil"/>
              <w:left w:val="nil"/>
              <w:bottom w:val="single" w:sz="4" w:space="0" w:color="D9D9D9"/>
              <w:right w:val="nil"/>
            </w:tcBorders>
            <w:shd w:val="clear" w:color="000000" w:fill="D9D9D9"/>
            <w:vAlign w:val="bottom"/>
            <w:hideMark/>
          </w:tcPr>
          <w:p w:rsidR="003E6989" w:rsidRDefault="003E6989" w:rsidP="006A5410">
            <w:pPr>
              <w:rPr>
                <w:rFonts w:cs="Calibri"/>
                <w:szCs w:val="18"/>
              </w:rPr>
            </w:pPr>
            <w:r>
              <w:rPr>
                <w:rFonts w:cs="Calibri"/>
                <w:szCs w:val="18"/>
              </w:rPr>
              <w:t>Increase (decrease) in net cost of services</w:t>
            </w:r>
          </w:p>
        </w:tc>
        <w:tc>
          <w:tcPr>
            <w:tcW w:w="103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1,102,361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1,102,361</w:t>
            </w:r>
          </w:p>
        </w:tc>
      </w:tr>
      <w:tr w:rsidR="003E6989" w:rsidTr="006A5410">
        <w:trPr>
          <w:trHeight w:val="255"/>
        </w:trPr>
        <w:tc>
          <w:tcPr>
            <w:tcW w:w="4336" w:type="dxa"/>
            <w:tcBorders>
              <w:top w:val="nil"/>
              <w:left w:val="nil"/>
              <w:bottom w:val="single" w:sz="4" w:space="0" w:color="D9D9D9"/>
              <w:right w:val="nil"/>
            </w:tcBorders>
            <w:shd w:val="clear" w:color="000000" w:fill="D9D9D9"/>
            <w:vAlign w:val="bottom"/>
            <w:hideMark/>
          </w:tcPr>
          <w:p w:rsidR="003E6989" w:rsidRDefault="003E6989" w:rsidP="006A5410">
            <w:pPr>
              <w:rPr>
                <w:rFonts w:cs="Calibri"/>
                <w:szCs w:val="18"/>
              </w:rPr>
            </w:pPr>
            <w:r>
              <w:rPr>
                <w:rFonts w:cs="Calibri"/>
                <w:szCs w:val="18"/>
              </w:rPr>
              <w:t>Restructuring</w:t>
            </w:r>
          </w:p>
        </w:tc>
        <w:tc>
          <w:tcPr>
            <w:tcW w:w="103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746,777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746,777</w:t>
            </w:r>
          </w:p>
        </w:tc>
      </w:tr>
      <w:tr w:rsidR="003E6989" w:rsidTr="006A5410">
        <w:trPr>
          <w:trHeight w:val="255"/>
        </w:trPr>
        <w:tc>
          <w:tcPr>
            <w:tcW w:w="4336" w:type="dxa"/>
            <w:tcBorders>
              <w:top w:val="single" w:sz="4" w:space="0" w:color="auto"/>
              <w:left w:val="nil"/>
              <w:bottom w:val="single" w:sz="4" w:space="0" w:color="auto"/>
              <w:right w:val="nil"/>
            </w:tcBorders>
            <w:shd w:val="clear" w:color="000000" w:fill="D9D9D9"/>
            <w:vAlign w:val="bottom"/>
            <w:hideMark/>
          </w:tcPr>
          <w:p w:rsidR="003E6989" w:rsidRDefault="003E6989" w:rsidP="006A5410">
            <w:pPr>
              <w:rPr>
                <w:rFonts w:cs="Calibri"/>
                <w:b/>
                <w:bCs/>
                <w:szCs w:val="18"/>
              </w:rPr>
            </w:pPr>
            <w:r>
              <w:rPr>
                <w:rFonts w:cs="Calibri"/>
                <w:b/>
                <w:bCs/>
                <w:szCs w:val="18"/>
              </w:rPr>
              <w:t>Total as at 30 June 2016</w:t>
            </w:r>
          </w:p>
        </w:tc>
        <w:tc>
          <w:tcPr>
            <w:tcW w:w="103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6,959,011</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872,819</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7,831,830</w:t>
            </w:r>
          </w:p>
        </w:tc>
      </w:tr>
    </w:tbl>
    <w:p w:rsidR="003E6989" w:rsidRPr="00BC53DC" w:rsidRDefault="003E6989" w:rsidP="003E6989">
      <w:pPr>
        <w:pStyle w:val="GreyShadeTableBreak"/>
      </w:pPr>
    </w:p>
    <w:tbl>
      <w:tblPr>
        <w:tblW w:w="9087" w:type="dxa"/>
        <w:tblInd w:w="80" w:type="dxa"/>
        <w:tblLayout w:type="fixed"/>
        <w:tblLook w:val="04A0" w:firstRow="1" w:lastRow="0" w:firstColumn="1" w:lastColumn="0" w:noHBand="0" w:noVBand="1"/>
      </w:tblPr>
      <w:tblGrid>
        <w:gridCol w:w="6473"/>
        <w:gridCol w:w="1161"/>
        <w:gridCol w:w="292"/>
        <w:gridCol w:w="1161"/>
      </w:tblGrid>
      <w:tr w:rsidR="003E6989" w:rsidTr="006A5410">
        <w:trPr>
          <w:trHeight w:val="240"/>
        </w:trPr>
        <w:tc>
          <w:tcPr>
            <w:tcW w:w="577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bookmarkStart w:id="437" w:name="Note_APRTABLE1" w:colFirst="0" w:colLast="0"/>
            <w:r>
              <w:rPr>
                <w:rFonts w:cs="Calibri"/>
                <w:sz w:val="16"/>
                <w:szCs w:val="16"/>
              </w:rPr>
              <w:t> </w:t>
            </w:r>
          </w:p>
        </w:tc>
        <w:tc>
          <w:tcPr>
            <w:tcW w:w="1036"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2016</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2015</w:t>
            </w:r>
          </w:p>
        </w:tc>
      </w:tr>
      <w:bookmarkEnd w:id="437"/>
      <w:tr w:rsidR="003E6989" w:rsidTr="006A5410">
        <w:trPr>
          <w:trHeight w:val="240"/>
        </w:trPr>
        <w:tc>
          <w:tcPr>
            <w:tcW w:w="5776" w:type="dxa"/>
            <w:tcBorders>
              <w:top w:val="nil"/>
              <w:left w:val="nil"/>
              <w:bottom w:val="nil"/>
              <w:right w:val="nil"/>
            </w:tcBorders>
            <w:shd w:val="clear" w:color="000000" w:fill="D9D9D9"/>
            <w:noWrap/>
            <w:hideMark/>
          </w:tcPr>
          <w:p w:rsidR="003E6989" w:rsidRDefault="003E6989" w:rsidP="006A5410">
            <w:pPr>
              <w:rPr>
                <w:rFonts w:cs="Calibri"/>
                <w:b/>
                <w:bCs/>
                <w:szCs w:val="18"/>
              </w:rPr>
            </w:pPr>
            <w:r>
              <w:rPr>
                <w:rFonts w:cs="Calibri"/>
                <w:b/>
                <w:bCs/>
                <w:szCs w:val="18"/>
              </w:rPr>
              <w:t> </w:t>
            </w:r>
          </w:p>
        </w:tc>
        <w:tc>
          <w:tcPr>
            <w:tcW w:w="1036"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$'000</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0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577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Provisions for personal benefits expected to be settled</w:t>
            </w:r>
          </w:p>
        </w:tc>
        <w:tc>
          <w:tcPr>
            <w:tcW w:w="10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5776" w:type="dxa"/>
            <w:tcBorders>
              <w:top w:val="nil"/>
              <w:left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No more than 12 months</w:t>
            </w:r>
          </w:p>
        </w:tc>
        <w:tc>
          <w:tcPr>
            <w:tcW w:w="10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872,819</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w:t>
            </w:r>
          </w:p>
        </w:tc>
      </w:tr>
      <w:tr w:rsidR="003E6989" w:rsidTr="006A5410">
        <w:trPr>
          <w:trHeight w:val="270"/>
        </w:trPr>
        <w:tc>
          <w:tcPr>
            <w:tcW w:w="5776" w:type="dxa"/>
            <w:tcBorders>
              <w:top w:val="nil"/>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other provisions</w:t>
            </w:r>
          </w:p>
        </w:tc>
        <w:tc>
          <w:tcPr>
            <w:tcW w:w="103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872,819</w:t>
            </w:r>
          </w:p>
        </w:tc>
        <w:tc>
          <w:tcPr>
            <w:tcW w:w="261"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 </w:t>
            </w:r>
          </w:p>
        </w:tc>
        <w:tc>
          <w:tcPr>
            <w:tcW w:w="103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w:t>
            </w:r>
          </w:p>
        </w:tc>
      </w:tr>
    </w:tbl>
    <w:p w:rsidR="003E6989" w:rsidRDefault="003E6989" w:rsidP="003E6989">
      <w:pPr>
        <w:pStyle w:val="GreyShadeTableBreak"/>
      </w:pPr>
      <w:bookmarkStart w:id="438" w:name="RANGE!D7:D17"/>
      <w:bookmarkEnd w:id="438"/>
    </w:p>
    <w:tbl>
      <w:tblPr>
        <w:tblW w:w="9087" w:type="dxa"/>
        <w:tblInd w:w="80" w:type="dxa"/>
        <w:tblLayout w:type="fixed"/>
        <w:tblLook w:val="04A0" w:firstRow="1" w:lastRow="0" w:firstColumn="1" w:lastColumn="0" w:noHBand="0" w:noVBand="1"/>
      </w:tblPr>
      <w:tblGrid>
        <w:gridCol w:w="6279"/>
        <w:gridCol w:w="1247"/>
        <w:gridCol w:w="314"/>
        <w:gridCol w:w="1247"/>
      </w:tblGrid>
      <w:tr w:rsidR="003E6989" w:rsidTr="006A5410">
        <w:trPr>
          <w:trHeight w:val="240"/>
        </w:trPr>
        <w:tc>
          <w:tcPr>
            <w:tcW w:w="521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bookmarkStart w:id="439" w:name="Note_APGTABLE1" w:colFirst="0" w:colLast="0"/>
            <w:r>
              <w:rPr>
                <w:rFonts w:cs="Calibri"/>
                <w:b/>
                <w:bCs/>
                <w:szCs w:val="18"/>
              </w:rPr>
              <w:t>Provision for grants expected to be settled</w:t>
            </w:r>
          </w:p>
        </w:tc>
        <w:tc>
          <w:tcPr>
            <w:tcW w:w="10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bookmarkEnd w:id="439"/>
      <w:tr w:rsidR="003E6989" w:rsidTr="006A5410">
        <w:trPr>
          <w:trHeight w:val="240"/>
        </w:trPr>
        <w:tc>
          <w:tcPr>
            <w:tcW w:w="5216" w:type="dxa"/>
            <w:tcBorders>
              <w:top w:val="nil"/>
              <w:left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More than 12 months</w:t>
            </w:r>
          </w:p>
        </w:tc>
        <w:tc>
          <w:tcPr>
            <w:tcW w:w="10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6,959,011</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3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6,068,013</w:t>
            </w:r>
          </w:p>
        </w:tc>
      </w:tr>
      <w:tr w:rsidR="003E6989" w:rsidTr="006A5410">
        <w:trPr>
          <w:trHeight w:val="240"/>
        </w:trPr>
        <w:tc>
          <w:tcPr>
            <w:tcW w:w="5216" w:type="dxa"/>
            <w:tcBorders>
              <w:top w:val="nil"/>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provisions for grants</w:t>
            </w:r>
          </w:p>
        </w:tc>
        <w:tc>
          <w:tcPr>
            <w:tcW w:w="103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6,959,011</w:t>
            </w:r>
          </w:p>
        </w:tc>
        <w:tc>
          <w:tcPr>
            <w:tcW w:w="261"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 </w:t>
            </w:r>
          </w:p>
        </w:tc>
        <w:tc>
          <w:tcPr>
            <w:tcW w:w="103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6,068,013</w:t>
            </w:r>
          </w:p>
        </w:tc>
      </w:tr>
    </w:tbl>
    <w:p w:rsidR="003E6989" w:rsidRDefault="003E6989" w:rsidP="003E6989">
      <w:pPr>
        <w:pStyle w:val="GreyShadeTableBreak"/>
      </w:pPr>
    </w:p>
    <w:p w:rsidR="003E6989" w:rsidRPr="008B0346" w:rsidRDefault="003E6989" w:rsidP="003E6989">
      <w:pPr>
        <w:pStyle w:val="PolicyTextAdminbold"/>
        <w:spacing w:before="100" w:after="100" w:line="240" w:lineRule="auto"/>
      </w:pPr>
      <w:r w:rsidRPr="008B0346">
        <w:t>Accounting Policy</w:t>
      </w:r>
    </w:p>
    <w:p w:rsidR="003E6989" w:rsidRPr="008B0346" w:rsidRDefault="003E6989" w:rsidP="003E6989">
      <w:pPr>
        <w:pStyle w:val="PlicytextAdminUnderline"/>
        <w:spacing w:before="100" w:after="100" w:line="240" w:lineRule="auto"/>
      </w:pPr>
      <w:r>
        <w:t>Higher Education</w:t>
      </w:r>
      <w:r w:rsidRPr="008B0346">
        <w:t xml:space="preserve"> Superannuation Provision for Australian Universities</w:t>
      </w:r>
    </w:p>
    <w:p w:rsidR="003E6989" w:rsidRPr="00151260" w:rsidRDefault="003E6989" w:rsidP="003E6989">
      <w:pPr>
        <w:pStyle w:val="PolicyTextAdmin"/>
        <w:spacing w:before="100" w:after="100" w:line="240" w:lineRule="auto"/>
      </w:pPr>
      <w:r w:rsidRPr="00E90245">
        <w:t>H</w:t>
      </w:r>
      <w:r w:rsidRPr="00151260">
        <w:t>istorically, funding responsibility for universities has varied from time to time between the Commonwealth and the States.</w:t>
      </w:r>
    </w:p>
    <w:p w:rsidR="003E6989" w:rsidRPr="00151260" w:rsidRDefault="003E6989" w:rsidP="003E6989">
      <w:pPr>
        <w:pStyle w:val="PolicyTextAdmin"/>
        <w:spacing w:before="100" w:after="100" w:line="240" w:lineRule="auto"/>
      </w:pPr>
      <w:r w:rsidRPr="00151260">
        <w:t>A number of universities have employees or former employees who are members of old State-based superannuation schemes which are unfunded or partly funded. Accordingly, there are cost sharing arrangements for these schemes in place between the Commonwealth and the States.</w:t>
      </w:r>
    </w:p>
    <w:p w:rsidR="003E6989" w:rsidRPr="00151260" w:rsidRDefault="003E6989" w:rsidP="003E6989">
      <w:pPr>
        <w:pStyle w:val="PolicyTextAdmin"/>
        <w:spacing w:before="100" w:after="100" w:line="240" w:lineRule="auto"/>
      </w:pPr>
      <w:r w:rsidRPr="00151260">
        <w:t>The Commonwealth recognises the amount payable to eligible universities in Victoria, South Australia, Western Australia, Tasmania, Northern Territory and the Australian Capital Territory for these entitlements in full. The Commonwealth is then reimbursed by the States for their share of the costs.</w:t>
      </w:r>
    </w:p>
    <w:p w:rsidR="003E6989" w:rsidRPr="00151260" w:rsidRDefault="003E6989" w:rsidP="003E6989">
      <w:pPr>
        <w:pStyle w:val="PolicyTextAdmin"/>
        <w:spacing w:before="100" w:after="100" w:line="240" w:lineRule="auto"/>
      </w:pPr>
      <w:r w:rsidRPr="00151260">
        <w:t>For universities in NSW, different cost share arrange</w:t>
      </w:r>
      <w:r>
        <w:t xml:space="preserve">ments were introduced in 2014. </w:t>
      </w:r>
      <w:r w:rsidRPr="00151260">
        <w:t>The Commonwealth recognises a liability for 78 per cent of the amount payable to NSW universities and the NSW State government recognises a liability for 22 per cent of the amount payable to NSW un</w:t>
      </w:r>
      <w:r>
        <w:t xml:space="preserve">iversities. </w:t>
      </w:r>
      <w:r w:rsidRPr="00151260">
        <w:t>Consequently</w:t>
      </w:r>
      <w:r>
        <w:t>,</w:t>
      </w:r>
      <w:r w:rsidRPr="00151260">
        <w:t xml:space="preserve"> there is no reimbursement from NSW.</w:t>
      </w:r>
    </w:p>
    <w:p w:rsidR="003E6989" w:rsidRPr="00151260" w:rsidRDefault="003E6989" w:rsidP="003E6989">
      <w:pPr>
        <w:pStyle w:val="PolicyTextAdmin"/>
        <w:spacing w:before="100" w:after="100" w:line="240" w:lineRule="auto"/>
      </w:pPr>
      <w:r>
        <w:t>The d</w:t>
      </w:r>
      <w:r w:rsidRPr="00151260">
        <w:t xml:space="preserve">epartment recognises two items in its Financial Statements that relate to </w:t>
      </w:r>
      <w:r w:rsidRPr="00EE21FB">
        <w:t>the Higher Education Superannuation</w:t>
      </w:r>
      <w:r w:rsidRPr="00151260">
        <w:t xml:space="preserve"> for Australian Universities – a liability and a receivable.</w:t>
      </w:r>
    </w:p>
    <w:p w:rsidR="003E6989" w:rsidRPr="00151260" w:rsidRDefault="003E6989" w:rsidP="003E6989">
      <w:pPr>
        <w:pStyle w:val="PolicyTextAdmin"/>
        <w:spacing w:before="100" w:after="100" w:line="240" w:lineRule="auto"/>
      </w:pPr>
      <w:r w:rsidRPr="00151260">
        <w:t>The liability comprises a provision for:</w:t>
      </w:r>
    </w:p>
    <w:p w:rsidR="003E6989" w:rsidRPr="00151260" w:rsidRDefault="003E6989" w:rsidP="003E6989">
      <w:pPr>
        <w:pStyle w:val="PolicyTextadminbullets"/>
        <w:spacing w:before="100" w:after="100" w:line="240" w:lineRule="auto"/>
      </w:pPr>
      <w:r w:rsidRPr="00151260">
        <w:t xml:space="preserve">the total amount of funding expected to </w:t>
      </w:r>
      <w:r>
        <w:t xml:space="preserve">be paid by the Commonwealth to </w:t>
      </w:r>
      <w:r w:rsidRPr="00151260">
        <w:t>universities in Victoria, South Australia, Western Australia, Tasmania, Northern Territory and the Australian Capital Territory; and</w:t>
      </w:r>
    </w:p>
    <w:p w:rsidR="003E6989" w:rsidRPr="00151260" w:rsidRDefault="003E6989" w:rsidP="003E6989">
      <w:pPr>
        <w:pStyle w:val="PolicyTextadminbullets"/>
        <w:spacing w:before="100" w:after="100" w:line="240" w:lineRule="auto"/>
      </w:pPr>
      <w:r w:rsidRPr="00151260">
        <w:t>78 per cent of the funding expected to be paid to universities in NSW.</w:t>
      </w:r>
    </w:p>
    <w:p w:rsidR="003E6989" w:rsidRPr="00151260" w:rsidRDefault="003E6989" w:rsidP="003E6989">
      <w:pPr>
        <w:pStyle w:val="PolicyTextAdmin"/>
        <w:spacing w:before="100" w:after="100" w:line="240" w:lineRule="auto"/>
      </w:pPr>
      <w:r w:rsidRPr="00151260">
        <w:t>The provision is an estimate of the outstanding employer contribution obligations to the various old State based superannuation schemes to which some of their former employees belong.</w:t>
      </w:r>
    </w:p>
    <w:p w:rsidR="003E6989" w:rsidRPr="00151260" w:rsidRDefault="003E6989" w:rsidP="003E6989">
      <w:pPr>
        <w:pStyle w:val="PolicyTextAdmin"/>
        <w:spacing w:before="100" w:after="100" w:line="240" w:lineRule="auto"/>
      </w:pPr>
      <w:r w:rsidRPr="00151260">
        <w:t xml:space="preserve">The provision is recognised in accordance with AASB 137 </w:t>
      </w:r>
      <w:r w:rsidRPr="0002493D">
        <w:rPr>
          <w:i/>
        </w:rPr>
        <w:t>Provisions, Contingent Liabilities and Contingent Assets</w:t>
      </w:r>
      <w:r w:rsidRPr="00151260">
        <w:t>, which requires the recognition of a provision where it is probable that a future sacrifice of economic benefit will be required and where the provision can be measured reliably, as a best estimate of the expenditure required to settle the present obligation at reporting date.</w:t>
      </w:r>
    </w:p>
    <w:p w:rsidR="003E6989" w:rsidRPr="00151260" w:rsidRDefault="003E6989" w:rsidP="003E6989">
      <w:pPr>
        <w:pStyle w:val="PolicyTextAdmin"/>
        <w:spacing w:before="100" w:after="100" w:line="240" w:lineRule="auto"/>
      </w:pPr>
      <w:r w:rsidRPr="00151260">
        <w:t>The receivable comprises the contributions due and payable by the States Governments of Victoria, South Australia, Western Australia and Tasmania to the Commonwealth under the cost sharing arrangement – representing each State’s share of the outstanding superannuation entitlement as at reporting date.</w:t>
      </w:r>
    </w:p>
    <w:p w:rsidR="003E6989" w:rsidRPr="00151260" w:rsidRDefault="003E6989" w:rsidP="003E6989">
      <w:pPr>
        <w:pStyle w:val="PolicyTextAdmin"/>
        <w:spacing w:before="100" w:after="100" w:line="240" w:lineRule="auto"/>
      </w:pPr>
      <w:r w:rsidRPr="00151260">
        <w:t xml:space="preserve">The Australian Government Actuary (AGA) provides an estimate of both the liability and receivable, based on data and calculations provided by each university’s respective actuary. Both the AGA and the Department apply the provisions of AASB 119 </w:t>
      </w:r>
      <w:r w:rsidRPr="0002493D">
        <w:rPr>
          <w:i/>
        </w:rPr>
        <w:t>Employee Benefits</w:t>
      </w:r>
      <w:r w:rsidRPr="00151260">
        <w:t xml:space="preserve"> in measuring the liability at reporting date. </w:t>
      </w:r>
    </w:p>
    <w:p w:rsidR="003E6989" w:rsidRPr="00151260" w:rsidRDefault="003E6989" w:rsidP="003E6989">
      <w:pPr>
        <w:pStyle w:val="PlicytextAdminUnderline"/>
        <w:spacing w:before="100" w:after="100" w:line="240" w:lineRule="auto"/>
      </w:pPr>
      <w:r w:rsidRPr="00151260">
        <w:t>Personal Benefits</w:t>
      </w:r>
    </w:p>
    <w:p w:rsidR="003E6989" w:rsidRPr="00151260" w:rsidRDefault="003E6989" w:rsidP="003E6989">
      <w:pPr>
        <w:pStyle w:val="PolicyTextAdmin"/>
        <w:spacing w:before="100" w:after="100" w:line="240" w:lineRule="auto"/>
      </w:pPr>
      <w:r w:rsidRPr="00151260">
        <w:t xml:space="preserve">The department administers a number of personal benefit programmes on behalf of the government that provide entitlements to individuals. Payments are determined in accordance with provisions under social security law and other legislation. </w:t>
      </w:r>
    </w:p>
    <w:p w:rsidR="003E6989" w:rsidRPr="00151260" w:rsidRDefault="003E6989" w:rsidP="003E6989">
      <w:pPr>
        <w:pStyle w:val="PolicyTextAdmin"/>
        <w:spacing w:before="100" w:after="100" w:line="240" w:lineRule="auto"/>
      </w:pPr>
      <w:r w:rsidRPr="00151260">
        <w:t xml:space="preserve">The department made payments in accordance with family assistance law (comprising the </w:t>
      </w:r>
      <w:r w:rsidRPr="000B0704">
        <w:rPr>
          <w:i/>
        </w:rPr>
        <w:t>A New Tax System (Family Assistance) Act 1999</w:t>
      </w:r>
      <w:r w:rsidRPr="00151260">
        <w:t xml:space="preserve"> and </w:t>
      </w:r>
      <w:r w:rsidRPr="000B0704">
        <w:rPr>
          <w:i/>
        </w:rPr>
        <w:t>A New Tax System (Family Assistance) (Administration) Act 1999</w:t>
      </w:r>
      <w:r w:rsidRPr="00151260">
        <w:t xml:space="preserve"> as well as associated legislation and other legislative Disallowable Instruments for the period </w:t>
      </w:r>
      <w:r>
        <w:t>30 September 2015 to 30 June 2016</w:t>
      </w:r>
      <w:r w:rsidRPr="00151260">
        <w:t>. Responsibility for th</w:t>
      </w:r>
      <w:r>
        <w:t>ese payments then transferred from</w:t>
      </w:r>
      <w:r w:rsidRPr="00151260">
        <w:t xml:space="preserve"> the Department of Social Services following the change to the Administrative Arrangement Orders. These payments are assessed and determined by officers of the Department of Human Services (DHS) under delegation from the department.</w:t>
      </w:r>
    </w:p>
    <w:p w:rsidR="003E6989" w:rsidRPr="00151260" w:rsidRDefault="003E6989" w:rsidP="003E6989">
      <w:pPr>
        <w:pStyle w:val="PolicyTextAdmin"/>
        <w:spacing w:before="100" w:after="100" w:line="240" w:lineRule="auto"/>
      </w:pPr>
      <w:r w:rsidRPr="00151260">
        <w:t xml:space="preserve">The </w:t>
      </w:r>
      <w:r w:rsidRPr="000B0704">
        <w:rPr>
          <w:i/>
        </w:rPr>
        <w:t>A New Tax System (Family Assistance) (Administration) Act 1999</w:t>
      </w:r>
      <w:r w:rsidRPr="00151260">
        <w:t xml:space="preserve"> imposes an obligation on recipients and customers to disclose to DHS information about financial and personal circumstances that affect entitlement to payment. This is a necessary part of DHS's administration, which acknowledges that, at the time certain information is required, only the recipient or customer is in a position to provide that information.</w:t>
      </w:r>
    </w:p>
    <w:p w:rsidR="003E6989" w:rsidRPr="00151260" w:rsidRDefault="003E6989" w:rsidP="003E6989">
      <w:pPr>
        <w:pStyle w:val="PolicyTextAdmin"/>
        <w:spacing w:before="100" w:after="100" w:line="240" w:lineRule="auto"/>
      </w:pPr>
      <w:r w:rsidRPr="00151260">
        <w:t>Unreported changes in circumstances can lead to incorrect payment, even if no deliberate fraud is intended. However, risks associated with relying on voluntary disclosure by recipients and customers are mitigated by a comprehensive portfolio risk management plan, underpinned by compliance strategies, which have been built up over many years. The compliance framework has been designed to meet the requirements of social security legislation.</w:t>
      </w:r>
    </w:p>
    <w:p w:rsidR="003E6989" w:rsidRPr="00151260" w:rsidRDefault="003E6989" w:rsidP="003E6989">
      <w:pPr>
        <w:pStyle w:val="PolicyTextAdmin"/>
        <w:spacing w:before="100" w:after="100" w:line="240" w:lineRule="auto"/>
      </w:pPr>
      <w:r w:rsidRPr="00151260">
        <w:t>The compliance framework does not rely solely on information provided by recipients and customers to determine their entitlement. A comprehensive risk management strategy minimises the potential for incorrect payment by subjecting recipients and customers to a variety of review processes. If debts are identified, DHS seeks recovery in a lump sum or by instalments. While the risk management strategy is principally directed at minimising debts, the detection of underpayments will also result in an adjustment to their level of entitlement.</w:t>
      </w:r>
    </w:p>
    <w:p w:rsidR="003E6989" w:rsidRPr="00151260" w:rsidRDefault="003E6989" w:rsidP="003E6989">
      <w:pPr>
        <w:pStyle w:val="PolicyTextAdmin"/>
        <w:spacing w:before="100" w:after="100" w:line="240" w:lineRule="auto"/>
      </w:pPr>
      <w:r w:rsidRPr="00151260">
        <w:t>The department implemented a more sophisticated results-oriented approach to compliance in 2013–14. Compliance operations were strengthened, including data interrogation and analysis capacity, to assist in targeting, leveraging resources available in our state network to create a virtual task force and prioritising the department’s compliance effort to high value compliance work based on risk categories. This had led to increasing imposition of penalties and sanctions</w:t>
      </w:r>
      <w:r>
        <w:t xml:space="preserve"> upon non-compliant child care services, detection of incorrect payments to parents and adjustment to fee assistance payments</w:t>
      </w:r>
      <w:r w:rsidRPr="00151260">
        <w:t>, where justified.</w:t>
      </w:r>
    </w:p>
    <w:p w:rsidR="003E6989" w:rsidRDefault="003E6989" w:rsidP="003E6989">
      <w:pPr>
        <w:spacing w:line="240" w:lineRule="auto"/>
      </w:pPr>
    </w:p>
    <w:p w:rsidR="003E6989" w:rsidRDefault="003E6989" w:rsidP="003E6989">
      <w:pPr>
        <w:spacing w:line="240" w:lineRule="auto"/>
        <w:sectPr w:rsidR="003E6989" w:rsidSect="006A5410">
          <w:pgSz w:w="11906" w:h="16838"/>
          <w:pgMar w:top="1134" w:right="1134" w:bottom="1134" w:left="1134" w:header="958" w:footer="737" w:gutter="0"/>
          <w:cols w:space="720"/>
          <w:docGrid w:linePitch="245"/>
        </w:sectPr>
      </w:pPr>
    </w:p>
    <w:p w:rsidR="003E6989" w:rsidRPr="00570D91" w:rsidRDefault="003E6989" w:rsidP="003E6989">
      <w:pPr>
        <w:pStyle w:val="SectionHeading"/>
      </w:pPr>
      <w:bookmarkStart w:id="440" w:name="_Toc455416744"/>
      <w:bookmarkStart w:id="441" w:name="_Toc463440702"/>
      <w:bookmarkStart w:id="442" w:name="_Toc464726287"/>
      <w:bookmarkStart w:id="443" w:name="_Toc464726635"/>
      <w:r>
        <w:t>Funding</w:t>
      </w:r>
      <w:bookmarkEnd w:id="440"/>
      <w:bookmarkEnd w:id="441"/>
      <w:bookmarkEnd w:id="442"/>
      <w:bookmarkEnd w:id="443"/>
    </w:p>
    <w:p w:rsidR="003E6989" w:rsidRDefault="003E6989" w:rsidP="003E6989">
      <w:pPr>
        <w:pStyle w:val="SubHeading"/>
      </w:pPr>
      <w:bookmarkStart w:id="444" w:name="_Toc443991927"/>
      <w:bookmarkStart w:id="445" w:name="_Toc443991971"/>
      <w:bookmarkStart w:id="446" w:name="_Toc443992033"/>
      <w:bookmarkStart w:id="447" w:name="_Toc443992078"/>
      <w:bookmarkStart w:id="448" w:name="_Toc443992558"/>
      <w:bookmarkStart w:id="449" w:name="_Toc444001431"/>
      <w:bookmarkStart w:id="450" w:name="_Toc444260027"/>
      <w:bookmarkStart w:id="451" w:name="_Toc445116334"/>
      <w:bookmarkStart w:id="452" w:name="_Toc447095790"/>
      <w:bookmarkStart w:id="453" w:name="_Toc447095837"/>
      <w:bookmarkStart w:id="454" w:name="_Toc447095880"/>
      <w:bookmarkStart w:id="455" w:name="_Toc447096076"/>
      <w:bookmarkStart w:id="456" w:name="_Toc447796070"/>
      <w:bookmarkStart w:id="457" w:name="_Toc455416745"/>
      <w:bookmarkStart w:id="458" w:name="_Toc464726636"/>
      <w:bookmarkEnd w:id="444"/>
      <w:bookmarkEnd w:id="445"/>
      <w:bookmarkEnd w:id="446"/>
      <w:bookmarkEnd w:id="447"/>
      <w:bookmarkEnd w:id="448"/>
      <w:bookmarkEnd w:id="449"/>
      <w:bookmarkEnd w:id="450"/>
      <w:bookmarkEnd w:id="451"/>
      <w:bookmarkEnd w:id="452"/>
      <w:bookmarkEnd w:id="453"/>
      <w:bookmarkEnd w:id="454"/>
      <w:bookmarkEnd w:id="455"/>
      <w:bookmarkEnd w:id="456"/>
      <w:r>
        <w:t>Appropriations</w:t>
      </w:r>
      <w:bookmarkEnd w:id="457"/>
      <w:bookmarkEnd w:id="458"/>
    </w:p>
    <w:tbl>
      <w:tblPr>
        <w:tblW w:w="13991" w:type="dxa"/>
        <w:tblInd w:w="80" w:type="dxa"/>
        <w:tblLayout w:type="fixed"/>
        <w:tblLook w:val="04A0" w:firstRow="1" w:lastRow="0" w:firstColumn="1" w:lastColumn="0" w:noHBand="0" w:noVBand="1"/>
      </w:tblPr>
      <w:tblGrid>
        <w:gridCol w:w="4136"/>
        <w:gridCol w:w="1697"/>
        <w:gridCol w:w="1375"/>
        <w:gridCol w:w="1145"/>
        <w:gridCol w:w="1053"/>
        <w:gridCol w:w="1467"/>
        <w:gridCol w:w="1513"/>
        <w:gridCol w:w="1605"/>
      </w:tblGrid>
      <w:tr w:rsidR="003E6989" w:rsidTr="006A5410">
        <w:trPr>
          <w:trHeight w:val="255"/>
        </w:trPr>
        <w:tc>
          <w:tcPr>
            <w:tcW w:w="12168" w:type="dxa"/>
            <w:gridSpan w:val="8"/>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bookmarkStart w:id="459" w:name="Note_DAPTABLE1" w:colFirst="0" w:colLast="0"/>
            <w:r>
              <w:rPr>
                <w:rFonts w:cs="Calibri"/>
                <w:b/>
                <w:bCs/>
                <w:szCs w:val="18"/>
                <w:u w:val="single"/>
              </w:rPr>
              <w:t>5.1A: Annual appropriations ('recoverable GST exclusive')</w:t>
            </w:r>
          </w:p>
        </w:tc>
      </w:tr>
      <w:bookmarkEnd w:id="459"/>
      <w:tr w:rsidR="003E6989" w:rsidTr="006A5410">
        <w:trPr>
          <w:trHeight w:val="255"/>
        </w:trPr>
        <w:tc>
          <w:tcPr>
            <w:tcW w:w="359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47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19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99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91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7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31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39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3596" w:type="dxa"/>
            <w:tcBorders>
              <w:top w:val="single" w:sz="4" w:space="0" w:color="auto"/>
              <w:left w:val="single" w:sz="4" w:space="0" w:color="auto"/>
              <w:bottom w:val="nil"/>
              <w:right w:val="single" w:sz="4" w:space="0" w:color="auto"/>
            </w:tcBorders>
            <w:shd w:val="clear" w:color="FFFFFF" w:fill="FFFFFF"/>
            <w:vAlign w:val="bottom"/>
            <w:hideMark/>
          </w:tcPr>
          <w:p w:rsidR="003E6989" w:rsidRDefault="003E6989" w:rsidP="006A5410">
            <w:pPr>
              <w:rPr>
                <w:rFonts w:cs="Calibri"/>
                <w:b/>
                <w:bCs/>
                <w:color w:val="000000"/>
                <w:sz w:val="16"/>
                <w:szCs w:val="16"/>
              </w:rPr>
            </w:pPr>
            <w:r>
              <w:rPr>
                <w:rFonts w:cs="Calibri"/>
                <w:b/>
                <w:bCs/>
                <w:color w:val="000000"/>
                <w:sz w:val="16"/>
                <w:szCs w:val="16"/>
              </w:rPr>
              <w:t> </w:t>
            </w:r>
          </w:p>
        </w:tc>
        <w:tc>
          <w:tcPr>
            <w:tcW w:w="5860" w:type="dxa"/>
            <w:gridSpan w:val="5"/>
            <w:tcBorders>
              <w:top w:val="single" w:sz="4" w:space="0" w:color="auto"/>
              <w:left w:val="nil"/>
              <w:bottom w:val="single" w:sz="4" w:space="0" w:color="auto"/>
              <w:right w:val="single" w:sz="4" w:space="0" w:color="000000"/>
            </w:tcBorders>
            <w:shd w:val="clear" w:color="FFFFFF" w:fill="FFFFFF"/>
            <w:vAlign w:val="bottom"/>
            <w:hideMark/>
          </w:tcPr>
          <w:p w:rsidR="003E6989" w:rsidRDefault="003E6989" w:rsidP="006A5410">
            <w:pPr>
              <w:jc w:val="center"/>
              <w:rPr>
                <w:rFonts w:cs="Calibri"/>
                <w:b/>
                <w:bCs/>
                <w:sz w:val="16"/>
                <w:szCs w:val="16"/>
              </w:rPr>
            </w:pPr>
            <w:r>
              <w:rPr>
                <w:rFonts w:cs="Calibri"/>
                <w:b/>
                <w:bCs/>
                <w:sz w:val="16"/>
                <w:szCs w:val="16"/>
              </w:rPr>
              <w:t>2016 Appropriations</w:t>
            </w:r>
          </w:p>
        </w:tc>
        <w:tc>
          <w:tcPr>
            <w:tcW w:w="1316" w:type="dxa"/>
            <w:vMerge w:val="restart"/>
            <w:tcBorders>
              <w:top w:val="single" w:sz="4" w:space="0" w:color="auto"/>
              <w:left w:val="single" w:sz="4" w:space="0" w:color="auto"/>
              <w:bottom w:val="nil"/>
              <w:right w:val="single" w:sz="4" w:space="0" w:color="auto"/>
            </w:tcBorders>
            <w:shd w:val="clear" w:color="FFFFFF" w:fill="FFFFFF"/>
            <w:vAlign w:val="bottom"/>
            <w:hideMark/>
          </w:tcPr>
          <w:p w:rsidR="003E6989" w:rsidRDefault="003E6989" w:rsidP="006A5410">
            <w:pPr>
              <w:jc w:val="right"/>
              <w:rPr>
                <w:rFonts w:cs="Calibri"/>
                <w:b/>
                <w:bCs/>
                <w:sz w:val="16"/>
                <w:szCs w:val="16"/>
              </w:rPr>
            </w:pPr>
            <w:r>
              <w:rPr>
                <w:rFonts w:cs="Calibri"/>
                <w:b/>
                <w:bCs/>
                <w:sz w:val="16"/>
                <w:szCs w:val="16"/>
              </w:rPr>
              <w:t>Appropriation applied in 2016 (current and prior years)</w:t>
            </w:r>
          </w:p>
        </w:tc>
        <w:tc>
          <w:tcPr>
            <w:tcW w:w="1396" w:type="dxa"/>
            <w:tcBorders>
              <w:top w:val="single" w:sz="4" w:space="0" w:color="auto"/>
              <w:left w:val="nil"/>
              <w:bottom w:val="nil"/>
              <w:right w:val="single" w:sz="4" w:space="0" w:color="auto"/>
            </w:tcBorders>
            <w:shd w:val="clear" w:color="FFFFFF" w:fill="FFFFFF"/>
            <w:vAlign w:val="bottom"/>
            <w:hideMark/>
          </w:tcPr>
          <w:p w:rsidR="003E6989" w:rsidRDefault="003E6989" w:rsidP="006A5410">
            <w:pPr>
              <w:jc w:val="right"/>
              <w:rPr>
                <w:rFonts w:cs="Calibri"/>
                <w:b/>
                <w:bCs/>
                <w:sz w:val="16"/>
                <w:szCs w:val="16"/>
              </w:rPr>
            </w:pPr>
            <w:r>
              <w:rPr>
                <w:rFonts w:cs="Calibri"/>
                <w:b/>
                <w:bCs/>
                <w:sz w:val="16"/>
                <w:szCs w:val="16"/>
              </w:rPr>
              <w:t> </w:t>
            </w:r>
          </w:p>
        </w:tc>
      </w:tr>
      <w:tr w:rsidR="003E6989" w:rsidTr="006A5410">
        <w:trPr>
          <w:trHeight w:val="255"/>
        </w:trPr>
        <w:tc>
          <w:tcPr>
            <w:tcW w:w="3596" w:type="dxa"/>
            <w:tcBorders>
              <w:top w:val="nil"/>
              <w:left w:val="single" w:sz="4" w:space="0" w:color="auto"/>
              <w:bottom w:val="nil"/>
              <w:right w:val="single" w:sz="4" w:space="0" w:color="auto"/>
            </w:tcBorders>
            <w:shd w:val="clear" w:color="FFFFFF" w:fill="FFFFFF"/>
            <w:vAlign w:val="bottom"/>
            <w:hideMark/>
          </w:tcPr>
          <w:p w:rsidR="003E6989" w:rsidRDefault="003E6989" w:rsidP="006A5410">
            <w:pPr>
              <w:rPr>
                <w:rFonts w:cs="Calibri"/>
                <w:b/>
                <w:bCs/>
                <w:color w:val="000000"/>
                <w:sz w:val="16"/>
                <w:szCs w:val="16"/>
              </w:rPr>
            </w:pPr>
            <w:r>
              <w:rPr>
                <w:rFonts w:cs="Calibri"/>
                <w:b/>
                <w:bCs/>
                <w:color w:val="000000"/>
                <w:sz w:val="16"/>
                <w:szCs w:val="16"/>
              </w:rPr>
              <w:t> </w:t>
            </w:r>
          </w:p>
        </w:tc>
        <w:tc>
          <w:tcPr>
            <w:tcW w:w="2672" w:type="dxa"/>
            <w:gridSpan w:val="2"/>
            <w:tcBorders>
              <w:top w:val="single" w:sz="4" w:space="0" w:color="auto"/>
              <w:left w:val="nil"/>
              <w:bottom w:val="single" w:sz="4" w:space="0" w:color="auto"/>
              <w:right w:val="single" w:sz="4" w:space="0" w:color="000000"/>
            </w:tcBorders>
            <w:shd w:val="clear" w:color="FFFFFF" w:fill="FFFFFF"/>
            <w:vAlign w:val="bottom"/>
            <w:hideMark/>
          </w:tcPr>
          <w:p w:rsidR="003E6989" w:rsidRDefault="003E6989" w:rsidP="006A5410">
            <w:pPr>
              <w:jc w:val="center"/>
              <w:rPr>
                <w:rFonts w:cs="Calibri"/>
                <w:b/>
                <w:bCs/>
                <w:i/>
                <w:iCs/>
                <w:color w:val="000000"/>
                <w:sz w:val="16"/>
                <w:szCs w:val="16"/>
              </w:rPr>
            </w:pPr>
            <w:r>
              <w:rPr>
                <w:rFonts w:cs="Calibri"/>
                <w:b/>
                <w:bCs/>
                <w:i/>
                <w:iCs/>
                <w:color w:val="000000"/>
                <w:sz w:val="16"/>
                <w:szCs w:val="16"/>
              </w:rPr>
              <w:t>Appropriation Act</w:t>
            </w:r>
          </w:p>
        </w:tc>
        <w:tc>
          <w:tcPr>
            <w:tcW w:w="1912" w:type="dxa"/>
            <w:gridSpan w:val="2"/>
            <w:tcBorders>
              <w:top w:val="single" w:sz="4" w:space="0" w:color="auto"/>
              <w:left w:val="nil"/>
              <w:bottom w:val="single" w:sz="4" w:space="0" w:color="auto"/>
              <w:right w:val="single" w:sz="4" w:space="0" w:color="000000"/>
            </w:tcBorders>
            <w:shd w:val="clear" w:color="FFFFFF" w:fill="FFFFFF"/>
            <w:vAlign w:val="bottom"/>
            <w:hideMark/>
          </w:tcPr>
          <w:p w:rsidR="003E6989" w:rsidRDefault="003E6989" w:rsidP="006A5410">
            <w:pPr>
              <w:jc w:val="center"/>
              <w:rPr>
                <w:rFonts w:cs="Calibri"/>
                <w:b/>
                <w:bCs/>
                <w:i/>
                <w:iCs/>
                <w:color w:val="000000"/>
                <w:sz w:val="16"/>
                <w:szCs w:val="16"/>
              </w:rPr>
            </w:pPr>
            <w:r>
              <w:rPr>
                <w:rFonts w:cs="Calibri"/>
                <w:b/>
                <w:bCs/>
                <w:i/>
                <w:iCs/>
                <w:color w:val="000000"/>
                <w:sz w:val="16"/>
                <w:szCs w:val="16"/>
              </w:rPr>
              <w:t>PGPA Act</w:t>
            </w:r>
          </w:p>
        </w:tc>
        <w:tc>
          <w:tcPr>
            <w:tcW w:w="1276" w:type="dxa"/>
            <w:vMerge w:val="restart"/>
            <w:tcBorders>
              <w:top w:val="nil"/>
              <w:left w:val="single" w:sz="4" w:space="0" w:color="auto"/>
              <w:bottom w:val="nil"/>
              <w:right w:val="single" w:sz="4" w:space="0" w:color="auto"/>
            </w:tcBorders>
            <w:shd w:val="clear" w:color="FFFFFF" w:fill="FFFFFF"/>
            <w:vAlign w:val="bottom"/>
            <w:hideMark/>
          </w:tcPr>
          <w:p w:rsidR="003E6989" w:rsidRDefault="003E6989" w:rsidP="006A5410">
            <w:pPr>
              <w:jc w:val="right"/>
              <w:rPr>
                <w:rFonts w:cs="Calibri"/>
                <w:b/>
                <w:bCs/>
                <w:sz w:val="16"/>
                <w:szCs w:val="16"/>
              </w:rPr>
            </w:pPr>
            <w:r>
              <w:rPr>
                <w:rFonts w:cs="Calibri"/>
                <w:b/>
                <w:bCs/>
                <w:sz w:val="16"/>
                <w:szCs w:val="16"/>
              </w:rPr>
              <w:t>Total appropriation</w:t>
            </w:r>
          </w:p>
        </w:tc>
        <w:tc>
          <w:tcPr>
            <w:tcW w:w="1316" w:type="dxa"/>
            <w:vMerge/>
            <w:tcBorders>
              <w:top w:val="single" w:sz="4" w:space="0" w:color="auto"/>
              <w:left w:val="single" w:sz="4" w:space="0" w:color="auto"/>
              <w:bottom w:val="nil"/>
              <w:right w:val="single" w:sz="4" w:space="0" w:color="auto"/>
            </w:tcBorders>
            <w:vAlign w:val="center"/>
            <w:hideMark/>
          </w:tcPr>
          <w:p w:rsidR="003E6989" w:rsidRDefault="003E6989" w:rsidP="006A5410">
            <w:pPr>
              <w:rPr>
                <w:rFonts w:cs="Calibri"/>
                <w:b/>
                <w:bCs/>
                <w:sz w:val="16"/>
                <w:szCs w:val="16"/>
              </w:rPr>
            </w:pPr>
          </w:p>
        </w:tc>
        <w:tc>
          <w:tcPr>
            <w:tcW w:w="1396" w:type="dxa"/>
            <w:tcBorders>
              <w:top w:val="nil"/>
              <w:left w:val="nil"/>
              <w:bottom w:val="nil"/>
              <w:right w:val="single" w:sz="4" w:space="0" w:color="auto"/>
            </w:tcBorders>
            <w:shd w:val="clear" w:color="FFFFFF" w:fill="FFFFFF"/>
            <w:vAlign w:val="bottom"/>
            <w:hideMark/>
          </w:tcPr>
          <w:p w:rsidR="003E6989" w:rsidRDefault="003E6989" w:rsidP="006A5410">
            <w:pPr>
              <w:jc w:val="right"/>
              <w:rPr>
                <w:rFonts w:cs="Calibri"/>
                <w:b/>
                <w:bCs/>
                <w:sz w:val="16"/>
                <w:szCs w:val="16"/>
              </w:rPr>
            </w:pPr>
            <w:r>
              <w:rPr>
                <w:rFonts w:cs="Calibri"/>
                <w:b/>
                <w:bCs/>
                <w:sz w:val="16"/>
                <w:szCs w:val="16"/>
              </w:rPr>
              <w:t> </w:t>
            </w:r>
          </w:p>
        </w:tc>
      </w:tr>
      <w:tr w:rsidR="003E6989" w:rsidTr="006A5410">
        <w:trPr>
          <w:trHeight w:val="480"/>
        </w:trPr>
        <w:tc>
          <w:tcPr>
            <w:tcW w:w="3596" w:type="dxa"/>
            <w:tcBorders>
              <w:top w:val="nil"/>
              <w:left w:val="single" w:sz="4" w:space="0" w:color="auto"/>
              <w:bottom w:val="nil"/>
              <w:right w:val="single" w:sz="4" w:space="0" w:color="auto"/>
            </w:tcBorders>
            <w:shd w:val="clear" w:color="FFFFFF" w:fill="FFFFFF"/>
            <w:vAlign w:val="bottom"/>
            <w:hideMark/>
          </w:tcPr>
          <w:p w:rsidR="003E6989" w:rsidRDefault="003E6989" w:rsidP="006A5410">
            <w:pPr>
              <w:rPr>
                <w:rFonts w:cs="Calibri"/>
                <w:b/>
                <w:bCs/>
                <w:color w:val="000000"/>
                <w:sz w:val="16"/>
                <w:szCs w:val="16"/>
              </w:rPr>
            </w:pPr>
            <w:r>
              <w:rPr>
                <w:rFonts w:cs="Calibri"/>
                <w:b/>
                <w:bCs/>
                <w:color w:val="000000"/>
                <w:sz w:val="16"/>
                <w:szCs w:val="16"/>
              </w:rPr>
              <w:t> </w:t>
            </w:r>
          </w:p>
        </w:tc>
        <w:tc>
          <w:tcPr>
            <w:tcW w:w="1476" w:type="dxa"/>
            <w:tcBorders>
              <w:top w:val="nil"/>
              <w:left w:val="nil"/>
              <w:bottom w:val="nil"/>
              <w:right w:val="nil"/>
            </w:tcBorders>
            <w:shd w:val="clear" w:color="FFFFFF" w:fill="FFFFFF"/>
            <w:vAlign w:val="bottom"/>
            <w:hideMark/>
          </w:tcPr>
          <w:p w:rsidR="003E6989" w:rsidRDefault="003E6989" w:rsidP="006A5410">
            <w:pPr>
              <w:jc w:val="right"/>
              <w:rPr>
                <w:rFonts w:cs="Calibri"/>
                <w:b/>
                <w:bCs/>
                <w:sz w:val="16"/>
                <w:szCs w:val="16"/>
              </w:rPr>
            </w:pPr>
            <w:r>
              <w:rPr>
                <w:rFonts w:cs="Calibri"/>
                <w:b/>
                <w:bCs/>
                <w:sz w:val="16"/>
                <w:szCs w:val="16"/>
              </w:rPr>
              <w:t>Annual Appropriation</w:t>
            </w:r>
            <w:r>
              <w:rPr>
                <w:rFonts w:cs="Calibri"/>
                <w:b/>
                <w:bCs/>
                <w:sz w:val="16"/>
                <w:szCs w:val="16"/>
                <w:vertAlign w:val="superscript"/>
              </w:rPr>
              <w:t>1</w:t>
            </w:r>
          </w:p>
        </w:tc>
        <w:tc>
          <w:tcPr>
            <w:tcW w:w="1196" w:type="dxa"/>
            <w:tcBorders>
              <w:top w:val="nil"/>
              <w:left w:val="nil"/>
              <w:bottom w:val="nil"/>
              <w:right w:val="nil"/>
            </w:tcBorders>
            <w:shd w:val="clear" w:color="FFFFFF" w:fill="FFFFFF"/>
            <w:vAlign w:val="bottom"/>
            <w:hideMark/>
          </w:tcPr>
          <w:p w:rsidR="003E6989" w:rsidRDefault="003E6989" w:rsidP="006A5410">
            <w:pPr>
              <w:jc w:val="right"/>
              <w:rPr>
                <w:rFonts w:cs="Calibri"/>
                <w:b/>
                <w:bCs/>
                <w:sz w:val="16"/>
                <w:szCs w:val="16"/>
              </w:rPr>
            </w:pPr>
            <w:r>
              <w:rPr>
                <w:rFonts w:cs="Calibri"/>
                <w:b/>
                <w:bCs/>
                <w:sz w:val="16"/>
                <w:szCs w:val="16"/>
              </w:rPr>
              <w:t>AFM</w:t>
            </w:r>
          </w:p>
        </w:tc>
        <w:tc>
          <w:tcPr>
            <w:tcW w:w="996" w:type="dxa"/>
            <w:tcBorders>
              <w:top w:val="nil"/>
              <w:left w:val="single" w:sz="4" w:space="0" w:color="auto"/>
              <w:bottom w:val="nil"/>
              <w:right w:val="nil"/>
            </w:tcBorders>
            <w:shd w:val="clear" w:color="FFFFFF" w:fill="FFFFFF"/>
            <w:vAlign w:val="bottom"/>
            <w:hideMark/>
          </w:tcPr>
          <w:p w:rsidR="003E6989" w:rsidRDefault="003E6989" w:rsidP="006A5410">
            <w:pPr>
              <w:jc w:val="right"/>
              <w:rPr>
                <w:rFonts w:cs="Calibri"/>
                <w:b/>
                <w:bCs/>
                <w:sz w:val="16"/>
                <w:szCs w:val="16"/>
              </w:rPr>
            </w:pPr>
            <w:r>
              <w:rPr>
                <w:rFonts w:cs="Calibri"/>
                <w:b/>
                <w:bCs/>
                <w:sz w:val="16"/>
                <w:szCs w:val="16"/>
              </w:rPr>
              <w:t>Section 74</w:t>
            </w:r>
          </w:p>
        </w:tc>
        <w:tc>
          <w:tcPr>
            <w:tcW w:w="916" w:type="dxa"/>
            <w:tcBorders>
              <w:top w:val="nil"/>
              <w:left w:val="nil"/>
              <w:bottom w:val="nil"/>
              <w:right w:val="single" w:sz="4" w:space="0" w:color="auto"/>
            </w:tcBorders>
            <w:shd w:val="clear" w:color="FFFFFF" w:fill="FFFFFF"/>
            <w:vAlign w:val="bottom"/>
            <w:hideMark/>
          </w:tcPr>
          <w:p w:rsidR="003E6989" w:rsidRDefault="003E6989" w:rsidP="006A5410">
            <w:pPr>
              <w:jc w:val="right"/>
              <w:rPr>
                <w:rFonts w:cs="Calibri"/>
                <w:b/>
                <w:bCs/>
                <w:sz w:val="16"/>
                <w:szCs w:val="16"/>
              </w:rPr>
            </w:pPr>
            <w:r>
              <w:rPr>
                <w:rFonts w:cs="Calibri"/>
                <w:b/>
                <w:bCs/>
                <w:sz w:val="16"/>
                <w:szCs w:val="16"/>
              </w:rPr>
              <w:t>Section 75</w:t>
            </w:r>
          </w:p>
        </w:tc>
        <w:tc>
          <w:tcPr>
            <w:tcW w:w="1276" w:type="dxa"/>
            <w:vMerge/>
            <w:tcBorders>
              <w:top w:val="nil"/>
              <w:left w:val="single" w:sz="4" w:space="0" w:color="auto"/>
              <w:bottom w:val="nil"/>
              <w:right w:val="single" w:sz="4" w:space="0" w:color="auto"/>
            </w:tcBorders>
            <w:vAlign w:val="center"/>
            <w:hideMark/>
          </w:tcPr>
          <w:p w:rsidR="003E6989" w:rsidRDefault="003E6989" w:rsidP="006A5410">
            <w:pPr>
              <w:rPr>
                <w:rFonts w:cs="Calibri"/>
                <w:b/>
                <w:bCs/>
                <w:sz w:val="16"/>
                <w:szCs w:val="16"/>
              </w:rPr>
            </w:pPr>
          </w:p>
        </w:tc>
        <w:tc>
          <w:tcPr>
            <w:tcW w:w="1316" w:type="dxa"/>
            <w:vMerge/>
            <w:tcBorders>
              <w:top w:val="single" w:sz="4" w:space="0" w:color="auto"/>
              <w:left w:val="single" w:sz="4" w:space="0" w:color="auto"/>
              <w:bottom w:val="nil"/>
              <w:right w:val="single" w:sz="4" w:space="0" w:color="auto"/>
            </w:tcBorders>
            <w:vAlign w:val="center"/>
            <w:hideMark/>
          </w:tcPr>
          <w:p w:rsidR="003E6989" w:rsidRDefault="003E6989" w:rsidP="006A5410">
            <w:pPr>
              <w:rPr>
                <w:rFonts w:cs="Calibri"/>
                <w:b/>
                <w:bCs/>
                <w:sz w:val="16"/>
                <w:szCs w:val="16"/>
              </w:rPr>
            </w:pPr>
          </w:p>
        </w:tc>
        <w:tc>
          <w:tcPr>
            <w:tcW w:w="1396" w:type="dxa"/>
            <w:tcBorders>
              <w:top w:val="nil"/>
              <w:left w:val="nil"/>
              <w:bottom w:val="nil"/>
              <w:right w:val="single" w:sz="4" w:space="0" w:color="auto"/>
            </w:tcBorders>
            <w:shd w:val="clear" w:color="FFFFFF" w:fill="FFFFFF"/>
            <w:vAlign w:val="bottom"/>
            <w:hideMark/>
          </w:tcPr>
          <w:p w:rsidR="003E6989" w:rsidRDefault="003E6989" w:rsidP="006A5410">
            <w:pPr>
              <w:jc w:val="right"/>
              <w:rPr>
                <w:rFonts w:cs="Calibri"/>
                <w:b/>
                <w:bCs/>
                <w:sz w:val="16"/>
                <w:szCs w:val="16"/>
              </w:rPr>
            </w:pPr>
            <w:r>
              <w:rPr>
                <w:rFonts w:cs="Calibri"/>
                <w:b/>
                <w:bCs/>
                <w:sz w:val="16"/>
                <w:szCs w:val="16"/>
              </w:rPr>
              <w:t>Variance</w:t>
            </w:r>
            <w:r>
              <w:rPr>
                <w:rFonts w:cs="Calibri"/>
                <w:b/>
                <w:bCs/>
                <w:sz w:val="16"/>
                <w:szCs w:val="16"/>
                <w:vertAlign w:val="superscript"/>
              </w:rPr>
              <w:t>2</w:t>
            </w:r>
          </w:p>
        </w:tc>
      </w:tr>
      <w:tr w:rsidR="003E6989" w:rsidTr="006A5410">
        <w:trPr>
          <w:trHeight w:val="255"/>
        </w:trPr>
        <w:tc>
          <w:tcPr>
            <w:tcW w:w="3596" w:type="dxa"/>
            <w:tcBorders>
              <w:top w:val="nil"/>
              <w:left w:val="single" w:sz="4" w:space="0" w:color="auto"/>
              <w:bottom w:val="single" w:sz="4" w:space="0" w:color="auto"/>
              <w:right w:val="single" w:sz="4" w:space="0" w:color="auto"/>
            </w:tcBorders>
            <w:shd w:val="clear" w:color="FFFFFF" w:fill="FFFFFF"/>
            <w:vAlign w:val="bottom"/>
            <w:hideMark/>
          </w:tcPr>
          <w:p w:rsidR="003E6989" w:rsidRDefault="003E6989" w:rsidP="006A5410">
            <w:pPr>
              <w:rPr>
                <w:rFonts w:cs="Calibri"/>
                <w:b/>
                <w:bCs/>
                <w:color w:val="000000"/>
                <w:sz w:val="16"/>
                <w:szCs w:val="16"/>
              </w:rPr>
            </w:pPr>
            <w:r>
              <w:rPr>
                <w:rFonts w:cs="Calibri"/>
                <w:b/>
                <w:bCs/>
                <w:color w:val="000000"/>
                <w:sz w:val="16"/>
                <w:szCs w:val="16"/>
              </w:rPr>
              <w:t> </w:t>
            </w:r>
          </w:p>
        </w:tc>
        <w:tc>
          <w:tcPr>
            <w:tcW w:w="1476" w:type="dxa"/>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b/>
                <w:bCs/>
                <w:sz w:val="16"/>
                <w:szCs w:val="16"/>
              </w:rPr>
            </w:pPr>
            <w:r>
              <w:rPr>
                <w:rFonts w:cs="Calibri"/>
                <w:b/>
                <w:bCs/>
                <w:sz w:val="16"/>
                <w:szCs w:val="16"/>
              </w:rPr>
              <w:t>$'000</w:t>
            </w:r>
          </w:p>
        </w:tc>
        <w:tc>
          <w:tcPr>
            <w:tcW w:w="119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b/>
                <w:bCs/>
                <w:sz w:val="16"/>
                <w:szCs w:val="16"/>
              </w:rPr>
            </w:pPr>
            <w:r>
              <w:rPr>
                <w:rFonts w:cs="Calibri"/>
                <w:b/>
                <w:bCs/>
                <w:sz w:val="16"/>
                <w:szCs w:val="16"/>
              </w:rPr>
              <w:t>$'000</w:t>
            </w:r>
          </w:p>
        </w:tc>
        <w:tc>
          <w:tcPr>
            <w:tcW w:w="996" w:type="dxa"/>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b/>
                <w:bCs/>
                <w:sz w:val="16"/>
                <w:szCs w:val="16"/>
              </w:rPr>
            </w:pPr>
            <w:r>
              <w:rPr>
                <w:rFonts w:cs="Calibri"/>
                <w:b/>
                <w:bCs/>
                <w:sz w:val="16"/>
                <w:szCs w:val="16"/>
              </w:rPr>
              <w:t>$'000</w:t>
            </w:r>
          </w:p>
        </w:tc>
        <w:tc>
          <w:tcPr>
            <w:tcW w:w="91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b/>
                <w:bCs/>
                <w:sz w:val="16"/>
                <w:szCs w:val="16"/>
              </w:rPr>
            </w:pPr>
            <w:r>
              <w:rPr>
                <w:rFonts w:cs="Calibri"/>
                <w:b/>
                <w:bCs/>
                <w:sz w:val="16"/>
                <w:szCs w:val="16"/>
              </w:rPr>
              <w:t>$'000</w:t>
            </w:r>
          </w:p>
        </w:tc>
        <w:tc>
          <w:tcPr>
            <w:tcW w:w="127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b/>
                <w:bCs/>
                <w:sz w:val="16"/>
                <w:szCs w:val="16"/>
              </w:rPr>
            </w:pPr>
            <w:r>
              <w:rPr>
                <w:rFonts w:cs="Calibri"/>
                <w:b/>
                <w:bCs/>
                <w:sz w:val="16"/>
                <w:szCs w:val="16"/>
              </w:rPr>
              <w:t>$'000</w:t>
            </w:r>
          </w:p>
        </w:tc>
        <w:tc>
          <w:tcPr>
            <w:tcW w:w="131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b/>
                <w:bCs/>
                <w:sz w:val="16"/>
                <w:szCs w:val="16"/>
              </w:rPr>
            </w:pPr>
            <w:r>
              <w:rPr>
                <w:rFonts w:cs="Calibri"/>
                <w:b/>
                <w:bCs/>
                <w:sz w:val="16"/>
                <w:szCs w:val="16"/>
              </w:rPr>
              <w:t>$'000</w:t>
            </w:r>
          </w:p>
        </w:tc>
        <w:tc>
          <w:tcPr>
            <w:tcW w:w="139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b/>
                <w:bCs/>
                <w:sz w:val="16"/>
                <w:szCs w:val="16"/>
              </w:rPr>
            </w:pPr>
            <w:r>
              <w:rPr>
                <w:rFonts w:cs="Calibri"/>
                <w:b/>
                <w:bCs/>
                <w:sz w:val="16"/>
                <w:szCs w:val="16"/>
              </w:rPr>
              <w:t>$'000</w:t>
            </w:r>
          </w:p>
        </w:tc>
      </w:tr>
      <w:tr w:rsidR="003E6989" w:rsidTr="006A5410">
        <w:trPr>
          <w:trHeight w:val="255"/>
        </w:trPr>
        <w:tc>
          <w:tcPr>
            <w:tcW w:w="3596" w:type="dxa"/>
            <w:tcBorders>
              <w:top w:val="nil"/>
              <w:left w:val="single" w:sz="4" w:space="0" w:color="auto"/>
              <w:bottom w:val="nil"/>
              <w:right w:val="single" w:sz="4" w:space="0" w:color="auto"/>
            </w:tcBorders>
            <w:shd w:val="clear" w:color="FFFFFF" w:fill="FFFFFF"/>
            <w:vAlign w:val="bottom"/>
            <w:hideMark/>
          </w:tcPr>
          <w:p w:rsidR="003E6989" w:rsidRDefault="003E6989" w:rsidP="006A5410">
            <w:pPr>
              <w:rPr>
                <w:rFonts w:cs="Calibri"/>
                <w:b/>
                <w:bCs/>
                <w:color w:val="000000"/>
                <w:sz w:val="16"/>
                <w:szCs w:val="16"/>
              </w:rPr>
            </w:pPr>
            <w:r>
              <w:rPr>
                <w:rFonts w:cs="Calibri"/>
                <w:b/>
                <w:bCs/>
                <w:color w:val="000000"/>
                <w:sz w:val="16"/>
                <w:szCs w:val="16"/>
              </w:rPr>
              <w:t>DEPARTMENTAL</w:t>
            </w:r>
          </w:p>
        </w:tc>
        <w:tc>
          <w:tcPr>
            <w:tcW w:w="1476" w:type="dxa"/>
            <w:tcBorders>
              <w:top w:val="nil"/>
              <w:left w:val="nil"/>
              <w:bottom w:val="nil"/>
              <w:right w:val="nil"/>
            </w:tcBorders>
            <w:shd w:val="clear" w:color="FFFFFF" w:fill="FFFFFF"/>
            <w:vAlign w:val="bottom"/>
            <w:hideMark/>
          </w:tcPr>
          <w:p w:rsidR="003E6989" w:rsidRDefault="003E6989" w:rsidP="006A5410">
            <w:pPr>
              <w:rPr>
                <w:rFonts w:cs="Calibri"/>
                <w:sz w:val="16"/>
                <w:szCs w:val="16"/>
              </w:rPr>
            </w:pPr>
            <w:r>
              <w:rPr>
                <w:rFonts w:cs="Calibri"/>
                <w:sz w:val="16"/>
                <w:szCs w:val="16"/>
              </w:rPr>
              <w:t> </w:t>
            </w:r>
          </w:p>
        </w:tc>
        <w:tc>
          <w:tcPr>
            <w:tcW w:w="1196" w:type="dxa"/>
            <w:tcBorders>
              <w:top w:val="nil"/>
              <w:left w:val="nil"/>
              <w:bottom w:val="nil"/>
              <w:right w:val="single" w:sz="4" w:space="0" w:color="auto"/>
            </w:tcBorders>
            <w:shd w:val="clear" w:color="FFFFFF" w:fill="FFFFFF"/>
            <w:vAlign w:val="bottom"/>
            <w:hideMark/>
          </w:tcPr>
          <w:p w:rsidR="003E6989" w:rsidRDefault="003E6989" w:rsidP="006A5410">
            <w:pPr>
              <w:rPr>
                <w:rFonts w:cs="Calibri"/>
                <w:sz w:val="16"/>
                <w:szCs w:val="16"/>
              </w:rPr>
            </w:pPr>
            <w:r>
              <w:rPr>
                <w:rFonts w:cs="Calibri"/>
                <w:sz w:val="16"/>
                <w:szCs w:val="16"/>
              </w:rPr>
              <w:t> </w:t>
            </w:r>
          </w:p>
        </w:tc>
        <w:tc>
          <w:tcPr>
            <w:tcW w:w="996" w:type="dxa"/>
            <w:tcBorders>
              <w:top w:val="nil"/>
              <w:left w:val="nil"/>
              <w:bottom w:val="nil"/>
              <w:right w:val="nil"/>
            </w:tcBorders>
            <w:shd w:val="clear" w:color="FFFFFF" w:fill="FFFFFF"/>
            <w:vAlign w:val="bottom"/>
            <w:hideMark/>
          </w:tcPr>
          <w:p w:rsidR="003E6989" w:rsidRDefault="003E6989" w:rsidP="006A5410">
            <w:pPr>
              <w:rPr>
                <w:rFonts w:cs="Calibri"/>
                <w:sz w:val="16"/>
                <w:szCs w:val="16"/>
              </w:rPr>
            </w:pPr>
            <w:r>
              <w:rPr>
                <w:rFonts w:cs="Calibri"/>
                <w:sz w:val="16"/>
                <w:szCs w:val="16"/>
              </w:rPr>
              <w:t> </w:t>
            </w:r>
          </w:p>
        </w:tc>
        <w:tc>
          <w:tcPr>
            <w:tcW w:w="916" w:type="dxa"/>
            <w:tcBorders>
              <w:top w:val="nil"/>
              <w:left w:val="nil"/>
              <w:bottom w:val="nil"/>
              <w:right w:val="single" w:sz="4" w:space="0" w:color="auto"/>
            </w:tcBorders>
            <w:shd w:val="clear" w:color="FFFFFF" w:fill="FFFFFF"/>
            <w:vAlign w:val="bottom"/>
            <w:hideMark/>
          </w:tcPr>
          <w:p w:rsidR="003E6989" w:rsidRDefault="003E6989" w:rsidP="006A5410">
            <w:pPr>
              <w:rPr>
                <w:rFonts w:cs="Calibri"/>
                <w:sz w:val="16"/>
                <w:szCs w:val="16"/>
              </w:rPr>
            </w:pPr>
            <w:r>
              <w:rPr>
                <w:rFonts w:cs="Calibri"/>
                <w:sz w:val="16"/>
                <w:szCs w:val="16"/>
              </w:rPr>
              <w:t> </w:t>
            </w:r>
          </w:p>
        </w:tc>
        <w:tc>
          <w:tcPr>
            <w:tcW w:w="1276" w:type="dxa"/>
            <w:tcBorders>
              <w:top w:val="nil"/>
              <w:left w:val="nil"/>
              <w:bottom w:val="nil"/>
              <w:right w:val="single" w:sz="4" w:space="0" w:color="auto"/>
            </w:tcBorders>
            <w:shd w:val="clear" w:color="FFFFFF" w:fill="FFFFFF"/>
            <w:vAlign w:val="bottom"/>
            <w:hideMark/>
          </w:tcPr>
          <w:p w:rsidR="003E6989" w:rsidRDefault="003E6989" w:rsidP="006A5410">
            <w:pPr>
              <w:rPr>
                <w:rFonts w:cs="Calibri"/>
                <w:sz w:val="16"/>
                <w:szCs w:val="16"/>
              </w:rPr>
            </w:pPr>
            <w:r>
              <w:rPr>
                <w:rFonts w:cs="Calibri"/>
                <w:sz w:val="16"/>
                <w:szCs w:val="16"/>
              </w:rPr>
              <w:t> </w:t>
            </w:r>
          </w:p>
        </w:tc>
        <w:tc>
          <w:tcPr>
            <w:tcW w:w="1316" w:type="dxa"/>
            <w:tcBorders>
              <w:top w:val="nil"/>
              <w:left w:val="nil"/>
              <w:bottom w:val="nil"/>
              <w:right w:val="single" w:sz="4" w:space="0" w:color="auto"/>
            </w:tcBorders>
            <w:shd w:val="clear" w:color="FFFFFF" w:fill="FFFFFF"/>
            <w:vAlign w:val="bottom"/>
            <w:hideMark/>
          </w:tcPr>
          <w:p w:rsidR="003E6989" w:rsidRDefault="003E6989" w:rsidP="006A5410">
            <w:pPr>
              <w:rPr>
                <w:rFonts w:cs="Calibri"/>
                <w:b/>
                <w:bCs/>
                <w:color w:val="000000"/>
                <w:sz w:val="16"/>
                <w:szCs w:val="16"/>
              </w:rPr>
            </w:pPr>
            <w:r>
              <w:rPr>
                <w:rFonts w:cs="Calibri"/>
                <w:b/>
                <w:bCs/>
                <w:color w:val="000000"/>
                <w:sz w:val="16"/>
                <w:szCs w:val="16"/>
              </w:rPr>
              <w:t> </w:t>
            </w:r>
          </w:p>
        </w:tc>
        <w:tc>
          <w:tcPr>
            <w:tcW w:w="1396" w:type="dxa"/>
            <w:tcBorders>
              <w:top w:val="nil"/>
              <w:left w:val="nil"/>
              <w:bottom w:val="nil"/>
              <w:right w:val="single" w:sz="4" w:space="0" w:color="auto"/>
            </w:tcBorders>
            <w:shd w:val="clear" w:color="FFFFFF" w:fill="FFFFFF"/>
            <w:vAlign w:val="bottom"/>
            <w:hideMark/>
          </w:tcPr>
          <w:p w:rsidR="003E6989" w:rsidRDefault="003E6989" w:rsidP="006A5410">
            <w:pPr>
              <w:rPr>
                <w:rFonts w:cs="Calibri"/>
                <w:sz w:val="16"/>
                <w:szCs w:val="16"/>
              </w:rPr>
            </w:pPr>
            <w:r>
              <w:rPr>
                <w:rFonts w:cs="Calibri"/>
                <w:sz w:val="16"/>
                <w:szCs w:val="16"/>
              </w:rPr>
              <w:t> </w:t>
            </w:r>
          </w:p>
        </w:tc>
      </w:tr>
      <w:tr w:rsidR="003E6989" w:rsidTr="006A5410">
        <w:trPr>
          <w:trHeight w:val="255"/>
        </w:trPr>
        <w:tc>
          <w:tcPr>
            <w:tcW w:w="3596" w:type="dxa"/>
            <w:tcBorders>
              <w:top w:val="nil"/>
              <w:left w:val="single" w:sz="4" w:space="0" w:color="auto"/>
              <w:bottom w:val="nil"/>
              <w:right w:val="single" w:sz="4" w:space="0" w:color="auto"/>
            </w:tcBorders>
            <w:shd w:val="clear" w:color="FFFFFF" w:fill="FFFFFF"/>
            <w:vAlign w:val="bottom"/>
            <w:hideMark/>
          </w:tcPr>
          <w:p w:rsidR="003E6989" w:rsidRDefault="003E6989" w:rsidP="006A5410">
            <w:pPr>
              <w:ind w:firstLineChars="100" w:firstLine="161"/>
              <w:rPr>
                <w:rFonts w:cs="Calibri"/>
                <w:b/>
                <w:bCs/>
                <w:color w:val="000000"/>
                <w:sz w:val="16"/>
                <w:szCs w:val="16"/>
              </w:rPr>
            </w:pPr>
            <w:r>
              <w:rPr>
                <w:rFonts w:cs="Calibri"/>
                <w:b/>
                <w:bCs/>
                <w:color w:val="000000"/>
                <w:sz w:val="16"/>
                <w:szCs w:val="16"/>
              </w:rPr>
              <w:t>Ordinary annual services</w:t>
            </w:r>
          </w:p>
        </w:tc>
        <w:tc>
          <w:tcPr>
            <w:tcW w:w="1476"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254,837 </w:t>
            </w:r>
          </w:p>
        </w:tc>
        <w:tc>
          <w:tcPr>
            <w:tcW w:w="1196" w:type="dxa"/>
            <w:tcBorders>
              <w:top w:val="nil"/>
              <w:left w:val="nil"/>
              <w:bottom w:val="nil"/>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996"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30,665 </w:t>
            </w:r>
          </w:p>
        </w:tc>
        <w:tc>
          <w:tcPr>
            <w:tcW w:w="916" w:type="dxa"/>
            <w:tcBorders>
              <w:top w:val="nil"/>
              <w:left w:val="nil"/>
              <w:bottom w:val="nil"/>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44,904 </w:t>
            </w:r>
          </w:p>
        </w:tc>
        <w:tc>
          <w:tcPr>
            <w:tcW w:w="1276" w:type="dxa"/>
            <w:tcBorders>
              <w:top w:val="nil"/>
              <w:left w:val="nil"/>
              <w:bottom w:val="nil"/>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330,406 </w:t>
            </w:r>
          </w:p>
        </w:tc>
        <w:tc>
          <w:tcPr>
            <w:tcW w:w="1316" w:type="dxa"/>
            <w:tcBorders>
              <w:top w:val="nil"/>
              <w:left w:val="nil"/>
              <w:bottom w:val="nil"/>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348,816 </w:t>
            </w:r>
          </w:p>
        </w:tc>
        <w:tc>
          <w:tcPr>
            <w:tcW w:w="1396" w:type="dxa"/>
            <w:tcBorders>
              <w:top w:val="nil"/>
              <w:left w:val="nil"/>
              <w:bottom w:val="nil"/>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(18,410)</w:t>
            </w:r>
          </w:p>
        </w:tc>
      </w:tr>
      <w:tr w:rsidR="003E6989" w:rsidTr="006A5410">
        <w:trPr>
          <w:trHeight w:val="255"/>
        </w:trPr>
        <w:tc>
          <w:tcPr>
            <w:tcW w:w="3596" w:type="dxa"/>
            <w:tcBorders>
              <w:top w:val="nil"/>
              <w:left w:val="single" w:sz="4" w:space="0" w:color="auto"/>
              <w:bottom w:val="nil"/>
              <w:right w:val="single" w:sz="4" w:space="0" w:color="auto"/>
            </w:tcBorders>
            <w:shd w:val="clear" w:color="FFFFFF" w:fill="FFFFFF"/>
            <w:vAlign w:val="bottom"/>
            <w:hideMark/>
          </w:tcPr>
          <w:p w:rsidR="003E6989" w:rsidRDefault="003E6989" w:rsidP="006A5410">
            <w:pPr>
              <w:ind w:firstLineChars="100" w:firstLine="161"/>
              <w:rPr>
                <w:rFonts w:cs="Calibri"/>
                <w:b/>
                <w:bCs/>
                <w:color w:val="000000"/>
                <w:sz w:val="16"/>
                <w:szCs w:val="16"/>
              </w:rPr>
            </w:pPr>
            <w:r>
              <w:rPr>
                <w:rFonts w:cs="Calibri"/>
                <w:b/>
                <w:bCs/>
                <w:color w:val="000000"/>
                <w:sz w:val="16"/>
                <w:szCs w:val="16"/>
              </w:rPr>
              <w:t>Capital Budgets</w:t>
            </w:r>
            <w:r>
              <w:rPr>
                <w:rFonts w:cs="Calibri"/>
                <w:b/>
                <w:bCs/>
                <w:color w:val="000000"/>
                <w:sz w:val="16"/>
                <w:szCs w:val="16"/>
                <w:vertAlign w:val="superscript"/>
              </w:rPr>
              <w:t>3</w:t>
            </w:r>
          </w:p>
        </w:tc>
        <w:tc>
          <w:tcPr>
            <w:tcW w:w="1476"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22,177 </w:t>
            </w:r>
          </w:p>
        </w:tc>
        <w:tc>
          <w:tcPr>
            <w:tcW w:w="1196" w:type="dxa"/>
            <w:tcBorders>
              <w:top w:val="nil"/>
              <w:left w:val="nil"/>
              <w:bottom w:val="nil"/>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996"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916" w:type="dxa"/>
            <w:tcBorders>
              <w:top w:val="nil"/>
              <w:left w:val="nil"/>
              <w:bottom w:val="nil"/>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1276" w:type="dxa"/>
            <w:tcBorders>
              <w:top w:val="nil"/>
              <w:left w:val="nil"/>
              <w:bottom w:val="nil"/>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22,177 </w:t>
            </w:r>
          </w:p>
        </w:tc>
        <w:tc>
          <w:tcPr>
            <w:tcW w:w="1316" w:type="dxa"/>
            <w:tcBorders>
              <w:top w:val="nil"/>
              <w:left w:val="nil"/>
              <w:bottom w:val="nil"/>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19,447 </w:t>
            </w:r>
          </w:p>
        </w:tc>
        <w:tc>
          <w:tcPr>
            <w:tcW w:w="1396" w:type="dxa"/>
            <w:tcBorders>
              <w:top w:val="nil"/>
              <w:left w:val="nil"/>
              <w:bottom w:val="nil"/>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2,730 </w:t>
            </w:r>
          </w:p>
        </w:tc>
      </w:tr>
      <w:tr w:rsidR="003E6989" w:rsidTr="006A5410">
        <w:trPr>
          <w:trHeight w:val="255"/>
        </w:trPr>
        <w:tc>
          <w:tcPr>
            <w:tcW w:w="3596" w:type="dxa"/>
            <w:tcBorders>
              <w:top w:val="nil"/>
              <w:left w:val="single" w:sz="4" w:space="0" w:color="auto"/>
              <w:bottom w:val="nil"/>
              <w:right w:val="single" w:sz="4" w:space="0" w:color="auto"/>
            </w:tcBorders>
            <w:shd w:val="clear" w:color="FFFFFF" w:fill="FFFFFF"/>
            <w:vAlign w:val="bottom"/>
            <w:hideMark/>
          </w:tcPr>
          <w:p w:rsidR="003E6989" w:rsidRDefault="003E6989" w:rsidP="006A5410">
            <w:pPr>
              <w:ind w:firstLineChars="100" w:firstLine="161"/>
              <w:rPr>
                <w:rFonts w:cs="Calibri"/>
                <w:b/>
                <w:bCs/>
                <w:color w:val="000000"/>
                <w:sz w:val="16"/>
                <w:szCs w:val="16"/>
              </w:rPr>
            </w:pPr>
            <w:r>
              <w:rPr>
                <w:rFonts w:cs="Calibri"/>
                <w:b/>
                <w:bCs/>
                <w:color w:val="000000"/>
                <w:sz w:val="16"/>
                <w:szCs w:val="16"/>
              </w:rPr>
              <w:t>Other services</w:t>
            </w:r>
          </w:p>
        </w:tc>
        <w:tc>
          <w:tcPr>
            <w:tcW w:w="1476" w:type="dxa"/>
            <w:tcBorders>
              <w:top w:val="nil"/>
              <w:left w:val="nil"/>
              <w:bottom w:val="nil"/>
              <w:right w:val="nil"/>
            </w:tcBorders>
            <w:shd w:val="clear" w:color="FFFFFF" w:fill="FFFFFF"/>
            <w:vAlign w:val="bottom"/>
            <w:hideMark/>
          </w:tcPr>
          <w:p w:rsidR="003E6989" w:rsidRDefault="003E6989" w:rsidP="006A5410">
            <w:pPr>
              <w:rPr>
                <w:rFonts w:cs="Calibri"/>
                <w:b/>
                <w:bCs/>
                <w:sz w:val="16"/>
                <w:szCs w:val="16"/>
              </w:rPr>
            </w:pPr>
            <w:r>
              <w:rPr>
                <w:rFonts w:cs="Calibri"/>
                <w:b/>
                <w:bCs/>
                <w:sz w:val="16"/>
                <w:szCs w:val="16"/>
              </w:rPr>
              <w:t> </w:t>
            </w:r>
          </w:p>
        </w:tc>
        <w:tc>
          <w:tcPr>
            <w:tcW w:w="1196" w:type="dxa"/>
            <w:tcBorders>
              <w:top w:val="nil"/>
              <w:left w:val="nil"/>
              <w:bottom w:val="nil"/>
              <w:right w:val="single" w:sz="4" w:space="0" w:color="auto"/>
            </w:tcBorders>
            <w:shd w:val="clear" w:color="FFFFFF" w:fill="FFFFFF"/>
            <w:vAlign w:val="bottom"/>
            <w:hideMark/>
          </w:tcPr>
          <w:p w:rsidR="003E6989" w:rsidRDefault="003E6989" w:rsidP="006A5410">
            <w:pPr>
              <w:rPr>
                <w:rFonts w:cs="Calibri"/>
                <w:b/>
                <w:bCs/>
                <w:sz w:val="16"/>
                <w:szCs w:val="16"/>
              </w:rPr>
            </w:pPr>
            <w:r>
              <w:rPr>
                <w:rFonts w:cs="Calibri"/>
                <w:b/>
                <w:bCs/>
                <w:sz w:val="16"/>
                <w:szCs w:val="16"/>
              </w:rPr>
              <w:t> </w:t>
            </w:r>
          </w:p>
        </w:tc>
        <w:tc>
          <w:tcPr>
            <w:tcW w:w="996" w:type="dxa"/>
            <w:tcBorders>
              <w:top w:val="nil"/>
              <w:left w:val="nil"/>
              <w:bottom w:val="nil"/>
              <w:right w:val="nil"/>
            </w:tcBorders>
            <w:shd w:val="clear" w:color="FFFFFF" w:fill="FFFFFF"/>
            <w:vAlign w:val="bottom"/>
            <w:hideMark/>
          </w:tcPr>
          <w:p w:rsidR="003E6989" w:rsidRDefault="003E6989" w:rsidP="006A5410">
            <w:pPr>
              <w:rPr>
                <w:rFonts w:cs="Calibri"/>
                <w:b/>
                <w:bCs/>
                <w:sz w:val="16"/>
                <w:szCs w:val="16"/>
              </w:rPr>
            </w:pPr>
            <w:r>
              <w:rPr>
                <w:rFonts w:cs="Calibri"/>
                <w:b/>
                <w:bCs/>
                <w:sz w:val="16"/>
                <w:szCs w:val="16"/>
              </w:rPr>
              <w:t> </w:t>
            </w:r>
          </w:p>
        </w:tc>
        <w:tc>
          <w:tcPr>
            <w:tcW w:w="916" w:type="dxa"/>
            <w:tcBorders>
              <w:top w:val="nil"/>
              <w:left w:val="nil"/>
              <w:bottom w:val="nil"/>
              <w:right w:val="single" w:sz="4" w:space="0" w:color="auto"/>
            </w:tcBorders>
            <w:shd w:val="clear" w:color="FFFFFF" w:fill="FFFFFF"/>
            <w:vAlign w:val="bottom"/>
            <w:hideMark/>
          </w:tcPr>
          <w:p w:rsidR="003E6989" w:rsidRDefault="003E6989" w:rsidP="006A5410">
            <w:pPr>
              <w:rPr>
                <w:rFonts w:cs="Calibri"/>
                <w:b/>
                <w:bCs/>
                <w:sz w:val="16"/>
                <w:szCs w:val="16"/>
              </w:rPr>
            </w:pPr>
            <w:r>
              <w:rPr>
                <w:rFonts w:cs="Calibri"/>
                <w:b/>
                <w:bCs/>
                <w:sz w:val="16"/>
                <w:szCs w:val="16"/>
              </w:rPr>
              <w:t> </w:t>
            </w:r>
          </w:p>
        </w:tc>
        <w:tc>
          <w:tcPr>
            <w:tcW w:w="1276" w:type="dxa"/>
            <w:tcBorders>
              <w:top w:val="nil"/>
              <w:left w:val="nil"/>
              <w:bottom w:val="nil"/>
              <w:right w:val="single" w:sz="4" w:space="0" w:color="auto"/>
            </w:tcBorders>
            <w:shd w:val="clear" w:color="FFFFFF" w:fill="FFFFFF"/>
            <w:vAlign w:val="bottom"/>
            <w:hideMark/>
          </w:tcPr>
          <w:p w:rsidR="003E6989" w:rsidRDefault="003E6989" w:rsidP="006A5410">
            <w:pPr>
              <w:rPr>
                <w:rFonts w:cs="Calibri"/>
                <w:b/>
                <w:bCs/>
                <w:sz w:val="16"/>
                <w:szCs w:val="16"/>
              </w:rPr>
            </w:pPr>
            <w:r>
              <w:rPr>
                <w:rFonts w:cs="Calibri"/>
                <w:b/>
                <w:bCs/>
                <w:sz w:val="16"/>
                <w:szCs w:val="16"/>
              </w:rPr>
              <w:t> </w:t>
            </w:r>
          </w:p>
        </w:tc>
        <w:tc>
          <w:tcPr>
            <w:tcW w:w="1316" w:type="dxa"/>
            <w:tcBorders>
              <w:top w:val="nil"/>
              <w:left w:val="nil"/>
              <w:bottom w:val="nil"/>
              <w:right w:val="single" w:sz="4" w:space="0" w:color="auto"/>
            </w:tcBorders>
            <w:shd w:val="clear" w:color="FFFFFF" w:fill="FFFFFF"/>
            <w:vAlign w:val="bottom"/>
            <w:hideMark/>
          </w:tcPr>
          <w:p w:rsidR="003E6989" w:rsidRDefault="003E6989" w:rsidP="006A5410">
            <w:pPr>
              <w:rPr>
                <w:rFonts w:cs="Calibri"/>
                <w:b/>
                <w:bCs/>
                <w:sz w:val="16"/>
                <w:szCs w:val="16"/>
              </w:rPr>
            </w:pPr>
            <w:r>
              <w:rPr>
                <w:rFonts w:cs="Calibri"/>
                <w:b/>
                <w:bCs/>
                <w:sz w:val="16"/>
                <w:szCs w:val="16"/>
              </w:rPr>
              <w:t> </w:t>
            </w:r>
          </w:p>
        </w:tc>
        <w:tc>
          <w:tcPr>
            <w:tcW w:w="1396" w:type="dxa"/>
            <w:tcBorders>
              <w:top w:val="nil"/>
              <w:left w:val="nil"/>
              <w:bottom w:val="nil"/>
              <w:right w:val="single" w:sz="4" w:space="0" w:color="auto"/>
            </w:tcBorders>
            <w:shd w:val="clear" w:color="FFFFFF" w:fill="FFFFFF"/>
            <w:vAlign w:val="bottom"/>
            <w:hideMark/>
          </w:tcPr>
          <w:p w:rsidR="003E6989" w:rsidRDefault="003E6989" w:rsidP="006A5410">
            <w:pPr>
              <w:rPr>
                <w:rFonts w:cs="Calibri"/>
                <w:b/>
                <w:bCs/>
                <w:sz w:val="16"/>
                <w:szCs w:val="16"/>
              </w:rPr>
            </w:pPr>
            <w:r>
              <w:rPr>
                <w:rFonts w:cs="Calibri"/>
                <w:b/>
                <w:bCs/>
                <w:sz w:val="16"/>
                <w:szCs w:val="16"/>
              </w:rPr>
              <w:t> </w:t>
            </w:r>
          </w:p>
        </w:tc>
      </w:tr>
      <w:tr w:rsidR="003E6989" w:rsidTr="006A5410">
        <w:trPr>
          <w:trHeight w:val="255"/>
        </w:trPr>
        <w:tc>
          <w:tcPr>
            <w:tcW w:w="3596" w:type="dxa"/>
            <w:tcBorders>
              <w:top w:val="nil"/>
              <w:left w:val="single" w:sz="4" w:space="0" w:color="auto"/>
              <w:bottom w:val="nil"/>
              <w:right w:val="single" w:sz="4" w:space="0" w:color="auto"/>
            </w:tcBorders>
            <w:shd w:val="clear" w:color="FFFFFF" w:fill="FFFFFF"/>
            <w:vAlign w:val="bottom"/>
            <w:hideMark/>
          </w:tcPr>
          <w:p w:rsidR="003E6989" w:rsidRDefault="003E6989" w:rsidP="006A5410">
            <w:pPr>
              <w:ind w:firstLineChars="200" w:firstLine="320"/>
              <w:rPr>
                <w:rFonts w:cs="Calibri"/>
                <w:color w:val="000000"/>
                <w:sz w:val="16"/>
                <w:szCs w:val="16"/>
              </w:rPr>
            </w:pPr>
            <w:r>
              <w:rPr>
                <w:rFonts w:cs="Calibri"/>
                <w:color w:val="000000"/>
                <w:sz w:val="16"/>
                <w:szCs w:val="16"/>
              </w:rPr>
              <w:t>Equity</w:t>
            </w:r>
          </w:p>
        </w:tc>
        <w:tc>
          <w:tcPr>
            <w:tcW w:w="1476" w:type="dxa"/>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10,438 </w:t>
            </w:r>
          </w:p>
        </w:tc>
        <w:tc>
          <w:tcPr>
            <w:tcW w:w="119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996" w:type="dxa"/>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91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3,248 </w:t>
            </w:r>
          </w:p>
        </w:tc>
        <w:tc>
          <w:tcPr>
            <w:tcW w:w="12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13,686 </w:t>
            </w:r>
          </w:p>
        </w:tc>
        <w:tc>
          <w:tcPr>
            <w:tcW w:w="131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8,023 </w:t>
            </w:r>
          </w:p>
        </w:tc>
        <w:tc>
          <w:tcPr>
            <w:tcW w:w="1396" w:type="dxa"/>
            <w:tcBorders>
              <w:top w:val="nil"/>
              <w:left w:val="nil"/>
              <w:bottom w:val="nil"/>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5,663 </w:t>
            </w:r>
          </w:p>
        </w:tc>
      </w:tr>
      <w:tr w:rsidR="003E6989" w:rsidTr="006A5410">
        <w:trPr>
          <w:trHeight w:val="255"/>
        </w:trPr>
        <w:tc>
          <w:tcPr>
            <w:tcW w:w="3596"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3E6989" w:rsidRDefault="003E6989" w:rsidP="006A5410">
            <w:pPr>
              <w:rPr>
                <w:rFonts w:cs="Calibri"/>
                <w:b/>
                <w:bCs/>
                <w:color w:val="000000"/>
                <w:sz w:val="16"/>
                <w:szCs w:val="16"/>
              </w:rPr>
            </w:pPr>
            <w:r>
              <w:rPr>
                <w:rFonts w:cs="Calibri"/>
                <w:b/>
                <w:bCs/>
                <w:color w:val="000000"/>
                <w:sz w:val="16"/>
                <w:szCs w:val="16"/>
              </w:rPr>
              <w:t>Total departmental</w:t>
            </w:r>
          </w:p>
        </w:tc>
        <w:tc>
          <w:tcPr>
            <w:tcW w:w="1476" w:type="dxa"/>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287,452</w:t>
            </w:r>
          </w:p>
        </w:tc>
        <w:tc>
          <w:tcPr>
            <w:tcW w:w="119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w:t>
            </w:r>
          </w:p>
        </w:tc>
        <w:tc>
          <w:tcPr>
            <w:tcW w:w="996" w:type="dxa"/>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30,665</w:t>
            </w:r>
          </w:p>
        </w:tc>
        <w:tc>
          <w:tcPr>
            <w:tcW w:w="91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48,152</w:t>
            </w:r>
          </w:p>
        </w:tc>
        <w:tc>
          <w:tcPr>
            <w:tcW w:w="12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366,269</w:t>
            </w:r>
          </w:p>
        </w:tc>
        <w:tc>
          <w:tcPr>
            <w:tcW w:w="131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376,286</w:t>
            </w:r>
          </w:p>
        </w:tc>
        <w:tc>
          <w:tcPr>
            <w:tcW w:w="1396" w:type="dxa"/>
            <w:tcBorders>
              <w:top w:val="single" w:sz="4" w:space="0" w:color="auto"/>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(10,017)</w:t>
            </w:r>
          </w:p>
        </w:tc>
      </w:tr>
      <w:tr w:rsidR="003E6989" w:rsidTr="006A5410">
        <w:trPr>
          <w:trHeight w:val="255"/>
        </w:trPr>
        <w:tc>
          <w:tcPr>
            <w:tcW w:w="3596" w:type="dxa"/>
            <w:tcBorders>
              <w:top w:val="nil"/>
              <w:left w:val="single" w:sz="4" w:space="0" w:color="auto"/>
              <w:bottom w:val="nil"/>
              <w:right w:val="single" w:sz="4" w:space="0" w:color="auto"/>
            </w:tcBorders>
            <w:shd w:val="clear" w:color="000000" w:fill="D9D9D9"/>
            <w:vAlign w:val="bottom"/>
            <w:hideMark/>
          </w:tcPr>
          <w:p w:rsidR="003E6989" w:rsidRDefault="003E6989" w:rsidP="006A5410">
            <w:pPr>
              <w:rPr>
                <w:rFonts w:cs="Calibri"/>
                <w:b/>
                <w:bCs/>
                <w:sz w:val="16"/>
                <w:szCs w:val="16"/>
              </w:rPr>
            </w:pPr>
            <w:r>
              <w:rPr>
                <w:rFonts w:cs="Calibri"/>
                <w:b/>
                <w:bCs/>
                <w:sz w:val="16"/>
                <w:szCs w:val="16"/>
              </w:rPr>
              <w:t>ADMINISTERED</w:t>
            </w:r>
          </w:p>
        </w:tc>
        <w:tc>
          <w:tcPr>
            <w:tcW w:w="1476" w:type="dxa"/>
            <w:tcBorders>
              <w:top w:val="nil"/>
              <w:left w:val="nil"/>
              <w:bottom w:val="nil"/>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196" w:type="dxa"/>
            <w:tcBorders>
              <w:top w:val="nil"/>
              <w:left w:val="nil"/>
              <w:bottom w:val="nil"/>
              <w:right w:val="single" w:sz="4" w:space="0" w:color="auto"/>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996" w:type="dxa"/>
            <w:tcBorders>
              <w:top w:val="nil"/>
              <w:left w:val="nil"/>
              <w:bottom w:val="nil"/>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916" w:type="dxa"/>
            <w:tcBorders>
              <w:top w:val="nil"/>
              <w:left w:val="nil"/>
              <w:bottom w:val="nil"/>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76" w:type="dxa"/>
            <w:tcBorders>
              <w:top w:val="nil"/>
              <w:left w:val="single" w:sz="4" w:space="0" w:color="auto"/>
              <w:bottom w:val="nil"/>
              <w:right w:val="single" w:sz="4" w:space="0" w:color="auto"/>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316" w:type="dxa"/>
            <w:tcBorders>
              <w:top w:val="nil"/>
              <w:left w:val="nil"/>
              <w:bottom w:val="nil"/>
              <w:right w:val="single" w:sz="4" w:space="0" w:color="auto"/>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396" w:type="dxa"/>
            <w:tcBorders>
              <w:top w:val="nil"/>
              <w:left w:val="nil"/>
              <w:bottom w:val="nil"/>
              <w:right w:val="single" w:sz="4" w:space="0" w:color="auto"/>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r>
      <w:tr w:rsidR="003E6989" w:rsidTr="006A5410">
        <w:trPr>
          <w:trHeight w:val="255"/>
        </w:trPr>
        <w:tc>
          <w:tcPr>
            <w:tcW w:w="3596" w:type="dxa"/>
            <w:tcBorders>
              <w:top w:val="nil"/>
              <w:left w:val="single" w:sz="4" w:space="0" w:color="auto"/>
              <w:bottom w:val="nil"/>
              <w:right w:val="single" w:sz="4" w:space="0" w:color="auto"/>
            </w:tcBorders>
            <w:shd w:val="clear" w:color="000000" w:fill="D9D9D9"/>
            <w:vAlign w:val="bottom"/>
            <w:hideMark/>
          </w:tcPr>
          <w:p w:rsidR="003E6989" w:rsidRDefault="003E6989" w:rsidP="006A5410">
            <w:pPr>
              <w:ind w:firstLineChars="100" w:firstLine="161"/>
              <w:rPr>
                <w:rFonts w:cs="Calibri"/>
                <w:b/>
                <w:bCs/>
                <w:sz w:val="16"/>
                <w:szCs w:val="16"/>
              </w:rPr>
            </w:pPr>
            <w:r>
              <w:rPr>
                <w:rFonts w:cs="Calibri"/>
                <w:b/>
                <w:bCs/>
                <w:sz w:val="16"/>
                <w:szCs w:val="16"/>
              </w:rPr>
              <w:t>Ordinary annual services</w:t>
            </w:r>
          </w:p>
        </w:tc>
        <w:tc>
          <w:tcPr>
            <w:tcW w:w="1476" w:type="dxa"/>
            <w:tcBorders>
              <w:top w:val="nil"/>
              <w:left w:val="nil"/>
              <w:bottom w:val="nil"/>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196" w:type="dxa"/>
            <w:tcBorders>
              <w:top w:val="nil"/>
              <w:left w:val="nil"/>
              <w:bottom w:val="nil"/>
              <w:right w:val="single" w:sz="4" w:space="0" w:color="auto"/>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996" w:type="dxa"/>
            <w:tcBorders>
              <w:top w:val="nil"/>
              <w:left w:val="nil"/>
              <w:bottom w:val="nil"/>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916" w:type="dxa"/>
            <w:tcBorders>
              <w:top w:val="nil"/>
              <w:left w:val="nil"/>
              <w:bottom w:val="nil"/>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76" w:type="dxa"/>
            <w:tcBorders>
              <w:top w:val="nil"/>
              <w:left w:val="single" w:sz="4" w:space="0" w:color="auto"/>
              <w:bottom w:val="nil"/>
              <w:right w:val="single" w:sz="4" w:space="0" w:color="auto"/>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316" w:type="dxa"/>
            <w:tcBorders>
              <w:top w:val="nil"/>
              <w:left w:val="nil"/>
              <w:bottom w:val="nil"/>
              <w:right w:val="single" w:sz="4" w:space="0" w:color="auto"/>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396" w:type="dxa"/>
            <w:tcBorders>
              <w:top w:val="nil"/>
              <w:left w:val="nil"/>
              <w:bottom w:val="nil"/>
              <w:right w:val="single" w:sz="4" w:space="0" w:color="auto"/>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r>
      <w:tr w:rsidR="003E6989" w:rsidTr="006A5410">
        <w:trPr>
          <w:trHeight w:val="255"/>
        </w:trPr>
        <w:tc>
          <w:tcPr>
            <w:tcW w:w="3596" w:type="dxa"/>
            <w:tcBorders>
              <w:top w:val="nil"/>
              <w:left w:val="single" w:sz="4" w:space="0" w:color="auto"/>
              <w:bottom w:val="nil"/>
              <w:right w:val="single" w:sz="4" w:space="0" w:color="auto"/>
            </w:tcBorders>
            <w:shd w:val="clear" w:color="000000" w:fill="D9D9D9"/>
            <w:vAlign w:val="bottom"/>
            <w:hideMark/>
          </w:tcPr>
          <w:p w:rsidR="003E6989" w:rsidRDefault="003E6989" w:rsidP="006A5410">
            <w:pPr>
              <w:ind w:firstLineChars="200" w:firstLine="320"/>
              <w:rPr>
                <w:rFonts w:cs="Calibri"/>
                <w:color w:val="000000"/>
                <w:sz w:val="16"/>
                <w:szCs w:val="16"/>
              </w:rPr>
            </w:pPr>
            <w:r>
              <w:rPr>
                <w:rFonts w:cs="Calibri"/>
                <w:color w:val="000000"/>
                <w:sz w:val="16"/>
                <w:szCs w:val="16"/>
              </w:rPr>
              <w:t>Administered items</w:t>
            </w:r>
          </w:p>
        </w:tc>
        <w:tc>
          <w:tcPr>
            <w:tcW w:w="147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1,548,526 </w:t>
            </w:r>
          </w:p>
        </w:tc>
        <w:tc>
          <w:tcPr>
            <w:tcW w:w="1196" w:type="dxa"/>
            <w:tcBorders>
              <w:top w:val="nil"/>
              <w:left w:val="nil"/>
              <w:bottom w:val="nil"/>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99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91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303,735 </w:t>
            </w:r>
          </w:p>
        </w:tc>
        <w:tc>
          <w:tcPr>
            <w:tcW w:w="1276" w:type="dxa"/>
            <w:tcBorders>
              <w:top w:val="nil"/>
              <w:left w:val="single" w:sz="4" w:space="0" w:color="auto"/>
              <w:bottom w:val="nil"/>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1,852,261 </w:t>
            </w:r>
          </w:p>
        </w:tc>
        <w:tc>
          <w:tcPr>
            <w:tcW w:w="1316" w:type="dxa"/>
            <w:tcBorders>
              <w:top w:val="nil"/>
              <w:left w:val="nil"/>
              <w:bottom w:val="nil"/>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1,407,325 </w:t>
            </w:r>
          </w:p>
        </w:tc>
        <w:tc>
          <w:tcPr>
            <w:tcW w:w="1396" w:type="dxa"/>
            <w:tcBorders>
              <w:top w:val="nil"/>
              <w:left w:val="nil"/>
              <w:bottom w:val="nil"/>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444,936 </w:t>
            </w:r>
          </w:p>
        </w:tc>
      </w:tr>
      <w:tr w:rsidR="003E6989" w:rsidTr="006A5410">
        <w:trPr>
          <w:trHeight w:val="450"/>
        </w:trPr>
        <w:tc>
          <w:tcPr>
            <w:tcW w:w="3596" w:type="dxa"/>
            <w:tcBorders>
              <w:top w:val="nil"/>
              <w:left w:val="single" w:sz="4" w:space="0" w:color="auto"/>
              <w:bottom w:val="nil"/>
              <w:right w:val="single" w:sz="4" w:space="0" w:color="auto"/>
            </w:tcBorders>
            <w:shd w:val="clear" w:color="000000" w:fill="D9D9D9"/>
            <w:vAlign w:val="bottom"/>
            <w:hideMark/>
          </w:tcPr>
          <w:p w:rsidR="003E6989" w:rsidRDefault="003E6989" w:rsidP="006A5410">
            <w:pPr>
              <w:ind w:firstLineChars="200" w:firstLine="320"/>
              <w:rPr>
                <w:rFonts w:cs="Calibri"/>
                <w:color w:val="000000"/>
                <w:sz w:val="16"/>
                <w:szCs w:val="16"/>
              </w:rPr>
            </w:pPr>
            <w:r>
              <w:rPr>
                <w:rFonts w:cs="Calibri"/>
                <w:color w:val="000000"/>
                <w:sz w:val="16"/>
                <w:szCs w:val="16"/>
              </w:rPr>
              <w:t>Payments to Corporate Commonwealth Entities</w:t>
            </w:r>
          </w:p>
        </w:tc>
        <w:tc>
          <w:tcPr>
            <w:tcW w:w="147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14,935 </w:t>
            </w:r>
          </w:p>
        </w:tc>
        <w:tc>
          <w:tcPr>
            <w:tcW w:w="1196" w:type="dxa"/>
            <w:tcBorders>
              <w:top w:val="nil"/>
              <w:left w:val="nil"/>
              <w:bottom w:val="nil"/>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99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91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1276" w:type="dxa"/>
            <w:tcBorders>
              <w:top w:val="nil"/>
              <w:left w:val="single" w:sz="4" w:space="0" w:color="auto"/>
              <w:bottom w:val="nil"/>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14,935 </w:t>
            </w:r>
          </w:p>
        </w:tc>
        <w:tc>
          <w:tcPr>
            <w:tcW w:w="1316" w:type="dxa"/>
            <w:tcBorders>
              <w:top w:val="nil"/>
              <w:left w:val="nil"/>
              <w:bottom w:val="nil"/>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14,935 </w:t>
            </w:r>
          </w:p>
        </w:tc>
        <w:tc>
          <w:tcPr>
            <w:tcW w:w="1396" w:type="dxa"/>
            <w:tcBorders>
              <w:top w:val="nil"/>
              <w:left w:val="nil"/>
              <w:bottom w:val="nil"/>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r>
      <w:tr w:rsidR="003E6989" w:rsidTr="006A5410">
        <w:trPr>
          <w:trHeight w:val="255"/>
        </w:trPr>
        <w:tc>
          <w:tcPr>
            <w:tcW w:w="3596" w:type="dxa"/>
            <w:tcBorders>
              <w:top w:val="nil"/>
              <w:left w:val="single" w:sz="4" w:space="0" w:color="auto"/>
              <w:bottom w:val="nil"/>
              <w:right w:val="single" w:sz="4" w:space="0" w:color="auto"/>
            </w:tcBorders>
            <w:shd w:val="clear" w:color="000000" w:fill="D9D9D9"/>
            <w:vAlign w:val="bottom"/>
            <w:hideMark/>
          </w:tcPr>
          <w:p w:rsidR="003E6989" w:rsidRDefault="003E6989" w:rsidP="006A5410">
            <w:pPr>
              <w:ind w:firstLineChars="100" w:firstLine="161"/>
              <w:rPr>
                <w:rFonts w:cs="Calibri"/>
                <w:b/>
                <w:bCs/>
                <w:sz w:val="16"/>
                <w:szCs w:val="16"/>
              </w:rPr>
            </w:pPr>
            <w:r>
              <w:rPr>
                <w:rFonts w:cs="Calibri"/>
                <w:b/>
                <w:bCs/>
                <w:sz w:val="16"/>
                <w:szCs w:val="16"/>
              </w:rPr>
              <w:t>Other services</w:t>
            </w:r>
          </w:p>
        </w:tc>
        <w:tc>
          <w:tcPr>
            <w:tcW w:w="1476" w:type="dxa"/>
            <w:tcBorders>
              <w:top w:val="nil"/>
              <w:left w:val="nil"/>
              <w:bottom w:val="nil"/>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196" w:type="dxa"/>
            <w:tcBorders>
              <w:top w:val="nil"/>
              <w:left w:val="nil"/>
              <w:bottom w:val="nil"/>
              <w:right w:val="single" w:sz="4" w:space="0" w:color="auto"/>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996" w:type="dxa"/>
            <w:tcBorders>
              <w:top w:val="nil"/>
              <w:left w:val="nil"/>
              <w:bottom w:val="nil"/>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916" w:type="dxa"/>
            <w:tcBorders>
              <w:top w:val="nil"/>
              <w:left w:val="nil"/>
              <w:bottom w:val="nil"/>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76" w:type="dxa"/>
            <w:tcBorders>
              <w:top w:val="nil"/>
              <w:left w:val="single" w:sz="4" w:space="0" w:color="auto"/>
              <w:bottom w:val="nil"/>
              <w:right w:val="single" w:sz="4" w:space="0" w:color="auto"/>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316" w:type="dxa"/>
            <w:tcBorders>
              <w:top w:val="nil"/>
              <w:left w:val="nil"/>
              <w:bottom w:val="nil"/>
              <w:right w:val="single" w:sz="4" w:space="0" w:color="auto"/>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396" w:type="dxa"/>
            <w:tcBorders>
              <w:top w:val="nil"/>
              <w:left w:val="nil"/>
              <w:bottom w:val="nil"/>
              <w:right w:val="single" w:sz="4" w:space="0" w:color="auto"/>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r>
      <w:tr w:rsidR="003E6989" w:rsidTr="006A5410">
        <w:trPr>
          <w:trHeight w:val="255"/>
        </w:trPr>
        <w:tc>
          <w:tcPr>
            <w:tcW w:w="3596" w:type="dxa"/>
            <w:tcBorders>
              <w:top w:val="nil"/>
              <w:left w:val="single" w:sz="4" w:space="0" w:color="auto"/>
              <w:bottom w:val="nil"/>
              <w:right w:val="single" w:sz="4" w:space="0" w:color="auto"/>
            </w:tcBorders>
            <w:shd w:val="clear" w:color="000000" w:fill="D9D9D9"/>
            <w:noWrap/>
            <w:vAlign w:val="bottom"/>
            <w:hideMark/>
          </w:tcPr>
          <w:p w:rsidR="003E6989" w:rsidRDefault="003E6989" w:rsidP="006A5410">
            <w:pPr>
              <w:ind w:firstLineChars="200" w:firstLine="320"/>
              <w:rPr>
                <w:rFonts w:cs="Calibri"/>
                <w:color w:val="000000"/>
                <w:sz w:val="16"/>
                <w:szCs w:val="16"/>
              </w:rPr>
            </w:pPr>
            <w:r>
              <w:rPr>
                <w:rFonts w:cs="Calibri"/>
                <w:color w:val="000000"/>
                <w:sz w:val="16"/>
                <w:szCs w:val="16"/>
              </w:rPr>
              <w:t>States, ACT, NT and local government</w:t>
            </w:r>
          </w:p>
        </w:tc>
        <w:tc>
          <w:tcPr>
            <w:tcW w:w="147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43,645 </w:t>
            </w:r>
          </w:p>
        </w:tc>
        <w:tc>
          <w:tcPr>
            <w:tcW w:w="1196" w:type="dxa"/>
            <w:tcBorders>
              <w:top w:val="nil"/>
              <w:left w:val="nil"/>
              <w:bottom w:val="nil"/>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99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91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1276" w:type="dxa"/>
            <w:tcBorders>
              <w:top w:val="nil"/>
              <w:left w:val="single" w:sz="4" w:space="0" w:color="auto"/>
              <w:bottom w:val="nil"/>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43,645 </w:t>
            </w:r>
          </w:p>
        </w:tc>
        <w:tc>
          <w:tcPr>
            <w:tcW w:w="1316" w:type="dxa"/>
            <w:tcBorders>
              <w:top w:val="nil"/>
              <w:left w:val="nil"/>
              <w:bottom w:val="nil"/>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44,437 </w:t>
            </w:r>
          </w:p>
        </w:tc>
        <w:tc>
          <w:tcPr>
            <w:tcW w:w="1396" w:type="dxa"/>
            <w:tcBorders>
              <w:top w:val="nil"/>
              <w:left w:val="nil"/>
              <w:bottom w:val="nil"/>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(792)</w:t>
            </w:r>
          </w:p>
        </w:tc>
      </w:tr>
      <w:tr w:rsidR="003E6989" w:rsidTr="006A5410">
        <w:trPr>
          <w:trHeight w:val="450"/>
        </w:trPr>
        <w:tc>
          <w:tcPr>
            <w:tcW w:w="3596" w:type="dxa"/>
            <w:tcBorders>
              <w:top w:val="nil"/>
              <w:left w:val="single" w:sz="4" w:space="0" w:color="auto"/>
              <w:bottom w:val="nil"/>
              <w:right w:val="single" w:sz="4" w:space="0" w:color="auto"/>
            </w:tcBorders>
            <w:shd w:val="clear" w:color="000000" w:fill="D9D9D9"/>
            <w:vAlign w:val="bottom"/>
            <w:hideMark/>
          </w:tcPr>
          <w:p w:rsidR="003E6989" w:rsidRDefault="003E6989" w:rsidP="006A5410">
            <w:pPr>
              <w:ind w:firstLineChars="200" w:firstLine="320"/>
              <w:rPr>
                <w:rFonts w:cs="Calibri"/>
                <w:color w:val="000000"/>
                <w:sz w:val="16"/>
                <w:szCs w:val="16"/>
              </w:rPr>
            </w:pPr>
            <w:r>
              <w:rPr>
                <w:rFonts w:cs="Calibri"/>
                <w:color w:val="000000"/>
                <w:sz w:val="16"/>
                <w:szCs w:val="16"/>
              </w:rPr>
              <w:t>Payments to Corporate Commonwealth Entities</w:t>
            </w:r>
          </w:p>
        </w:tc>
        <w:tc>
          <w:tcPr>
            <w:tcW w:w="147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74 </w:t>
            </w:r>
          </w:p>
        </w:tc>
        <w:tc>
          <w:tcPr>
            <w:tcW w:w="1196" w:type="dxa"/>
            <w:tcBorders>
              <w:top w:val="nil"/>
              <w:left w:val="nil"/>
              <w:bottom w:val="nil"/>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99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91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1276" w:type="dxa"/>
            <w:tcBorders>
              <w:top w:val="nil"/>
              <w:left w:val="single" w:sz="4" w:space="0" w:color="auto"/>
              <w:bottom w:val="nil"/>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74 </w:t>
            </w:r>
          </w:p>
        </w:tc>
        <w:tc>
          <w:tcPr>
            <w:tcW w:w="1316" w:type="dxa"/>
            <w:tcBorders>
              <w:top w:val="nil"/>
              <w:left w:val="nil"/>
              <w:bottom w:val="nil"/>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74 </w:t>
            </w:r>
          </w:p>
        </w:tc>
        <w:tc>
          <w:tcPr>
            <w:tcW w:w="1396" w:type="dxa"/>
            <w:tcBorders>
              <w:top w:val="nil"/>
              <w:left w:val="nil"/>
              <w:bottom w:val="nil"/>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r>
      <w:tr w:rsidR="003E6989" w:rsidTr="006A5410">
        <w:trPr>
          <w:trHeight w:val="255"/>
        </w:trPr>
        <w:tc>
          <w:tcPr>
            <w:tcW w:w="3596"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3E6989" w:rsidRDefault="003E6989" w:rsidP="006A5410">
            <w:pPr>
              <w:rPr>
                <w:rFonts w:cs="Calibri"/>
                <w:b/>
                <w:bCs/>
                <w:sz w:val="16"/>
                <w:szCs w:val="16"/>
              </w:rPr>
            </w:pPr>
            <w:r>
              <w:rPr>
                <w:rFonts w:cs="Calibri"/>
                <w:b/>
                <w:bCs/>
                <w:sz w:val="16"/>
                <w:szCs w:val="16"/>
              </w:rPr>
              <w:t>Total administered</w:t>
            </w:r>
          </w:p>
        </w:tc>
        <w:tc>
          <w:tcPr>
            <w:tcW w:w="147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1,607,180</w:t>
            </w:r>
          </w:p>
        </w:tc>
        <w:tc>
          <w:tcPr>
            <w:tcW w:w="1196" w:type="dxa"/>
            <w:tcBorders>
              <w:top w:val="single" w:sz="4" w:space="0" w:color="auto"/>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w:t>
            </w:r>
          </w:p>
        </w:tc>
        <w:tc>
          <w:tcPr>
            <w:tcW w:w="99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w:t>
            </w:r>
          </w:p>
        </w:tc>
        <w:tc>
          <w:tcPr>
            <w:tcW w:w="91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303,735</w:t>
            </w:r>
          </w:p>
        </w:tc>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1,910,915</w:t>
            </w:r>
          </w:p>
        </w:tc>
        <w:tc>
          <w:tcPr>
            <w:tcW w:w="1316" w:type="dxa"/>
            <w:tcBorders>
              <w:top w:val="single" w:sz="4" w:space="0" w:color="auto"/>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1,466,771</w:t>
            </w:r>
          </w:p>
        </w:tc>
        <w:tc>
          <w:tcPr>
            <w:tcW w:w="1396" w:type="dxa"/>
            <w:tcBorders>
              <w:top w:val="single" w:sz="4" w:space="0" w:color="auto"/>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444,144</w:t>
            </w:r>
          </w:p>
        </w:tc>
      </w:tr>
    </w:tbl>
    <w:p w:rsidR="003E6989" w:rsidRPr="00807405" w:rsidRDefault="003E6989" w:rsidP="003E6989">
      <w:pPr>
        <w:pStyle w:val="AdminBlankGreyShade"/>
      </w:pPr>
      <w:bookmarkStart w:id="460" w:name="RANGE!D7:L27"/>
      <w:bookmarkStart w:id="461" w:name="RANGE!D7:L26"/>
      <w:bookmarkStart w:id="462" w:name="RANGE!D7:M26"/>
      <w:bookmarkStart w:id="463" w:name="RANGE!D7:L28"/>
      <w:bookmarkStart w:id="464" w:name="RANGE!D7:M27"/>
      <w:bookmarkStart w:id="465" w:name="RANGE!D7:M28"/>
      <w:bookmarkStart w:id="466" w:name="RANGE!D7:M29"/>
      <w:bookmarkEnd w:id="460"/>
      <w:bookmarkEnd w:id="461"/>
      <w:bookmarkEnd w:id="462"/>
      <w:bookmarkEnd w:id="463"/>
      <w:bookmarkEnd w:id="464"/>
      <w:bookmarkEnd w:id="465"/>
      <w:bookmarkEnd w:id="466"/>
      <w:r>
        <w:t>Notes:</w:t>
      </w:r>
      <w:r>
        <w:br/>
      </w:r>
      <w:r w:rsidRPr="004C7426">
        <w:rPr>
          <w:vertAlign w:val="superscript"/>
        </w:rPr>
        <w:t xml:space="preserve">1. </w:t>
      </w:r>
      <w:r>
        <w:t>In 201</w:t>
      </w:r>
      <w:r w:rsidRPr="00807405">
        <w:t>5</w:t>
      </w:r>
      <w:r>
        <w:t>-16</w:t>
      </w:r>
      <w:r w:rsidRPr="00807405">
        <w:t xml:space="preserve">, </w:t>
      </w:r>
      <w:r>
        <w:t xml:space="preserve">there were $368.459 million reductions to appropriation made under a section 51 determination of the </w:t>
      </w:r>
      <w:r>
        <w:rPr>
          <w:i/>
        </w:rPr>
        <w:t>PGPA Act 2013.</w:t>
      </w:r>
      <w:r>
        <w:t xml:space="preserve"> These reductions were due to various government measures, particularly delays in program implementation, and included 2015-16 departmental appropriations of $4.712 million, previously quarantined 2014-15 departmental Appropriation Act (No.5) of $3.690 million, and the remainder relating to administered appropriations of $360.057 million. </w:t>
      </w:r>
    </w:p>
    <w:p w:rsidR="003E6989" w:rsidRDefault="003E6989" w:rsidP="003E6989">
      <w:pPr>
        <w:pStyle w:val="12line"/>
        <w:rPr>
          <w:sz w:val="18"/>
          <w:szCs w:val="18"/>
          <w:lang w:eastAsia="en-AU"/>
        </w:rPr>
      </w:pPr>
      <w:r w:rsidRPr="004C7426">
        <w:rPr>
          <w:sz w:val="18"/>
          <w:szCs w:val="18"/>
          <w:vertAlign w:val="superscript"/>
          <w:lang w:eastAsia="en-AU"/>
        </w:rPr>
        <w:t>2.</w:t>
      </w:r>
      <w:r w:rsidRPr="00807405">
        <w:rPr>
          <w:sz w:val="18"/>
          <w:szCs w:val="18"/>
          <w:lang w:eastAsia="en-AU"/>
        </w:rPr>
        <w:t xml:space="preserve"> </w:t>
      </w:r>
      <w:r>
        <w:rPr>
          <w:sz w:val="18"/>
          <w:szCs w:val="18"/>
          <w:lang w:eastAsia="en-AU"/>
        </w:rPr>
        <w:t xml:space="preserve">Administered and departmental variances are primarily due to amounts subject to quarantine and available to be reduced. Administered programs with significant underspends in 2015-16 included the Building skills and capability and Support for the child care system. Further explanations can be found in Budgetary Reporting sections of these financial statements. </w:t>
      </w:r>
    </w:p>
    <w:p w:rsidR="003E6989" w:rsidRDefault="003E6989" w:rsidP="003E6989">
      <w:pPr>
        <w:pStyle w:val="12line"/>
        <w:rPr>
          <w:sz w:val="18"/>
          <w:szCs w:val="18"/>
          <w:lang w:eastAsia="en-AU"/>
        </w:rPr>
      </w:pPr>
      <w:r w:rsidRPr="00CE5FEA">
        <w:rPr>
          <w:sz w:val="18"/>
          <w:szCs w:val="18"/>
          <w:vertAlign w:val="superscript"/>
          <w:lang w:eastAsia="en-AU"/>
        </w:rPr>
        <w:t>3</w:t>
      </w:r>
      <w:r>
        <w:rPr>
          <w:sz w:val="18"/>
          <w:szCs w:val="18"/>
          <w:vertAlign w:val="superscript"/>
          <w:lang w:eastAsia="en-AU"/>
        </w:rPr>
        <w:t xml:space="preserve"> </w:t>
      </w:r>
      <w:r>
        <w:rPr>
          <w:sz w:val="18"/>
          <w:szCs w:val="18"/>
          <w:lang w:eastAsia="en-AU"/>
        </w:rPr>
        <w:t>Departmental and administered capital budgets are appropriated through Appropriation Acts (No. 1,3,5). They form part of ordinary annual services, and are not separately identified in the Appropriation Acts.</w:t>
      </w:r>
    </w:p>
    <w:p w:rsidR="001F2C80" w:rsidRDefault="001F2C80">
      <w:pPr>
        <w:spacing w:line="240" w:lineRule="auto"/>
        <w:rPr>
          <w:szCs w:val="18"/>
          <w:vertAlign w:val="superscript"/>
          <w:lang w:eastAsia="en-AU"/>
        </w:rPr>
      </w:pPr>
      <w:r>
        <w:rPr>
          <w:szCs w:val="18"/>
          <w:vertAlign w:val="superscript"/>
          <w:lang w:eastAsia="en-AU"/>
        </w:rPr>
        <w:br w:type="page"/>
      </w:r>
    </w:p>
    <w:p w:rsidR="003E6989" w:rsidRDefault="003E6989" w:rsidP="003E6989">
      <w:pPr>
        <w:pStyle w:val="PolicyTextAdminbold"/>
        <w:rPr>
          <w:lang w:eastAsia="en-AU"/>
        </w:rPr>
      </w:pPr>
      <w:r>
        <w:rPr>
          <w:lang w:eastAsia="en-AU"/>
        </w:rPr>
        <w:t>Accounting Policy</w:t>
      </w:r>
    </w:p>
    <w:p w:rsidR="003E6989" w:rsidRPr="00327BAD" w:rsidRDefault="003E6989" w:rsidP="003E6989">
      <w:pPr>
        <w:pStyle w:val="PlicytextAdminUnderline"/>
        <w:rPr>
          <w:lang w:eastAsia="en-AU"/>
        </w:rPr>
      </w:pPr>
      <w:r w:rsidRPr="00327BAD">
        <w:rPr>
          <w:lang w:eastAsia="en-AU"/>
        </w:rPr>
        <w:t xml:space="preserve">Payments to Corporate Commonwealth Entities </w:t>
      </w:r>
    </w:p>
    <w:p w:rsidR="003E6989" w:rsidRPr="00BD4856" w:rsidRDefault="003E6989" w:rsidP="003E6989">
      <w:pPr>
        <w:pStyle w:val="PolicyTextAdmin"/>
      </w:pPr>
      <w:r w:rsidRPr="00327BAD">
        <w:rPr>
          <w:lang w:eastAsia="en-AU"/>
        </w:rPr>
        <w:t xml:space="preserve">Payments to the Australian Institute of Aboriginal and Torres Strait Islander Studies from amounts appropriated for that purpose are classified as administered expenses of the relevant portfolio department. </w:t>
      </w:r>
      <w:r>
        <w:rPr>
          <w:lang w:eastAsia="en-AU"/>
        </w:rPr>
        <w:br w:type="page"/>
      </w:r>
    </w:p>
    <w:tbl>
      <w:tblPr>
        <w:tblW w:w="13991" w:type="dxa"/>
        <w:tblInd w:w="80" w:type="dxa"/>
        <w:tblLayout w:type="fixed"/>
        <w:tblLook w:val="04A0" w:firstRow="1" w:lastRow="0" w:firstColumn="1" w:lastColumn="0" w:noHBand="0" w:noVBand="1"/>
      </w:tblPr>
      <w:tblGrid>
        <w:gridCol w:w="4136"/>
        <w:gridCol w:w="1697"/>
        <w:gridCol w:w="1375"/>
        <w:gridCol w:w="1145"/>
        <w:gridCol w:w="1053"/>
        <w:gridCol w:w="1467"/>
        <w:gridCol w:w="1513"/>
        <w:gridCol w:w="1605"/>
      </w:tblGrid>
      <w:tr w:rsidR="003E6989" w:rsidTr="006A5410">
        <w:trPr>
          <w:trHeight w:val="255"/>
        </w:trPr>
        <w:tc>
          <w:tcPr>
            <w:tcW w:w="3596" w:type="dxa"/>
            <w:tcBorders>
              <w:top w:val="single" w:sz="4" w:space="0" w:color="auto"/>
              <w:left w:val="single" w:sz="4" w:space="0" w:color="auto"/>
              <w:bottom w:val="nil"/>
              <w:right w:val="single" w:sz="4" w:space="0" w:color="auto"/>
            </w:tcBorders>
            <w:shd w:val="clear" w:color="FFFFFF" w:fill="FFFFFF"/>
            <w:vAlign w:val="bottom"/>
            <w:hideMark/>
          </w:tcPr>
          <w:p w:rsidR="003E6989" w:rsidRDefault="003E6989" w:rsidP="006A5410">
            <w:pPr>
              <w:rPr>
                <w:rFonts w:cs="Calibri"/>
                <w:b/>
                <w:bCs/>
                <w:color w:val="000000"/>
                <w:sz w:val="16"/>
                <w:szCs w:val="16"/>
              </w:rPr>
            </w:pPr>
            <w:bookmarkStart w:id="467" w:name="RANGE!D35:D52"/>
            <w:bookmarkStart w:id="468" w:name="Note_DAPTABLE2" w:colFirst="0" w:colLast="0"/>
            <w:r>
              <w:rPr>
                <w:rFonts w:cs="Calibri"/>
                <w:b/>
                <w:bCs/>
                <w:color w:val="000000"/>
                <w:sz w:val="16"/>
                <w:szCs w:val="16"/>
              </w:rPr>
              <w:t> </w:t>
            </w:r>
            <w:bookmarkEnd w:id="467"/>
          </w:p>
        </w:tc>
        <w:tc>
          <w:tcPr>
            <w:tcW w:w="5860" w:type="dxa"/>
            <w:gridSpan w:val="5"/>
            <w:tcBorders>
              <w:top w:val="single" w:sz="4" w:space="0" w:color="auto"/>
              <w:left w:val="nil"/>
              <w:bottom w:val="single" w:sz="4" w:space="0" w:color="auto"/>
              <w:right w:val="single" w:sz="4" w:space="0" w:color="000000"/>
            </w:tcBorders>
            <w:shd w:val="clear" w:color="FFFFFF" w:fill="FFFFFF"/>
            <w:vAlign w:val="bottom"/>
            <w:hideMark/>
          </w:tcPr>
          <w:p w:rsidR="003E6989" w:rsidRDefault="003E6989" w:rsidP="006A5410">
            <w:pPr>
              <w:jc w:val="center"/>
              <w:rPr>
                <w:rFonts w:cs="Calibri"/>
                <w:b/>
                <w:bCs/>
                <w:sz w:val="16"/>
                <w:szCs w:val="16"/>
              </w:rPr>
            </w:pPr>
            <w:r>
              <w:rPr>
                <w:rFonts w:cs="Calibri"/>
                <w:b/>
                <w:bCs/>
                <w:sz w:val="16"/>
                <w:szCs w:val="16"/>
              </w:rPr>
              <w:t>2015 Appropriations</w:t>
            </w:r>
          </w:p>
        </w:tc>
        <w:tc>
          <w:tcPr>
            <w:tcW w:w="1316" w:type="dxa"/>
            <w:vMerge w:val="restart"/>
            <w:tcBorders>
              <w:top w:val="single" w:sz="4" w:space="0" w:color="auto"/>
              <w:left w:val="single" w:sz="4" w:space="0" w:color="auto"/>
              <w:bottom w:val="nil"/>
              <w:right w:val="single" w:sz="4" w:space="0" w:color="auto"/>
            </w:tcBorders>
            <w:shd w:val="clear" w:color="FFFFFF" w:fill="FFFFFF"/>
            <w:vAlign w:val="bottom"/>
            <w:hideMark/>
          </w:tcPr>
          <w:p w:rsidR="003E6989" w:rsidRDefault="003E6989" w:rsidP="006A5410">
            <w:pPr>
              <w:jc w:val="right"/>
              <w:rPr>
                <w:rFonts w:cs="Calibri"/>
                <w:b/>
                <w:bCs/>
                <w:sz w:val="16"/>
                <w:szCs w:val="16"/>
              </w:rPr>
            </w:pPr>
            <w:r>
              <w:rPr>
                <w:rFonts w:cs="Calibri"/>
                <w:b/>
                <w:bCs/>
                <w:sz w:val="16"/>
                <w:szCs w:val="16"/>
              </w:rPr>
              <w:t>Appropriation applied in 2015 (current and prior years)</w:t>
            </w:r>
          </w:p>
        </w:tc>
        <w:tc>
          <w:tcPr>
            <w:tcW w:w="1396" w:type="dxa"/>
            <w:tcBorders>
              <w:top w:val="single" w:sz="4" w:space="0" w:color="auto"/>
              <w:left w:val="nil"/>
              <w:bottom w:val="nil"/>
              <w:right w:val="single" w:sz="4" w:space="0" w:color="auto"/>
            </w:tcBorders>
            <w:shd w:val="clear" w:color="FFFFFF" w:fill="FFFFFF"/>
            <w:vAlign w:val="bottom"/>
            <w:hideMark/>
          </w:tcPr>
          <w:p w:rsidR="003E6989" w:rsidRDefault="003E6989" w:rsidP="006A5410">
            <w:pPr>
              <w:jc w:val="right"/>
              <w:rPr>
                <w:rFonts w:cs="Calibri"/>
                <w:b/>
                <w:bCs/>
                <w:sz w:val="16"/>
                <w:szCs w:val="16"/>
              </w:rPr>
            </w:pPr>
            <w:r>
              <w:rPr>
                <w:rFonts w:cs="Calibri"/>
                <w:b/>
                <w:bCs/>
                <w:sz w:val="16"/>
                <w:szCs w:val="16"/>
              </w:rPr>
              <w:t> </w:t>
            </w:r>
          </w:p>
        </w:tc>
      </w:tr>
      <w:bookmarkEnd w:id="468"/>
      <w:tr w:rsidR="003E6989" w:rsidTr="006A5410">
        <w:trPr>
          <w:trHeight w:val="255"/>
        </w:trPr>
        <w:tc>
          <w:tcPr>
            <w:tcW w:w="3596" w:type="dxa"/>
            <w:tcBorders>
              <w:top w:val="nil"/>
              <w:left w:val="single" w:sz="4" w:space="0" w:color="auto"/>
              <w:bottom w:val="nil"/>
              <w:right w:val="single" w:sz="4" w:space="0" w:color="auto"/>
            </w:tcBorders>
            <w:shd w:val="clear" w:color="FFFFFF" w:fill="FFFFFF"/>
            <w:vAlign w:val="bottom"/>
            <w:hideMark/>
          </w:tcPr>
          <w:p w:rsidR="003E6989" w:rsidRDefault="003E6989" w:rsidP="006A5410">
            <w:pPr>
              <w:rPr>
                <w:rFonts w:cs="Calibri"/>
                <w:b/>
                <w:bCs/>
                <w:color w:val="000000"/>
                <w:sz w:val="16"/>
                <w:szCs w:val="16"/>
              </w:rPr>
            </w:pPr>
            <w:r>
              <w:rPr>
                <w:rFonts w:cs="Calibri"/>
                <w:b/>
                <w:bCs/>
                <w:color w:val="000000"/>
                <w:sz w:val="16"/>
                <w:szCs w:val="16"/>
              </w:rPr>
              <w:t> </w:t>
            </w:r>
          </w:p>
        </w:tc>
        <w:tc>
          <w:tcPr>
            <w:tcW w:w="2672" w:type="dxa"/>
            <w:gridSpan w:val="2"/>
            <w:tcBorders>
              <w:top w:val="single" w:sz="4" w:space="0" w:color="auto"/>
              <w:left w:val="nil"/>
              <w:bottom w:val="single" w:sz="4" w:space="0" w:color="auto"/>
              <w:right w:val="single" w:sz="4" w:space="0" w:color="000000"/>
            </w:tcBorders>
            <w:shd w:val="clear" w:color="FFFFFF" w:fill="FFFFFF"/>
            <w:vAlign w:val="bottom"/>
            <w:hideMark/>
          </w:tcPr>
          <w:p w:rsidR="003E6989" w:rsidRDefault="003E6989" w:rsidP="006A5410">
            <w:pPr>
              <w:jc w:val="center"/>
              <w:rPr>
                <w:rFonts w:cs="Calibri"/>
                <w:b/>
                <w:bCs/>
                <w:i/>
                <w:iCs/>
                <w:color w:val="000000"/>
                <w:sz w:val="16"/>
                <w:szCs w:val="16"/>
              </w:rPr>
            </w:pPr>
            <w:r>
              <w:rPr>
                <w:rFonts w:cs="Calibri"/>
                <w:b/>
                <w:bCs/>
                <w:i/>
                <w:iCs/>
                <w:color w:val="000000"/>
                <w:sz w:val="16"/>
                <w:szCs w:val="16"/>
              </w:rPr>
              <w:t>Appropriation Act</w:t>
            </w:r>
          </w:p>
        </w:tc>
        <w:tc>
          <w:tcPr>
            <w:tcW w:w="1912" w:type="dxa"/>
            <w:gridSpan w:val="2"/>
            <w:tcBorders>
              <w:top w:val="single" w:sz="4" w:space="0" w:color="auto"/>
              <w:left w:val="nil"/>
              <w:bottom w:val="single" w:sz="4" w:space="0" w:color="auto"/>
              <w:right w:val="single" w:sz="4" w:space="0" w:color="000000"/>
            </w:tcBorders>
            <w:shd w:val="clear" w:color="FFFFFF" w:fill="FFFFFF"/>
            <w:vAlign w:val="bottom"/>
            <w:hideMark/>
          </w:tcPr>
          <w:p w:rsidR="003E6989" w:rsidRDefault="003E6989" w:rsidP="006A5410">
            <w:pPr>
              <w:jc w:val="center"/>
              <w:rPr>
                <w:rFonts w:cs="Calibri"/>
                <w:b/>
                <w:bCs/>
                <w:i/>
                <w:iCs/>
                <w:color w:val="000000"/>
                <w:sz w:val="16"/>
                <w:szCs w:val="16"/>
              </w:rPr>
            </w:pPr>
            <w:r>
              <w:rPr>
                <w:rFonts w:cs="Calibri"/>
                <w:b/>
                <w:bCs/>
                <w:i/>
                <w:iCs/>
                <w:color w:val="000000"/>
                <w:sz w:val="16"/>
                <w:szCs w:val="16"/>
              </w:rPr>
              <w:t>PGPA Act</w:t>
            </w:r>
          </w:p>
        </w:tc>
        <w:tc>
          <w:tcPr>
            <w:tcW w:w="1276" w:type="dxa"/>
            <w:vMerge w:val="restart"/>
            <w:tcBorders>
              <w:top w:val="nil"/>
              <w:left w:val="single" w:sz="4" w:space="0" w:color="auto"/>
              <w:bottom w:val="nil"/>
              <w:right w:val="single" w:sz="4" w:space="0" w:color="auto"/>
            </w:tcBorders>
            <w:shd w:val="clear" w:color="FFFFFF" w:fill="FFFFFF"/>
            <w:vAlign w:val="bottom"/>
            <w:hideMark/>
          </w:tcPr>
          <w:p w:rsidR="003E6989" w:rsidRDefault="003E6989" w:rsidP="006A5410">
            <w:pPr>
              <w:jc w:val="right"/>
              <w:rPr>
                <w:rFonts w:cs="Calibri"/>
                <w:b/>
                <w:bCs/>
                <w:sz w:val="16"/>
                <w:szCs w:val="16"/>
              </w:rPr>
            </w:pPr>
            <w:r>
              <w:rPr>
                <w:rFonts w:cs="Calibri"/>
                <w:b/>
                <w:bCs/>
                <w:sz w:val="16"/>
                <w:szCs w:val="16"/>
              </w:rPr>
              <w:t>Total appropriation</w:t>
            </w:r>
          </w:p>
        </w:tc>
        <w:tc>
          <w:tcPr>
            <w:tcW w:w="1316" w:type="dxa"/>
            <w:vMerge/>
            <w:tcBorders>
              <w:top w:val="single" w:sz="4" w:space="0" w:color="auto"/>
              <w:left w:val="single" w:sz="4" w:space="0" w:color="auto"/>
              <w:bottom w:val="nil"/>
              <w:right w:val="single" w:sz="4" w:space="0" w:color="auto"/>
            </w:tcBorders>
            <w:vAlign w:val="center"/>
            <w:hideMark/>
          </w:tcPr>
          <w:p w:rsidR="003E6989" w:rsidRDefault="003E6989" w:rsidP="006A5410">
            <w:pPr>
              <w:rPr>
                <w:rFonts w:cs="Calibri"/>
                <w:b/>
                <w:bCs/>
                <w:sz w:val="16"/>
                <w:szCs w:val="16"/>
              </w:rPr>
            </w:pPr>
          </w:p>
        </w:tc>
        <w:tc>
          <w:tcPr>
            <w:tcW w:w="1396" w:type="dxa"/>
            <w:tcBorders>
              <w:top w:val="nil"/>
              <w:left w:val="nil"/>
              <w:bottom w:val="nil"/>
              <w:right w:val="single" w:sz="4" w:space="0" w:color="auto"/>
            </w:tcBorders>
            <w:shd w:val="clear" w:color="FFFFFF" w:fill="FFFFFF"/>
            <w:vAlign w:val="bottom"/>
            <w:hideMark/>
          </w:tcPr>
          <w:p w:rsidR="003E6989" w:rsidRDefault="003E6989" w:rsidP="006A5410">
            <w:pPr>
              <w:jc w:val="right"/>
              <w:rPr>
                <w:rFonts w:cs="Calibri"/>
                <w:b/>
                <w:bCs/>
                <w:sz w:val="16"/>
                <w:szCs w:val="16"/>
              </w:rPr>
            </w:pPr>
            <w:r>
              <w:rPr>
                <w:rFonts w:cs="Calibri"/>
                <w:b/>
                <w:bCs/>
                <w:sz w:val="16"/>
                <w:szCs w:val="16"/>
              </w:rPr>
              <w:t> </w:t>
            </w:r>
          </w:p>
        </w:tc>
      </w:tr>
      <w:tr w:rsidR="003E6989" w:rsidTr="006A5410">
        <w:trPr>
          <w:trHeight w:val="480"/>
        </w:trPr>
        <w:tc>
          <w:tcPr>
            <w:tcW w:w="3596" w:type="dxa"/>
            <w:tcBorders>
              <w:top w:val="nil"/>
              <w:left w:val="single" w:sz="4" w:space="0" w:color="auto"/>
              <w:bottom w:val="nil"/>
              <w:right w:val="single" w:sz="4" w:space="0" w:color="auto"/>
            </w:tcBorders>
            <w:shd w:val="clear" w:color="FFFFFF" w:fill="FFFFFF"/>
            <w:vAlign w:val="bottom"/>
            <w:hideMark/>
          </w:tcPr>
          <w:p w:rsidR="003E6989" w:rsidRDefault="003E6989" w:rsidP="006A5410">
            <w:pPr>
              <w:rPr>
                <w:rFonts w:cs="Calibri"/>
                <w:b/>
                <w:bCs/>
                <w:color w:val="000000"/>
                <w:sz w:val="16"/>
                <w:szCs w:val="16"/>
              </w:rPr>
            </w:pPr>
            <w:r>
              <w:rPr>
                <w:rFonts w:cs="Calibri"/>
                <w:b/>
                <w:bCs/>
                <w:color w:val="000000"/>
                <w:sz w:val="16"/>
                <w:szCs w:val="16"/>
              </w:rPr>
              <w:t> </w:t>
            </w:r>
          </w:p>
        </w:tc>
        <w:tc>
          <w:tcPr>
            <w:tcW w:w="1476" w:type="dxa"/>
            <w:tcBorders>
              <w:top w:val="nil"/>
              <w:left w:val="nil"/>
              <w:bottom w:val="nil"/>
              <w:right w:val="nil"/>
            </w:tcBorders>
            <w:shd w:val="clear" w:color="FFFFFF" w:fill="FFFFFF"/>
            <w:vAlign w:val="bottom"/>
            <w:hideMark/>
          </w:tcPr>
          <w:p w:rsidR="003E6989" w:rsidRDefault="003E6989" w:rsidP="006A5410">
            <w:pPr>
              <w:jc w:val="right"/>
              <w:rPr>
                <w:rFonts w:cs="Calibri"/>
                <w:b/>
                <w:bCs/>
                <w:sz w:val="16"/>
                <w:szCs w:val="16"/>
              </w:rPr>
            </w:pPr>
            <w:r>
              <w:rPr>
                <w:rFonts w:cs="Calibri"/>
                <w:b/>
                <w:bCs/>
                <w:sz w:val="16"/>
                <w:szCs w:val="16"/>
              </w:rPr>
              <w:t>Annual Appropriation</w:t>
            </w:r>
            <w:r>
              <w:rPr>
                <w:rFonts w:cs="Calibri"/>
                <w:b/>
                <w:bCs/>
                <w:sz w:val="16"/>
                <w:szCs w:val="16"/>
                <w:vertAlign w:val="superscript"/>
              </w:rPr>
              <w:t>1</w:t>
            </w:r>
          </w:p>
        </w:tc>
        <w:tc>
          <w:tcPr>
            <w:tcW w:w="1196" w:type="dxa"/>
            <w:tcBorders>
              <w:top w:val="nil"/>
              <w:left w:val="nil"/>
              <w:bottom w:val="nil"/>
              <w:right w:val="nil"/>
            </w:tcBorders>
            <w:shd w:val="clear" w:color="FFFFFF" w:fill="FFFFFF"/>
            <w:vAlign w:val="bottom"/>
            <w:hideMark/>
          </w:tcPr>
          <w:p w:rsidR="003E6989" w:rsidRDefault="003E6989" w:rsidP="006A5410">
            <w:pPr>
              <w:jc w:val="right"/>
              <w:rPr>
                <w:rFonts w:cs="Calibri"/>
                <w:b/>
                <w:bCs/>
                <w:sz w:val="16"/>
                <w:szCs w:val="16"/>
              </w:rPr>
            </w:pPr>
            <w:r>
              <w:rPr>
                <w:rFonts w:cs="Calibri"/>
                <w:b/>
                <w:bCs/>
                <w:sz w:val="16"/>
                <w:szCs w:val="16"/>
              </w:rPr>
              <w:t>AFM</w:t>
            </w:r>
          </w:p>
        </w:tc>
        <w:tc>
          <w:tcPr>
            <w:tcW w:w="996" w:type="dxa"/>
            <w:tcBorders>
              <w:top w:val="nil"/>
              <w:left w:val="single" w:sz="4" w:space="0" w:color="auto"/>
              <w:bottom w:val="nil"/>
              <w:right w:val="nil"/>
            </w:tcBorders>
            <w:shd w:val="clear" w:color="FFFFFF" w:fill="FFFFFF"/>
            <w:vAlign w:val="bottom"/>
            <w:hideMark/>
          </w:tcPr>
          <w:p w:rsidR="003E6989" w:rsidRDefault="003E6989" w:rsidP="006A5410">
            <w:pPr>
              <w:jc w:val="right"/>
              <w:rPr>
                <w:rFonts w:cs="Calibri"/>
                <w:b/>
                <w:bCs/>
                <w:sz w:val="16"/>
                <w:szCs w:val="16"/>
              </w:rPr>
            </w:pPr>
            <w:r>
              <w:rPr>
                <w:rFonts w:cs="Calibri"/>
                <w:b/>
                <w:bCs/>
                <w:sz w:val="16"/>
                <w:szCs w:val="16"/>
              </w:rPr>
              <w:t>Section 74</w:t>
            </w:r>
          </w:p>
        </w:tc>
        <w:tc>
          <w:tcPr>
            <w:tcW w:w="916" w:type="dxa"/>
            <w:tcBorders>
              <w:top w:val="nil"/>
              <w:left w:val="nil"/>
              <w:bottom w:val="nil"/>
              <w:right w:val="single" w:sz="4" w:space="0" w:color="auto"/>
            </w:tcBorders>
            <w:shd w:val="clear" w:color="FFFFFF" w:fill="FFFFFF"/>
            <w:vAlign w:val="bottom"/>
            <w:hideMark/>
          </w:tcPr>
          <w:p w:rsidR="003E6989" w:rsidRDefault="003E6989" w:rsidP="006A5410">
            <w:pPr>
              <w:jc w:val="right"/>
              <w:rPr>
                <w:rFonts w:cs="Calibri"/>
                <w:b/>
                <w:bCs/>
                <w:sz w:val="16"/>
                <w:szCs w:val="16"/>
              </w:rPr>
            </w:pPr>
            <w:r>
              <w:rPr>
                <w:rFonts w:cs="Calibri"/>
                <w:b/>
                <w:bCs/>
                <w:sz w:val="16"/>
                <w:szCs w:val="16"/>
              </w:rPr>
              <w:t>Section 75</w:t>
            </w:r>
          </w:p>
        </w:tc>
        <w:tc>
          <w:tcPr>
            <w:tcW w:w="1276" w:type="dxa"/>
            <w:vMerge/>
            <w:tcBorders>
              <w:top w:val="nil"/>
              <w:left w:val="single" w:sz="4" w:space="0" w:color="auto"/>
              <w:bottom w:val="nil"/>
              <w:right w:val="single" w:sz="4" w:space="0" w:color="auto"/>
            </w:tcBorders>
            <w:vAlign w:val="center"/>
            <w:hideMark/>
          </w:tcPr>
          <w:p w:rsidR="003E6989" w:rsidRDefault="003E6989" w:rsidP="006A5410">
            <w:pPr>
              <w:rPr>
                <w:rFonts w:cs="Calibri"/>
                <w:b/>
                <w:bCs/>
                <w:sz w:val="16"/>
                <w:szCs w:val="16"/>
              </w:rPr>
            </w:pPr>
          </w:p>
        </w:tc>
        <w:tc>
          <w:tcPr>
            <w:tcW w:w="1316" w:type="dxa"/>
            <w:vMerge/>
            <w:tcBorders>
              <w:top w:val="single" w:sz="4" w:space="0" w:color="auto"/>
              <w:left w:val="single" w:sz="4" w:space="0" w:color="auto"/>
              <w:bottom w:val="nil"/>
              <w:right w:val="single" w:sz="4" w:space="0" w:color="auto"/>
            </w:tcBorders>
            <w:vAlign w:val="center"/>
            <w:hideMark/>
          </w:tcPr>
          <w:p w:rsidR="003E6989" w:rsidRDefault="003E6989" w:rsidP="006A5410">
            <w:pPr>
              <w:rPr>
                <w:rFonts w:cs="Calibri"/>
                <w:b/>
                <w:bCs/>
                <w:sz w:val="16"/>
                <w:szCs w:val="16"/>
              </w:rPr>
            </w:pPr>
          </w:p>
        </w:tc>
        <w:tc>
          <w:tcPr>
            <w:tcW w:w="1396" w:type="dxa"/>
            <w:tcBorders>
              <w:top w:val="nil"/>
              <w:left w:val="nil"/>
              <w:bottom w:val="nil"/>
              <w:right w:val="single" w:sz="4" w:space="0" w:color="auto"/>
            </w:tcBorders>
            <w:shd w:val="clear" w:color="FFFFFF" w:fill="FFFFFF"/>
            <w:vAlign w:val="bottom"/>
            <w:hideMark/>
          </w:tcPr>
          <w:p w:rsidR="003E6989" w:rsidRDefault="003E6989" w:rsidP="006A5410">
            <w:pPr>
              <w:jc w:val="right"/>
              <w:rPr>
                <w:rFonts w:cs="Calibri"/>
                <w:b/>
                <w:bCs/>
                <w:sz w:val="16"/>
                <w:szCs w:val="16"/>
              </w:rPr>
            </w:pPr>
            <w:r>
              <w:rPr>
                <w:rFonts w:cs="Calibri"/>
                <w:b/>
                <w:bCs/>
                <w:sz w:val="16"/>
                <w:szCs w:val="16"/>
              </w:rPr>
              <w:t>Variance</w:t>
            </w:r>
            <w:r>
              <w:rPr>
                <w:rFonts w:cs="Calibri"/>
                <w:b/>
                <w:bCs/>
                <w:sz w:val="16"/>
                <w:szCs w:val="16"/>
                <w:vertAlign w:val="superscript"/>
              </w:rPr>
              <w:t>2</w:t>
            </w:r>
          </w:p>
        </w:tc>
      </w:tr>
      <w:tr w:rsidR="003E6989" w:rsidTr="006A5410">
        <w:trPr>
          <w:trHeight w:val="255"/>
        </w:trPr>
        <w:tc>
          <w:tcPr>
            <w:tcW w:w="3596" w:type="dxa"/>
            <w:tcBorders>
              <w:top w:val="nil"/>
              <w:left w:val="single" w:sz="4" w:space="0" w:color="auto"/>
              <w:bottom w:val="single" w:sz="4" w:space="0" w:color="auto"/>
              <w:right w:val="single" w:sz="4" w:space="0" w:color="auto"/>
            </w:tcBorders>
            <w:shd w:val="clear" w:color="FFFFFF" w:fill="FFFFFF"/>
            <w:vAlign w:val="bottom"/>
            <w:hideMark/>
          </w:tcPr>
          <w:p w:rsidR="003E6989" w:rsidRDefault="003E6989" w:rsidP="006A5410">
            <w:pPr>
              <w:rPr>
                <w:rFonts w:cs="Calibri"/>
                <w:b/>
                <w:bCs/>
                <w:color w:val="000000"/>
                <w:sz w:val="16"/>
                <w:szCs w:val="16"/>
              </w:rPr>
            </w:pPr>
            <w:r>
              <w:rPr>
                <w:rFonts w:cs="Calibri"/>
                <w:b/>
                <w:bCs/>
                <w:color w:val="000000"/>
                <w:sz w:val="16"/>
                <w:szCs w:val="16"/>
              </w:rPr>
              <w:t> </w:t>
            </w:r>
          </w:p>
        </w:tc>
        <w:tc>
          <w:tcPr>
            <w:tcW w:w="1476" w:type="dxa"/>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b/>
                <w:bCs/>
                <w:sz w:val="16"/>
                <w:szCs w:val="16"/>
              </w:rPr>
            </w:pPr>
            <w:r>
              <w:rPr>
                <w:rFonts w:cs="Calibri"/>
                <w:b/>
                <w:bCs/>
                <w:sz w:val="16"/>
                <w:szCs w:val="16"/>
              </w:rPr>
              <w:t>$'000</w:t>
            </w:r>
          </w:p>
        </w:tc>
        <w:tc>
          <w:tcPr>
            <w:tcW w:w="119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b/>
                <w:bCs/>
                <w:sz w:val="16"/>
                <w:szCs w:val="16"/>
              </w:rPr>
            </w:pPr>
            <w:r>
              <w:rPr>
                <w:rFonts w:cs="Calibri"/>
                <w:b/>
                <w:bCs/>
                <w:sz w:val="16"/>
                <w:szCs w:val="16"/>
              </w:rPr>
              <w:t>$'000</w:t>
            </w:r>
          </w:p>
        </w:tc>
        <w:tc>
          <w:tcPr>
            <w:tcW w:w="996" w:type="dxa"/>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b/>
                <w:bCs/>
                <w:sz w:val="16"/>
                <w:szCs w:val="16"/>
              </w:rPr>
            </w:pPr>
            <w:r>
              <w:rPr>
                <w:rFonts w:cs="Calibri"/>
                <w:b/>
                <w:bCs/>
                <w:sz w:val="16"/>
                <w:szCs w:val="16"/>
              </w:rPr>
              <w:t>$'000</w:t>
            </w:r>
          </w:p>
        </w:tc>
        <w:tc>
          <w:tcPr>
            <w:tcW w:w="91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b/>
                <w:bCs/>
                <w:sz w:val="16"/>
                <w:szCs w:val="16"/>
              </w:rPr>
            </w:pPr>
            <w:r>
              <w:rPr>
                <w:rFonts w:cs="Calibri"/>
                <w:b/>
                <w:bCs/>
                <w:sz w:val="16"/>
                <w:szCs w:val="16"/>
              </w:rPr>
              <w:t>$'000</w:t>
            </w:r>
          </w:p>
        </w:tc>
        <w:tc>
          <w:tcPr>
            <w:tcW w:w="127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b/>
                <w:bCs/>
                <w:sz w:val="16"/>
                <w:szCs w:val="16"/>
              </w:rPr>
            </w:pPr>
            <w:r>
              <w:rPr>
                <w:rFonts w:cs="Calibri"/>
                <w:b/>
                <w:bCs/>
                <w:sz w:val="16"/>
                <w:szCs w:val="16"/>
              </w:rPr>
              <w:t>$'000</w:t>
            </w:r>
          </w:p>
        </w:tc>
        <w:tc>
          <w:tcPr>
            <w:tcW w:w="131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b/>
                <w:bCs/>
                <w:sz w:val="16"/>
                <w:szCs w:val="16"/>
              </w:rPr>
            </w:pPr>
            <w:r>
              <w:rPr>
                <w:rFonts w:cs="Calibri"/>
                <w:b/>
                <w:bCs/>
                <w:sz w:val="16"/>
                <w:szCs w:val="16"/>
              </w:rPr>
              <w:t>$'000</w:t>
            </w:r>
          </w:p>
        </w:tc>
        <w:tc>
          <w:tcPr>
            <w:tcW w:w="139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b/>
                <w:bCs/>
                <w:sz w:val="16"/>
                <w:szCs w:val="16"/>
              </w:rPr>
            </w:pPr>
            <w:r>
              <w:rPr>
                <w:rFonts w:cs="Calibri"/>
                <w:b/>
                <w:bCs/>
                <w:sz w:val="16"/>
                <w:szCs w:val="16"/>
              </w:rPr>
              <w:t>$'000</w:t>
            </w:r>
          </w:p>
        </w:tc>
      </w:tr>
      <w:tr w:rsidR="003E6989" w:rsidTr="006A5410">
        <w:trPr>
          <w:trHeight w:val="255"/>
        </w:trPr>
        <w:tc>
          <w:tcPr>
            <w:tcW w:w="3596" w:type="dxa"/>
            <w:tcBorders>
              <w:top w:val="nil"/>
              <w:left w:val="single" w:sz="4" w:space="0" w:color="auto"/>
              <w:bottom w:val="nil"/>
              <w:right w:val="single" w:sz="4" w:space="0" w:color="auto"/>
            </w:tcBorders>
            <w:shd w:val="clear" w:color="FFFFFF" w:fill="FFFFFF"/>
            <w:vAlign w:val="bottom"/>
            <w:hideMark/>
          </w:tcPr>
          <w:p w:rsidR="003E6989" w:rsidRDefault="003E6989" w:rsidP="006A5410">
            <w:pPr>
              <w:rPr>
                <w:rFonts w:cs="Calibri"/>
                <w:b/>
                <w:bCs/>
                <w:color w:val="000000"/>
                <w:sz w:val="16"/>
                <w:szCs w:val="16"/>
              </w:rPr>
            </w:pPr>
            <w:r>
              <w:rPr>
                <w:rFonts w:cs="Calibri"/>
                <w:b/>
                <w:bCs/>
                <w:color w:val="000000"/>
                <w:sz w:val="16"/>
                <w:szCs w:val="16"/>
              </w:rPr>
              <w:t>DEPARTMENTAL</w:t>
            </w:r>
          </w:p>
        </w:tc>
        <w:tc>
          <w:tcPr>
            <w:tcW w:w="1476" w:type="dxa"/>
            <w:tcBorders>
              <w:top w:val="nil"/>
              <w:left w:val="nil"/>
              <w:bottom w:val="nil"/>
              <w:right w:val="nil"/>
            </w:tcBorders>
            <w:shd w:val="clear" w:color="FFFFFF" w:fill="FFFFFF"/>
            <w:vAlign w:val="bottom"/>
            <w:hideMark/>
          </w:tcPr>
          <w:p w:rsidR="003E6989" w:rsidRDefault="003E6989" w:rsidP="006A5410">
            <w:pPr>
              <w:rPr>
                <w:rFonts w:cs="Calibri"/>
                <w:sz w:val="16"/>
                <w:szCs w:val="16"/>
              </w:rPr>
            </w:pPr>
            <w:r>
              <w:rPr>
                <w:rFonts w:cs="Calibri"/>
                <w:sz w:val="16"/>
                <w:szCs w:val="16"/>
              </w:rPr>
              <w:t> </w:t>
            </w:r>
          </w:p>
        </w:tc>
        <w:tc>
          <w:tcPr>
            <w:tcW w:w="1196" w:type="dxa"/>
            <w:tcBorders>
              <w:top w:val="nil"/>
              <w:left w:val="nil"/>
              <w:bottom w:val="nil"/>
              <w:right w:val="single" w:sz="4" w:space="0" w:color="auto"/>
            </w:tcBorders>
            <w:shd w:val="clear" w:color="FFFFFF" w:fill="FFFFFF"/>
            <w:vAlign w:val="bottom"/>
            <w:hideMark/>
          </w:tcPr>
          <w:p w:rsidR="003E6989" w:rsidRDefault="003E6989" w:rsidP="006A5410">
            <w:pPr>
              <w:rPr>
                <w:rFonts w:cs="Calibri"/>
                <w:sz w:val="16"/>
                <w:szCs w:val="16"/>
              </w:rPr>
            </w:pPr>
            <w:r>
              <w:rPr>
                <w:rFonts w:cs="Calibri"/>
                <w:sz w:val="16"/>
                <w:szCs w:val="16"/>
              </w:rPr>
              <w:t> </w:t>
            </w:r>
          </w:p>
        </w:tc>
        <w:tc>
          <w:tcPr>
            <w:tcW w:w="996" w:type="dxa"/>
            <w:tcBorders>
              <w:top w:val="nil"/>
              <w:left w:val="nil"/>
              <w:bottom w:val="nil"/>
              <w:right w:val="nil"/>
            </w:tcBorders>
            <w:shd w:val="clear" w:color="FFFFFF" w:fill="FFFFFF"/>
            <w:vAlign w:val="bottom"/>
            <w:hideMark/>
          </w:tcPr>
          <w:p w:rsidR="003E6989" w:rsidRDefault="003E6989" w:rsidP="006A5410">
            <w:pPr>
              <w:rPr>
                <w:rFonts w:cs="Calibri"/>
                <w:sz w:val="16"/>
                <w:szCs w:val="16"/>
              </w:rPr>
            </w:pPr>
            <w:r>
              <w:rPr>
                <w:rFonts w:cs="Calibri"/>
                <w:sz w:val="16"/>
                <w:szCs w:val="16"/>
              </w:rPr>
              <w:t> </w:t>
            </w:r>
          </w:p>
        </w:tc>
        <w:tc>
          <w:tcPr>
            <w:tcW w:w="916" w:type="dxa"/>
            <w:tcBorders>
              <w:top w:val="nil"/>
              <w:left w:val="nil"/>
              <w:bottom w:val="nil"/>
              <w:right w:val="single" w:sz="4" w:space="0" w:color="auto"/>
            </w:tcBorders>
            <w:shd w:val="clear" w:color="FFFFFF" w:fill="FFFFFF"/>
            <w:vAlign w:val="bottom"/>
            <w:hideMark/>
          </w:tcPr>
          <w:p w:rsidR="003E6989" w:rsidRDefault="003E6989" w:rsidP="006A5410">
            <w:pPr>
              <w:rPr>
                <w:rFonts w:cs="Calibri"/>
                <w:sz w:val="16"/>
                <w:szCs w:val="16"/>
              </w:rPr>
            </w:pPr>
            <w:r>
              <w:rPr>
                <w:rFonts w:cs="Calibri"/>
                <w:sz w:val="16"/>
                <w:szCs w:val="16"/>
              </w:rPr>
              <w:t> </w:t>
            </w:r>
          </w:p>
        </w:tc>
        <w:tc>
          <w:tcPr>
            <w:tcW w:w="1276" w:type="dxa"/>
            <w:tcBorders>
              <w:top w:val="nil"/>
              <w:left w:val="nil"/>
              <w:bottom w:val="nil"/>
              <w:right w:val="single" w:sz="4" w:space="0" w:color="auto"/>
            </w:tcBorders>
            <w:shd w:val="clear" w:color="FFFFFF" w:fill="FFFFFF"/>
            <w:vAlign w:val="bottom"/>
            <w:hideMark/>
          </w:tcPr>
          <w:p w:rsidR="003E6989" w:rsidRDefault="003E6989" w:rsidP="006A5410">
            <w:pPr>
              <w:rPr>
                <w:rFonts w:cs="Calibri"/>
                <w:sz w:val="16"/>
                <w:szCs w:val="16"/>
              </w:rPr>
            </w:pPr>
            <w:r>
              <w:rPr>
                <w:rFonts w:cs="Calibri"/>
                <w:sz w:val="16"/>
                <w:szCs w:val="16"/>
              </w:rPr>
              <w:t> </w:t>
            </w:r>
          </w:p>
        </w:tc>
        <w:tc>
          <w:tcPr>
            <w:tcW w:w="1316" w:type="dxa"/>
            <w:tcBorders>
              <w:top w:val="nil"/>
              <w:left w:val="nil"/>
              <w:bottom w:val="nil"/>
              <w:right w:val="single" w:sz="4" w:space="0" w:color="auto"/>
            </w:tcBorders>
            <w:shd w:val="clear" w:color="FFFFFF" w:fill="FFFFFF"/>
            <w:vAlign w:val="bottom"/>
            <w:hideMark/>
          </w:tcPr>
          <w:p w:rsidR="003E6989" w:rsidRDefault="003E6989" w:rsidP="006A5410">
            <w:pPr>
              <w:rPr>
                <w:rFonts w:cs="Calibri"/>
                <w:b/>
                <w:bCs/>
                <w:color w:val="000000"/>
                <w:sz w:val="16"/>
                <w:szCs w:val="16"/>
              </w:rPr>
            </w:pPr>
            <w:r>
              <w:rPr>
                <w:rFonts w:cs="Calibri"/>
                <w:b/>
                <w:bCs/>
                <w:color w:val="000000"/>
                <w:sz w:val="16"/>
                <w:szCs w:val="16"/>
              </w:rPr>
              <w:t> </w:t>
            </w:r>
          </w:p>
        </w:tc>
        <w:tc>
          <w:tcPr>
            <w:tcW w:w="1396" w:type="dxa"/>
            <w:tcBorders>
              <w:top w:val="nil"/>
              <w:left w:val="nil"/>
              <w:bottom w:val="nil"/>
              <w:right w:val="single" w:sz="4" w:space="0" w:color="auto"/>
            </w:tcBorders>
            <w:shd w:val="clear" w:color="FFFFFF" w:fill="FFFFFF"/>
            <w:vAlign w:val="bottom"/>
            <w:hideMark/>
          </w:tcPr>
          <w:p w:rsidR="003E6989" w:rsidRDefault="003E6989" w:rsidP="006A5410">
            <w:pPr>
              <w:rPr>
                <w:rFonts w:cs="Calibri"/>
                <w:sz w:val="16"/>
                <w:szCs w:val="16"/>
              </w:rPr>
            </w:pPr>
            <w:r>
              <w:rPr>
                <w:rFonts w:cs="Calibri"/>
                <w:sz w:val="16"/>
                <w:szCs w:val="16"/>
              </w:rPr>
              <w:t> </w:t>
            </w:r>
          </w:p>
        </w:tc>
      </w:tr>
      <w:tr w:rsidR="003E6989" w:rsidTr="006A5410">
        <w:trPr>
          <w:trHeight w:val="255"/>
        </w:trPr>
        <w:tc>
          <w:tcPr>
            <w:tcW w:w="3596" w:type="dxa"/>
            <w:tcBorders>
              <w:top w:val="nil"/>
              <w:left w:val="single" w:sz="4" w:space="0" w:color="auto"/>
              <w:bottom w:val="nil"/>
              <w:right w:val="single" w:sz="4" w:space="0" w:color="auto"/>
            </w:tcBorders>
            <w:shd w:val="clear" w:color="FFFFFF" w:fill="FFFFFF"/>
            <w:vAlign w:val="bottom"/>
            <w:hideMark/>
          </w:tcPr>
          <w:p w:rsidR="003E6989" w:rsidRDefault="003E6989" w:rsidP="006A5410">
            <w:pPr>
              <w:ind w:firstLineChars="100" w:firstLine="161"/>
              <w:rPr>
                <w:rFonts w:cs="Calibri"/>
                <w:b/>
                <w:bCs/>
                <w:color w:val="000000"/>
                <w:sz w:val="16"/>
                <w:szCs w:val="16"/>
              </w:rPr>
            </w:pPr>
            <w:r>
              <w:rPr>
                <w:rFonts w:cs="Calibri"/>
                <w:b/>
                <w:bCs/>
                <w:color w:val="000000"/>
                <w:sz w:val="16"/>
                <w:szCs w:val="16"/>
              </w:rPr>
              <w:t>Ordinary annual services</w:t>
            </w:r>
          </w:p>
        </w:tc>
        <w:tc>
          <w:tcPr>
            <w:tcW w:w="1476"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273,050 </w:t>
            </w:r>
          </w:p>
        </w:tc>
        <w:tc>
          <w:tcPr>
            <w:tcW w:w="1196" w:type="dxa"/>
            <w:tcBorders>
              <w:top w:val="nil"/>
              <w:left w:val="nil"/>
              <w:bottom w:val="nil"/>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996"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47,837 </w:t>
            </w:r>
          </w:p>
        </w:tc>
        <w:tc>
          <w:tcPr>
            <w:tcW w:w="916" w:type="dxa"/>
            <w:tcBorders>
              <w:top w:val="nil"/>
              <w:left w:val="nil"/>
              <w:bottom w:val="nil"/>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9,695 </w:t>
            </w:r>
          </w:p>
        </w:tc>
        <w:tc>
          <w:tcPr>
            <w:tcW w:w="1276" w:type="dxa"/>
            <w:tcBorders>
              <w:top w:val="nil"/>
              <w:left w:val="nil"/>
              <w:bottom w:val="nil"/>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330,582 </w:t>
            </w:r>
          </w:p>
        </w:tc>
        <w:tc>
          <w:tcPr>
            <w:tcW w:w="1316" w:type="dxa"/>
            <w:tcBorders>
              <w:top w:val="nil"/>
              <w:left w:val="nil"/>
              <w:bottom w:val="nil"/>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326,500 </w:t>
            </w:r>
          </w:p>
        </w:tc>
        <w:tc>
          <w:tcPr>
            <w:tcW w:w="1396" w:type="dxa"/>
            <w:tcBorders>
              <w:top w:val="nil"/>
              <w:left w:val="nil"/>
              <w:bottom w:val="nil"/>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4,082 </w:t>
            </w:r>
          </w:p>
        </w:tc>
      </w:tr>
      <w:tr w:rsidR="003E6989" w:rsidTr="006A5410">
        <w:trPr>
          <w:trHeight w:val="255"/>
        </w:trPr>
        <w:tc>
          <w:tcPr>
            <w:tcW w:w="3596" w:type="dxa"/>
            <w:tcBorders>
              <w:top w:val="nil"/>
              <w:left w:val="single" w:sz="4" w:space="0" w:color="auto"/>
              <w:bottom w:val="nil"/>
              <w:right w:val="single" w:sz="4" w:space="0" w:color="auto"/>
            </w:tcBorders>
            <w:shd w:val="clear" w:color="FFFFFF" w:fill="FFFFFF"/>
            <w:vAlign w:val="bottom"/>
            <w:hideMark/>
          </w:tcPr>
          <w:p w:rsidR="003E6989" w:rsidRDefault="003E6989" w:rsidP="006A5410">
            <w:pPr>
              <w:ind w:firstLineChars="100" w:firstLine="161"/>
              <w:rPr>
                <w:rFonts w:cs="Calibri"/>
                <w:b/>
                <w:bCs/>
                <w:color w:val="000000"/>
                <w:sz w:val="16"/>
                <w:szCs w:val="16"/>
              </w:rPr>
            </w:pPr>
            <w:r>
              <w:rPr>
                <w:rFonts w:cs="Calibri"/>
                <w:b/>
                <w:bCs/>
                <w:color w:val="000000"/>
                <w:sz w:val="16"/>
                <w:szCs w:val="16"/>
              </w:rPr>
              <w:t>Capital Budgets</w:t>
            </w:r>
          </w:p>
        </w:tc>
        <w:tc>
          <w:tcPr>
            <w:tcW w:w="1476"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22,536 </w:t>
            </w:r>
          </w:p>
        </w:tc>
        <w:tc>
          <w:tcPr>
            <w:tcW w:w="1196" w:type="dxa"/>
            <w:tcBorders>
              <w:top w:val="nil"/>
              <w:left w:val="nil"/>
              <w:bottom w:val="nil"/>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996"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916" w:type="dxa"/>
            <w:tcBorders>
              <w:top w:val="nil"/>
              <w:left w:val="nil"/>
              <w:bottom w:val="nil"/>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505 </w:t>
            </w:r>
          </w:p>
        </w:tc>
        <w:tc>
          <w:tcPr>
            <w:tcW w:w="1276" w:type="dxa"/>
            <w:tcBorders>
              <w:top w:val="nil"/>
              <w:left w:val="nil"/>
              <w:bottom w:val="nil"/>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23,041 </w:t>
            </w:r>
          </w:p>
        </w:tc>
        <w:tc>
          <w:tcPr>
            <w:tcW w:w="1316" w:type="dxa"/>
            <w:tcBorders>
              <w:top w:val="nil"/>
              <w:left w:val="nil"/>
              <w:bottom w:val="nil"/>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18,299 </w:t>
            </w:r>
          </w:p>
        </w:tc>
        <w:tc>
          <w:tcPr>
            <w:tcW w:w="1396" w:type="dxa"/>
            <w:tcBorders>
              <w:top w:val="nil"/>
              <w:left w:val="nil"/>
              <w:bottom w:val="nil"/>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4,742 </w:t>
            </w:r>
          </w:p>
        </w:tc>
      </w:tr>
      <w:tr w:rsidR="003E6989" w:rsidTr="006A5410">
        <w:trPr>
          <w:trHeight w:val="255"/>
        </w:trPr>
        <w:tc>
          <w:tcPr>
            <w:tcW w:w="3596" w:type="dxa"/>
            <w:tcBorders>
              <w:top w:val="nil"/>
              <w:left w:val="single" w:sz="4" w:space="0" w:color="auto"/>
              <w:bottom w:val="nil"/>
              <w:right w:val="single" w:sz="4" w:space="0" w:color="auto"/>
            </w:tcBorders>
            <w:shd w:val="clear" w:color="FFFFFF" w:fill="FFFFFF"/>
            <w:vAlign w:val="bottom"/>
            <w:hideMark/>
          </w:tcPr>
          <w:p w:rsidR="003E6989" w:rsidRDefault="003E6989" w:rsidP="006A5410">
            <w:pPr>
              <w:ind w:firstLineChars="100" w:firstLine="161"/>
              <w:rPr>
                <w:rFonts w:cs="Calibri"/>
                <w:b/>
                <w:bCs/>
                <w:color w:val="000000"/>
                <w:sz w:val="16"/>
                <w:szCs w:val="16"/>
              </w:rPr>
            </w:pPr>
            <w:r>
              <w:rPr>
                <w:rFonts w:cs="Calibri"/>
                <w:b/>
                <w:bCs/>
                <w:color w:val="000000"/>
                <w:sz w:val="16"/>
                <w:szCs w:val="16"/>
              </w:rPr>
              <w:t>Other services</w:t>
            </w:r>
          </w:p>
        </w:tc>
        <w:tc>
          <w:tcPr>
            <w:tcW w:w="1476" w:type="dxa"/>
            <w:tcBorders>
              <w:top w:val="nil"/>
              <w:left w:val="nil"/>
              <w:bottom w:val="nil"/>
              <w:right w:val="nil"/>
            </w:tcBorders>
            <w:shd w:val="clear" w:color="FFFFFF" w:fill="FFFFFF"/>
            <w:vAlign w:val="bottom"/>
            <w:hideMark/>
          </w:tcPr>
          <w:p w:rsidR="003E6989" w:rsidRDefault="003E6989" w:rsidP="006A5410">
            <w:pPr>
              <w:rPr>
                <w:rFonts w:cs="Calibri"/>
                <w:b/>
                <w:bCs/>
                <w:sz w:val="16"/>
                <w:szCs w:val="16"/>
              </w:rPr>
            </w:pPr>
            <w:r>
              <w:rPr>
                <w:rFonts w:cs="Calibri"/>
                <w:b/>
                <w:bCs/>
                <w:sz w:val="16"/>
                <w:szCs w:val="16"/>
              </w:rPr>
              <w:t> </w:t>
            </w:r>
          </w:p>
        </w:tc>
        <w:tc>
          <w:tcPr>
            <w:tcW w:w="1196" w:type="dxa"/>
            <w:tcBorders>
              <w:top w:val="nil"/>
              <w:left w:val="nil"/>
              <w:bottom w:val="nil"/>
              <w:right w:val="single" w:sz="4" w:space="0" w:color="auto"/>
            </w:tcBorders>
            <w:shd w:val="clear" w:color="FFFFFF" w:fill="FFFFFF"/>
            <w:vAlign w:val="bottom"/>
            <w:hideMark/>
          </w:tcPr>
          <w:p w:rsidR="003E6989" w:rsidRDefault="003E6989" w:rsidP="006A5410">
            <w:pPr>
              <w:rPr>
                <w:rFonts w:cs="Calibri"/>
                <w:b/>
                <w:bCs/>
                <w:sz w:val="16"/>
                <w:szCs w:val="16"/>
              </w:rPr>
            </w:pPr>
            <w:r>
              <w:rPr>
                <w:rFonts w:cs="Calibri"/>
                <w:b/>
                <w:bCs/>
                <w:sz w:val="16"/>
                <w:szCs w:val="16"/>
              </w:rPr>
              <w:t> </w:t>
            </w:r>
          </w:p>
        </w:tc>
        <w:tc>
          <w:tcPr>
            <w:tcW w:w="996" w:type="dxa"/>
            <w:tcBorders>
              <w:top w:val="nil"/>
              <w:left w:val="nil"/>
              <w:bottom w:val="nil"/>
              <w:right w:val="nil"/>
            </w:tcBorders>
            <w:shd w:val="clear" w:color="FFFFFF" w:fill="FFFFFF"/>
            <w:vAlign w:val="bottom"/>
            <w:hideMark/>
          </w:tcPr>
          <w:p w:rsidR="003E6989" w:rsidRDefault="003E6989" w:rsidP="006A5410">
            <w:pPr>
              <w:rPr>
                <w:rFonts w:cs="Calibri"/>
                <w:b/>
                <w:bCs/>
                <w:sz w:val="16"/>
                <w:szCs w:val="16"/>
              </w:rPr>
            </w:pPr>
            <w:r>
              <w:rPr>
                <w:rFonts w:cs="Calibri"/>
                <w:b/>
                <w:bCs/>
                <w:sz w:val="16"/>
                <w:szCs w:val="16"/>
              </w:rPr>
              <w:t> </w:t>
            </w:r>
          </w:p>
        </w:tc>
        <w:tc>
          <w:tcPr>
            <w:tcW w:w="916" w:type="dxa"/>
            <w:tcBorders>
              <w:top w:val="nil"/>
              <w:left w:val="nil"/>
              <w:bottom w:val="nil"/>
              <w:right w:val="single" w:sz="4" w:space="0" w:color="auto"/>
            </w:tcBorders>
            <w:shd w:val="clear" w:color="FFFFFF" w:fill="FFFFFF"/>
            <w:vAlign w:val="bottom"/>
            <w:hideMark/>
          </w:tcPr>
          <w:p w:rsidR="003E6989" w:rsidRDefault="003E6989" w:rsidP="006A5410">
            <w:pPr>
              <w:rPr>
                <w:rFonts w:cs="Calibri"/>
                <w:b/>
                <w:bCs/>
                <w:sz w:val="16"/>
                <w:szCs w:val="16"/>
              </w:rPr>
            </w:pPr>
            <w:r>
              <w:rPr>
                <w:rFonts w:cs="Calibri"/>
                <w:b/>
                <w:bCs/>
                <w:sz w:val="16"/>
                <w:szCs w:val="16"/>
              </w:rPr>
              <w:t> </w:t>
            </w:r>
          </w:p>
        </w:tc>
        <w:tc>
          <w:tcPr>
            <w:tcW w:w="1276" w:type="dxa"/>
            <w:tcBorders>
              <w:top w:val="nil"/>
              <w:left w:val="nil"/>
              <w:bottom w:val="nil"/>
              <w:right w:val="single" w:sz="4" w:space="0" w:color="auto"/>
            </w:tcBorders>
            <w:shd w:val="clear" w:color="FFFFFF" w:fill="FFFFFF"/>
            <w:vAlign w:val="bottom"/>
            <w:hideMark/>
          </w:tcPr>
          <w:p w:rsidR="003E6989" w:rsidRDefault="003E6989" w:rsidP="006A5410">
            <w:pPr>
              <w:rPr>
                <w:rFonts w:cs="Calibri"/>
                <w:b/>
                <w:bCs/>
                <w:sz w:val="16"/>
                <w:szCs w:val="16"/>
              </w:rPr>
            </w:pPr>
            <w:r>
              <w:rPr>
                <w:rFonts w:cs="Calibri"/>
                <w:b/>
                <w:bCs/>
                <w:sz w:val="16"/>
                <w:szCs w:val="16"/>
              </w:rPr>
              <w:t> </w:t>
            </w:r>
          </w:p>
        </w:tc>
        <w:tc>
          <w:tcPr>
            <w:tcW w:w="1316" w:type="dxa"/>
            <w:tcBorders>
              <w:top w:val="nil"/>
              <w:left w:val="nil"/>
              <w:bottom w:val="nil"/>
              <w:right w:val="single" w:sz="4" w:space="0" w:color="auto"/>
            </w:tcBorders>
            <w:shd w:val="clear" w:color="FFFFFF" w:fill="FFFFFF"/>
            <w:vAlign w:val="bottom"/>
            <w:hideMark/>
          </w:tcPr>
          <w:p w:rsidR="003E6989" w:rsidRDefault="003E6989" w:rsidP="006A5410">
            <w:pPr>
              <w:rPr>
                <w:rFonts w:cs="Calibri"/>
                <w:b/>
                <w:bCs/>
                <w:sz w:val="16"/>
                <w:szCs w:val="16"/>
              </w:rPr>
            </w:pPr>
            <w:r>
              <w:rPr>
                <w:rFonts w:cs="Calibri"/>
                <w:b/>
                <w:bCs/>
                <w:sz w:val="16"/>
                <w:szCs w:val="16"/>
              </w:rPr>
              <w:t> </w:t>
            </w:r>
          </w:p>
        </w:tc>
        <w:tc>
          <w:tcPr>
            <w:tcW w:w="1396" w:type="dxa"/>
            <w:tcBorders>
              <w:top w:val="nil"/>
              <w:left w:val="nil"/>
              <w:bottom w:val="nil"/>
              <w:right w:val="single" w:sz="4" w:space="0" w:color="auto"/>
            </w:tcBorders>
            <w:shd w:val="clear" w:color="FFFFFF" w:fill="FFFFFF"/>
            <w:vAlign w:val="bottom"/>
            <w:hideMark/>
          </w:tcPr>
          <w:p w:rsidR="003E6989" w:rsidRDefault="003E6989" w:rsidP="006A5410">
            <w:pPr>
              <w:rPr>
                <w:rFonts w:cs="Calibri"/>
                <w:b/>
                <w:bCs/>
                <w:sz w:val="16"/>
                <w:szCs w:val="16"/>
              </w:rPr>
            </w:pPr>
            <w:r>
              <w:rPr>
                <w:rFonts w:cs="Calibri"/>
                <w:b/>
                <w:bCs/>
                <w:sz w:val="16"/>
                <w:szCs w:val="16"/>
              </w:rPr>
              <w:t> </w:t>
            </w:r>
          </w:p>
        </w:tc>
      </w:tr>
      <w:tr w:rsidR="003E6989" w:rsidTr="006A5410">
        <w:trPr>
          <w:trHeight w:val="255"/>
        </w:trPr>
        <w:tc>
          <w:tcPr>
            <w:tcW w:w="3596" w:type="dxa"/>
            <w:tcBorders>
              <w:top w:val="nil"/>
              <w:left w:val="single" w:sz="4" w:space="0" w:color="auto"/>
              <w:bottom w:val="nil"/>
              <w:right w:val="single" w:sz="4" w:space="0" w:color="auto"/>
            </w:tcBorders>
            <w:shd w:val="clear" w:color="FFFFFF" w:fill="FFFFFF"/>
            <w:vAlign w:val="bottom"/>
            <w:hideMark/>
          </w:tcPr>
          <w:p w:rsidR="003E6989" w:rsidRDefault="003E6989" w:rsidP="006A5410">
            <w:pPr>
              <w:ind w:firstLineChars="200" w:firstLine="320"/>
              <w:rPr>
                <w:rFonts w:cs="Calibri"/>
                <w:color w:val="000000"/>
                <w:sz w:val="16"/>
                <w:szCs w:val="16"/>
              </w:rPr>
            </w:pPr>
            <w:r>
              <w:rPr>
                <w:rFonts w:cs="Calibri"/>
                <w:color w:val="000000"/>
                <w:sz w:val="16"/>
                <w:szCs w:val="16"/>
              </w:rPr>
              <w:t>Equity</w:t>
            </w:r>
          </w:p>
        </w:tc>
        <w:tc>
          <w:tcPr>
            <w:tcW w:w="1476" w:type="dxa"/>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3,489 </w:t>
            </w:r>
          </w:p>
        </w:tc>
        <w:tc>
          <w:tcPr>
            <w:tcW w:w="119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996" w:type="dxa"/>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91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12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3,489 </w:t>
            </w:r>
          </w:p>
        </w:tc>
        <w:tc>
          <w:tcPr>
            <w:tcW w:w="131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3,836 </w:t>
            </w:r>
          </w:p>
        </w:tc>
        <w:tc>
          <w:tcPr>
            <w:tcW w:w="1396" w:type="dxa"/>
            <w:tcBorders>
              <w:top w:val="nil"/>
              <w:left w:val="nil"/>
              <w:bottom w:val="nil"/>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(347)</w:t>
            </w:r>
          </w:p>
        </w:tc>
      </w:tr>
      <w:tr w:rsidR="003E6989" w:rsidTr="006A5410">
        <w:trPr>
          <w:trHeight w:val="278"/>
        </w:trPr>
        <w:tc>
          <w:tcPr>
            <w:tcW w:w="3596"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3E6989" w:rsidRDefault="003E6989" w:rsidP="006A5410">
            <w:pPr>
              <w:rPr>
                <w:rFonts w:cs="Calibri"/>
                <w:b/>
                <w:bCs/>
                <w:color w:val="000000"/>
                <w:sz w:val="16"/>
                <w:szCs w:val="16"/>
              </w:rPr>
            </w:pPr>
            <w:r>
              <w:rPr>
                <w:rFonts w:cs="Calibri"/>
                <w:b/>
                <w:bCs/>
                <w:color w:val="000000"/>
                <w:sz w:val="16"/>
                <w:szCs w:val="16"/>
              </w:rPr>
              <w:t>Total departmental</w:t>
            </w:r>
          </w:p>
        </w:tc>
        <w:tc>
          <w:tcPr>
            <w:tcW w:w="1476" w:type="dxa"/>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299,075</w:t>
            </w:r>
          </w:p>
        </w:tc>
        <w:tc>
          <w:tcPr>
            <w:tcW w:w="119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w:t>
            </w:r>
          </w:p>
        </w:tc>
        <w:tc>
          <w:tcPr>
            <w:tcW w:w="996" w:type="dxa"/>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47,837</w:t>
            </w:r>
          </w:p>
        </w:tc>
        <w:tc>
          <w:tcPr>
            <w:tcW w:w="91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10,200</w:t>
            </w:r>
          </w:p>
        </w:tc>
        <w:tc>
          <w:tcPr>
            <w:tcW w:w="12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357,112</w:t>
            </w:r>
          </w:p>
        </w:tc>
        <w:tc>
          <w:tcPr>
            <w:tcW w:w="131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348,635</w:t>
            </w:r>
          </w:p>
        </w:tc>
        <w:tc>
          <w:tcPr>
            <w:tcW w:w="1396" w:type="dxa"/>
            <w:tcBorders>
              <w:top w:val="single" w:sz="4" w:space="0" w:color="auto"/>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8,477</w:t>
            </w:r>
          </w:p>
        </w:tc>
      </w:tr>
      <w:tr w:rsidR="003E6989" w:rsidTr="006A5410">
        <w:trPr>
          <w:trHeight w:val="255"/>
        </w:trPr>
        <w:tc>
          <w:tcPr>
            <w:tcW w:w="3596" w:type="dxa"/>
            <w:tcBorders>
              <w:top w:val="nil"/>
              <w:left w:val="single" w:sz="4" w:space="0" w:color="auto"/>
              <w:bottom w:val="nil"/>
              <w:right w:val="single" w:sz="4" w:space="0" w:color="auto"/>
            </w:tcBorders>
            <w:shd w:val="clear" w:color="000000" w:fill="D9D9D9"/>
            <w:vAlign w:val="bottom"/>
            <w:hideMark/>
          </w:tcPr>
          <w:p w:rsidR="003E6989" w:rsidRDefault="003E6989" w:rsidP="006A5410">
            <w:pPr>
              <w:rPr>
                <w:rFonts w:cs="Calibri"/>
                <w:b/>
                <w:bCs/>
                <w:sz w:val="16"/>
                <w:szCs w:val="16"/>
              </w:rPr>
            </w:pPr>
            <w:r>
              <w:rPr>
                <w:rFonts w:cs="Calibri"/>
                <w:b/>
                <w:bCs/>
                <w:sz w:val="16"/>
                <w:szCs w:val="16"/>
              </w:rPr>
              <w:t>ADMINISTERED</w:t>
            </w:r>
          </w:p>
        </w:tc>
        <w:tc>
          <w:tcPr>
            <w:tcW w:w="1476" w:type="dxa"/>
            <w:tcBorders>
              <w:top w:val="nil"/>
              <w:left w:val="nil"/>
              <w:bottom w:val="nil"/>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196" w:type="dxa"/>
            <w:tcBorders>
              <w:top w:val="nil"/>
              <w:left w:val="nil"/>
              <w:bottom w:val="nil"/>
              <w:right w:val="single" w:sz="4" w:space="0" w:color="auto"/>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996" w:type="dxa"/>
            <w:tcBorders>
              <w:top w:val="nil"/>
              <w:left w:val="nil"/>
              <w:bottom w:val="nil"/>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916" w:type="dxa"/>
            <w:tcBorders>
              <w:top w:val="nil"/>
              <w:left w:val="nil"/>
              <w:bottom w:val="nil"/>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76" w:type="dxa"/>
            <w:tcBorders>
              <w:top w:val="nil"/>
              <w:left w:val="single" w:sz="4" w:space="0" w:color="auto"/>
              <w:bottom w:val="nil"/>
              <w:right w:val="single" w:sz="4" w:space="0" w:color="auto"/>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316" w:type="dxa"/>
            <w:tcBorders>
              <w:top w:val="nil"/>
              <w:left w:val="nil"/>
              <w:bottom w:val="nil"/>
              <w:right w:val="single" w:sz="4" w:space="0" w:color="auto"/>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396" w:type="dxa"/>
            <w:tcBorders>
              <w:top w:val="nil"/>
              <w:left w:val="nil"/>
              <w:bottom w:val="nil"/>
              <w:right w:val="single" w:sz="4" w:space="0" w:color="auto"/>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r>
      <w:tr w:rsidR="003E6989" w:rsidTr="006A5410">
        <w:trPr>
          <w:trHeight w:val="255"/>
        </w:trPr>
        <w:tc>
          <w:tcPr>
            <w:tcW w:w="3596" w:type="dxa"/>
            <w:tcBorders>
              <w:top w:val="nil"/>
              <w:left w:val="single" w:sz="4" w:space="0" w:color="auto"/>
              <w:bottom w:val="nil"/>
              <w:right w:val="single" w:sz="4" w:space="0" w:color="auto"/>
            </w:tcBorders>
            <w:shd w:val="clear" w:color="000000" w:fill="D9D9D9"/>
            <w:vAlign w:val="bottom"/>
            <w:hideMark/>
          </w:tcPr>
          <w:p w:rsidR="003E6989" w:rsidRDefault="003E6989" w:rsidP="006A5410">
            <w:pPr>
              <w:ind w:firstLineChars="100" w:firstLine="161"/>
              <w:rPr>
                <w:rFonts w:cs="Calibri"/>
                <w:b/>
                <w:bCs/>
                <w:sz w:val="16"/>
                <w:szCs w:val="16"/>
              </w:rPr>
            </w:pPr>
            <w:r>
              <w:rPr>
                <w:rFonts w:cs="Calibri"/>
                <w:b/>
                <w:bCs/>
                <w:sz w:val="16"/>
                <w:szCs w:val="16"/>
              </w:rPr>
              <w:t>Ordinary annual services</w:t>
            </w:r>
          </w:p>
        </w:tc>
        <w:tc>
          <w:tcPr>
            <w:tcW w:w="1476" w:type="dxa"/>
            <w:tcBorders>
              <w:top w:val="nil"/>
              <w:left w:val="nil"/>
              <w:bottom w:val="nil"/>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196" w:type="dxa"/>
            <w:tcBorders>
              <w:top w:val="nil"/>
              <w:left w:val="nil"/>
              <w:bottom w:val="nil"/>
              <w:right w:val="single" w:sz="4" w:space="0" w:color="auto"/>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996" w:type="dxa"/>
            <w:tcBorders>
              <w:top w:val="nil"/>
              <w:left w:val="nil"/>
              <w:bottom w:val="nil"/>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916" w:type="dxa"/>
            <w:tcBorders>
              <w:top w:val="nil"/>
              <w:left w:val="nil"/>
              <w:bottom w:val="nil"/>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76" w:type="dxa"/>
            <w:tcBorders>
              <w:top w:val="nil"/>
              <w:left w:val="single" w:sz="4" w:space="0" w:color="auto"/>
              <w:bottom w:val="nil"/>
              <w:right w:val="single" w:sz="4" w:space="0" w:color="auto"/>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316" w:type="dxa"/>
            <w:tcBorders>
              <w:top w:val="nil"/>
              <w:left w:val="nil"/>
              <w:bottom w:val="nil"/>
              <w:right w:val="single" w:sz="4" w:space="0" w:color="auto"/>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396" w:type="dxa"/>
            <w:tcBorders>
              <w:top w:val="nil"/>
              <w:left w:val="nil"/>
              <w:bottom w:val="nil"/>
              <w:right w:val="single" w:sz="4" w:space="0" w:color="auto"/>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r>
      <w:tr w:rsidR="003E6989" w:rsidTr="006A5410">
        <w:trPr>
          <w:trHeight w:val="255"/>
        </w:trPr>
        <w:tc>
          <w:tcPr>
            <w:tcW w:w="3596" w:type="dxa"/>
            <w:tcBorders>
              <w:top w:val="nil"/>
              <w:left w:val="single" w:sz="4" w:space="0" w:color="auto"/>
              <w:bottom w:val="nil"/>
              <w:right w:val="single" w:sz="4" w:space="0" w:color="auto"/>
            </w:tcBorders>
            <w:shd w:val="clear" w:color="000000" w:fill="D9D9D9"/>
            <w:vAlign w:val="bottom"/>
            <w:hideMark/>
          </w:tcPr>
          <w:p w:rsidR="003E6989" w:rsidRDefault="003E6989" w:rsidP="006A5410">
            <w:pPr>
              <w:ind w:firstLineChars="200" w:firstLine="320"/>
              <w:rPr>
                <w:rFonts w:cs="Calibri"/>
                <w:color w:val="000000"/>
                <w:sz w:val="16"/>
                <w:szCs w:val="16"/>
              </w:rPr>
            </w:pPr>
            <w:r>
              <w:rPr>
                <w:rFonts w:cs="Calibri"/>
                <w:color w:val="000000"/>
                <w:sz w:val="16"/>
                <w:szCs w:val="16"/>
              </w:rPr>
              <w:t>Administered items</w:t>
            </w:r>
          </w:p>
        </w:tc>
        <w:tc>
          <w:tcPr>
            <w:tcW w:w="147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996,201 </w:t>
            </w:r>
          </w:p>
        </w:tc>
        <w:tc>
          <w:tcPr>
            <w:tcW w:w="1196" w:type="dxa"/>
            <w:tcBorders>
              <w:top w:val="nil"/>
              <w:left w:val="nil"/>
              <w:bottom w:val="nil"/>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w:t>
            </w:r>
          </w:p>
        </w:tc>
        <w:tc>
          <w:tcPr>
            <w:tcW w:w="99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91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316,252 </w:t>
            </w:r>
          </w:p>
        </w:tc>
        <w:tc>
          <w:tcPr>
            <w:tcW w:w="1276" w:type="dxa"/>
            <w:tcBorders>
              <w:top w:val="nil"/>
              <w:left w:val="single" w:sz="4" w:space="0" w:color="auto"/>
              <w:bottom w:val="nil"/>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1,312,453 </w:t>
            </w:r>
          </w:p>
        </w:tc>
        <w:tc>
          <w:tcPr>
            <w:tcW w:w="1316" w:type="dxa"/>
            <w:tcBorders>
              <w:top w:val="nil"/>
              <w:left w:val="nil"/>
              <w:bottom w:val="nil"/>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1,082,706 </w:t>
            </w:r>
          </w:p>
        </w:tc>
        <w:tc>
          <w:tcPr>
            <w:tcW w:w="1396" w:type="dxa"/>
            <w:tcBorders>
              <w:top w:val="nil"/>
              <w:left w:val="nil"/>
              <w:bottom w:val="nil"/>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229,747 </w:t>
            </w:r>
          </w:p>
        </w:tc>
      </w:tr>
      <w:tr w:rsidR="003E6989" w:rsidTr="006A5410">
        <w:trPr>
          <w:trHeight w:val="450"/>
        </w:trPr>
        <w:tc>
          <w:tcPr>
            <w:tcW w:w="3596" w:type="dxa"/>
            <w:tcBorders>
              <w:top w:val="nil"/>
              <w:left w:val="single" w:sz="4" w:space="0" w:color="auto"/>
              <w:bottom w:val="nil"/>
              <w:right w:val="single" w:sz="4" w:space="0" w:color="auto"/>
            </w:tcBorders>
            <w:shd w:val="clear" w:color="000000" w:fill="D9D9D9"/>
            <w:vAlign w:val="bottom"/>
            <w:hideMark/>
          </w:tcPr>
          <w:p w:rsidR="003E6989" w:rsidRDefault="003E6989" w:rsidP="006A5410">
            <w:pPr>
              <w:ind w:firstLineChars="200" w:firstLine="320"/>
              <w:rPr>
                <w:rFonts w:cs="Calibri"/>
                <w:color w:val="000000"/>
                <w:sz w:val="16"/>
                <w:szCs w:val="16"/>
              </w:rPr>
            </w:pPr>
            <w:r>
              <w:rPr>
                <w:rFonts w:cs="Calibri"/>
                <w:color w:val="000000"/>
                <w:sz w:val="16"/>
                <w:szCs w:val="16"/>
              </w:rPr>
              <w:t>Payments to Corporate Commonwealth Entities</w:t>
            </w:r>
          </w:p>
        </w:tc>
        <w:tc>
          <w:tcPr>
            <w:tcW w:w="147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13,295 </w:t>
            </w:r>
          </w:p>
        </w:tc>
        <w:tc>
          <w:tcPr>
            <w:tcW w:w="1196" w:type="dxa"/>
            <w:tcBorders>
              <w:top w:val="nil"/>
              <w:left w:val="nil"/>
              <w:bottom w:val="nil"/>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99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91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1276" w:type="dxa"/>
            <w:tcBorders>
              <w:top w:val="nil"/>
              <w:left w:val="single" w:sz="4" w:space="0" w:color="auto"/>
              <w:bottom w:val="nil"/>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13,295 </w:t>
            </w:r>
          </w:p>
        </w:tc>
        <w:tc>
          <w:tcPr>
            <w:tcW w:w="1316" w:type="dxa"/>
            <w:tcBorders>
              <w:top w:val="nil"/>
              <w:left w:val="nil"/>
              <w:bottom w:val="nil"/>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13,295 </w:t>
            </w:r>
          </w:p>
        </w:tc>
        <w:tc>
          <w:tcPr>
            <w:tcW w:w="1396" w:type="dxa"/>
            <w:tcBorders>
              <w:top w:val="nil"/>
              <w:left w:val="nil"/>
              <w:bottom w:val="nil"/>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r>
      <w:tr w:rsidR="003E6989" w:rsidTr="006A5410">
        <w:trPr>
          <w:trHeight w:val="255"/>
        </w:trPr>
        <w:tc>
          <w:tcPr>
            <w:tcW w:w="3596" w:type="dxa"/>
            <w:tcBorders>
              <w:top w:val="nil"/>
              <w:left w:val="single" w:sz="4" w:space="0" w:color="auto"/>
              <w:bottom w:val="nil"/>
              <w:right w:val="single" w:sz="4" w:space="0" w:color="auto"/>
            </w:tcBorders>
            <w:shd w:val="clear" w:color="000000" w:fill="D9D9D9"/>
            <w:vAlign w:val="bottom"/>
            <w:hideMark/>
          </w:tcPr>
          <w:p w:rsidR="003E6989" w:rsidRDefault="003E6989" w:rsidP="006A5410">
            <w:pPr>
              <w:ind w:firstLineChars="100" w:firstLine="161"/>
              <w:rPr>
                <w:rFonts w:cs="Calibri"/>
                <w:b/>
                <w:bCs/>
                <w:sz w:val="16"/>
                <w:szCs w:val="16"/>
              </w:rPr>
            </w:pPr>
            <w:r>
              <w:rPr>
                <w:rFonts w:cs="Calibri"/>
                <w:b/>
                <w:bCs/>
                <w:sz w:val="16"/>
                <w:szCs w:val="16"/>
              </w:rPr>
              <w:t>Other services</w:t>
            </w:r>
          </w:p>
        </w:tc>
        <w:tc>
          <w:tcPr>
            <w:tcW w:w="1476" w:type="dxa"/>
            <w:tcBorders>
              <w:top w:val="nil"/>
              <w:left w:val="nil"/>
              <w:bottom w:val="nil"/>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196" w:type="dxa"/>
            <w:tcBorders>
              <w:top w:val="nil"/>
              <w:left w:val="nil"/>
              <w:bottom w:val="nil"/>
              <w:right w:val="single" w:sz="4" w:space="0" w:color="auto"/>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996" w:type="dxa"/>
            <w:tcBorders>
              <w:top w:val="nil"/>
              <w:left w:val="nil"/>
              <w:bottom w:val="nil"/>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916" w:type="dxa"/>
            <w:tcBorders>
              <w:top w:val="nil"/>
              <w:left w:val="nil"/>
              <w:bottom w:val="nil"/>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276" w:type="dxa"/>
            <w:tcBorders>
              <w:top w:val="nil"/>
              <w:left w:val="single" w:sz="4" w:space="0" w:color="auto"/>
              <w:bottom w:val="nil"/>
              <w:right w:val="single" w:sz="4" w:space="0" w:color="auto"/>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316" w:type="dxa"/>
            <w:tcBorders>
              <w:top w:val="nil"/>
              <w:left w:val="nil"/>
              <w:bottom w:val="nil"/>
              <w:right w:val="single" w:sz="4" w:space="0" w:color="auto"/>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396" w:type="dxa"/>
            <w:tcBorders>
              <w:top w:val="nil"/>
              <w:left w:val="nil"/>
              <w:bottom w:val="nil"/>
              <w:right w:val="single" w:sz="4" w:space="0" w:color="auto"/>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r>
      <w:tr w:rsidR="003E6989" w:rsidTr="006A5410">
        <w:trPr>
          <w:trHeight w:val="255"/>
        </w:trPr>
        <w:tc>
          <w:tcPr>
            <w:tcW w:w="3596" w:type="dxa"/>
            <w:tcBorders>
              <w:top w:val="nil"/>
              <w:left w:val="single" w:sz="4" w:space="0" w:color="auto"/>
              <w:bottom w:val="nil"/>
              <w:right w:val="single" w:sz="4" w:space="0" w:color="auto"/>
            </w:tcBorders>
            <w:shd w:val="clear" w:color="000000" w:fill="D9D9D9"/>
            <w:noWrap/>
            <w:vAlign w:val="bottom"/>
            <w:hideMark/>
          </w:tcPr>
          <w:p w:rsidR="003E6989" w:rsidRDefault="003E6989" w:rsidP="006A5410">
            <w:pPr>
              <w:ind w:firstLineChars="200" w:firstLine="320"/>
              <w:rPr>
                <w:rFonts w:cs="Calibri"/>
                <w:color w:val="000000"/>
                <w:sz w:val="16"/>
                <w:szCs w:val="16"/>
              </w:rPr>
            </w:pPr>
            <w:r>
              <w:rPr>
                <w:rFonts w:cs="Calibri"/>
                <w:color w:val="000000"/>
                <w:sz w:val="16"/>
                <w:szCs w:val="16"/>
              </w:rPr>
              <w:t>States, ACT, NT and local government</w:t>
            </w:r>
          </w:p>
        </w:tc>
        <w:tc>
          <w:tcPr>
            <w:tcW w:w="147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100,431 </w:t>
            </w:r>
          </w:p>
        </w:tc>
        <w:tc>
          <w:tcPr>
            <w:tcW w:w="1196" w:type="dxa"/>
            <w:tcBorders>
              <w:top w:val="nil"/>
              <w:left w:val="nil"/>
              <w:bottom w:val="nil"/>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99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91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1276" w:type="dxa"/>
            <w:tcBorders>
              <w:top w:val="nil"/>
              <w:left w:val="single" w:sz="4" w:space="0" w:color="auto"/>
              <w:bottom w:val="nil"/>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100,431 </w:t>
            </w:r>
          </w:p>
        </w:tc>
        <w:tc>
          <w:tcPr>
            <w:tcW w:w="1316" w:type="dxa"/>
            <w:tcBorders>
              <w:top w:val="nil"/>
              <w:left w:val="nil"/>
              <w:bottom w:val="nil"/>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96,677 </w:t>
            </w:r>
          </w:p>
        </w:tc>
        <w:tc>
          <w:tcPr>
            <w:tcW w:w="1396" w:type="dxa"/>
            <w:tcBorders>
              <w:top w:val="nil"/>
              <w:left w:val="nil"/>
              <w:bottom w:val="nil"/>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3,754 </w:t>
            </w:r>
          </w:p>
        </w:tc>
      </w:tr>
      <w:tr w:rsidR="003E6989" w:rsidTr="006A5410">
        <w:trPr>
          <w:trHeight w:val="450"/>
        </w:trPr>
        <w:tc>
          <w:tcPr>
            <w:tcW w:w="3596" w:type="dxa"/>
            <w:tcBorders>
              <w:top w:val="nil"/>
              <w:left w:val="single" w:sz="4" w:space="0" w:color="auto"/>
              <w:bottom w:val="nil"/>
              <w:right w:val="single" w:sz="4" w:space="0" w:color="auto"/>
            </w:tcBorders>
            <w:shd w:val="clear" w:color="000000" w:fill="D9D9D9"/>
            <w:vAlign w:val="bottom"/>
            <w:hideMark/>
          </w:tcPr>
          <w:p w:rsidR="003E6989" w:rsidRDefault="003E6989" w:rsidP="006A5410">
            <w:pPr>
              <w:ind w:firstLineChars="200" w:firstLine="320"/>
              <w:rPr>
                <w:rFonts w:cs="Calibri"/>
                <w:color w:val="000000"/>
                <w:sz w:val="16"/>
                <w:szCs w:val="16"/>
              </w:rPr>
            </w:pPr>
            <w:r>
              <w:rPr>
                <w:rFonts w:cs="Calibri"/>
                <w:color w:val="000000"/>
                <w:sz w:val="16"/>
                <w:szCs w:val="16"/>
              </w:rPr>
              <w:t>Payments to Corporate Commonwealth Entities</w:t>
            </w:r>
          </w:p>
        </w:tc>
        <w:tc>
          <w:tcPr>
            <w:tcW w:w="147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75 </w:t>
            </w:r>
          </w:p>
        </w:tc>
        <w:tc>
          <w:tcPr>
            <w:tcW w:w="1196" w:type="dxa"/>
            <w:tcBorders>
              <w:top w:val="nil"/>
              <w:left w:val="nil"/>
              <w:bottom w:val="nil"/>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99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91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1276" w:type="dxa"/>
            <w:tcBorders>
              <w:top w:val="nil"/>
              <w:left w:val="single" w:sz="4" w:space="0" w:color="auto"/>
              <w:bottom w:val="nil"/>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75 </w:t>
            </w:r>
          </w:p>
        </w:tc>
        <w:tc>
          <w:tcPr>
            <w:tcW w:w="1316" w:type="dxa"/>
            <w:tcBorders>
              <w:top w:val="nil"/>
              <w:left w:val="nil"/>
              <w:bottom w:val="nil"/>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75 </w:t>
            </w:r>
          </w:p>
        </w:tc>
        <w:tc>
          <w:tcPr>
            <w:tcW w:w="1396" w:type="dxa"/>
            <w:tcBorders>
              <w:top w:val="nil"/>
              <w:left w:val="nil"/>
              <w:bottom w:val="nil"/>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r>
      <w:tr w:rsidR="003E6989" w:rsidTr="006A5410">
        <w:trPr>
          <w:trHeight w:val="278"/>
        </w:trPr>
        <w:tc>
          <w:tcPr>
            <w:tcW w:w="3596"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3E6989" w:rsidRDefault="003E6989" w:rsidP="006A5410">
            <w:pPr>
              <w:rPr>
                <w:rFonts w:cs="Calibri"/>
                <w:b/>
                <w:bCs/>
                <w:sz w:val="16"/>
                <w:szCs w:val="16"/>
              </w:rPr>
            </w:pPr>
            <w:r>
              <w:rPr>
                <w:rFonts w:cs="Calibri"/>
                <w:b/>
                <w:bCs/>
                <w:sz w:val="16"/>
                <w:szCs w:val="16"/>
              </w:rPr>
              <w:t>Total administered</w:t>
            </w:r>
          </w:p>
        </w:tc>
        <w:tc>
          <w:tcPr>
            <w:tcW w:w="147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1,110,002</w:t>
            </w:r>
          </w:p>
        </w:tc>
        <w:tc>
          <w:tcPr>
            <w:tcW w:w="1196" w:type="dxa"/>
            <w:tcBorders>
              <w:top w:val="single" w:sz="4" w:space="0" w:color="auto"/>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w:t>
            </w:r>
          </w:p>
        </w:tc>
        <w:tc>
          <w:tcPr>
            <w:tcW w:w="99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w:t>
            </w:r>
          </w:p>
        </w:tc>
        <w:tc>
          <w:tcPr>
            <w:tcW w:w="91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316,252</w:t>
            </w:r>
          </w:p>
        </w:tc>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1,426,254</w:t>
            </w:r>
          </w:p>
        </w:tc>
        <w:tc>
          <w:tcPr>
            <w:tcW w:w="1316" w:type="dxa"/>
            <w:tcBorders>
              <w:top w:val="single" w:sz="4" w:space="0" w:color="auto"/>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1,192,753</w:t>
            </w:r>
          </w:p>
        </w:tc>
        <w:tc>
          <w:tcPr>
            <w:tcW w:w="1396" w:type="dxa"/>
            <w:tcBorders>
              <w:top w:val="single" w:sz="4" w:space="0" w:color="auto"/>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233,501</w:t>
            </w:r>
          </w:p>
        </w:tc>
      </w:tr>
    </w:tbl>
    <w:p w:rsidR="003E6989" w:rsidRDefault="003E6989" w:rsidP="003E6989">
      <w:pPr>
        <w:pStyle w:val="AdminBlankGreyShade"/>
      </w:pPr>
      <w:bookmarkStart w:id="469" w:name="RANGE!D35:L52"/>
      <w:bookmarkStart w:id="470" w:name="RANGE!D34:L50"/>
      <w:bookmarkStart w:id="471" w:name="RANGE!D34:L51"/>
      <w:bookmarkStart w:id="472" w:name="RANGE!D34:M53"/>
      <w:bookmarkStart w:id="473" w:name="RANGE!D35:M54"/>
      <w:bookmarkStart w:id="474" w:name="RANGE!D36:L55"/>
      <w:bookmarkEnd w:id="469"/>
      <w:bookmarkEnd w:id="470"/>
      <w:bookmarkEnd w:id="471"/>
      <w:bookmarkEnd w:id="472"/>
      <w:bookmarkEnd w:id="473"/>
      <w:bookmarkEnd w:id="474"/>
      <w:r>
        <w:t>Notes:</w:t>
      </w:r>
    </w:p>
    <w:p w:rsidR="003E6989" w:rsidRPr="00807405" w:rsidRDefault="003E6989" w:rsidP="003E6989">
      <w:pPr>
        <w:pStyle w:val="AdminBlankGreyShade"/>
      </w:pPr>
      <w:r w:rsidRPr="00807405">
        <w:t xml:space="preserve">1. In </w:t>
      </w:r>
      <w:r>
        <w:t>2014–15</w:t>
      </w:r>
      <w:r w:rsidRPr="00807405">
        <w:t xml:space="preserve">, </w:t>
      </w:r>
      <w:r>
        <w:t xml:space="preserve">there were $12.473 million reductions to appropriation made under a section 51 determination and a further $3.690 million quarantined. </w:t>
      </w:r>
      <w:r w:rsidRPr="00807405">
        <w:t xml:space="preserve">In </w:t>
      </w:r>
      <w:r>
        <w:t>2014–15</w:t>
      </w:r>
      <w:r w:rsidRPr="00807405">
        <w:t xml:space="preserve">, there was </w:t>
      </w:r>
      <w:r>
        <w:t>$3.690 million</w:t>
      </w:r>
      <w:r w:rsidRPr="00807405">
        <w:t xml:space="preserve"> that met the recognition criteria of a formal addition or reduction in revenue (in accordance with FRR Part 6 Div 3) but at law the appropriation has not been amended before the end of the reporting period.</w:t>
      </w:r>
    </w:p>
    <w:p w:rsidR="003E6989" w:rsidRDefault="003E6989" w:rsidP="003E6989">
      <w:pPr>
        <w:pStyle w:val="AdminBlankGreyShade"/>
      </w:pPr>
      <w:r>
        <w:t>2</w:t>
      </w:r>
      <w:r w:rsidRPr="00807405">
        <w:t xml:space="preserve">. </w:t>
      </w:r>
      <w:r>
        <w:t>Administered and departmental variances are primarily due to the movements in liability balances between 2013–14 and 2014–15, and amounts subject to quarantine and available to be reduced.</w:t>
      </w:r>
    </w:p>
    <w:p w:rsidR="003E6989" w:rsidRDefault="003E6989" w:rsidP="003E6989">
      <w:pPr>
        <w:pStyle w:val="AdminBlankGreyShade"/>
      </w:pPr>
      <w:bookmarkStart w:id="475" w:name="RANGE!D36:M55"/>
      <w:bookmarkStart w:id="476" w:name="RANGE!D37:M56"/>
      <w:bookmarkStart w:id="477" w:name="RANGE!D34:M54"/>
      <w:bookmarkStart w:id="478" w:name="RANGE!D35:M55"/>
      <w:bookmarkStart w:id="479" w:name="RANGE!D39:M59"/>
      <w:bookmarkStart w:id="480" w:name="RANGE!D33:M53"/>
      <w:bookmarkEnd w:id="475"/>
      <w:bookmarkEnd w:id="476"/>
      <w:bookmarkEnd w:id="477"/>
      <w:bookmarkEnd w:id="478"/>
      <w:bookmarkEnd w:id="479"/>
      <w:bookmarkEnd w:id="480"/>
    </w:p>
    <w:p w:rsidR="003E6989" w:rsidRDefault="003E6989" w:rsidP="003E6989">
      <w:pPr>
        <w:spacing w:line="240" w:lineRule="auto"/>
        <w:sectPr w:rsidR="003E6989" w:rsidSect="006A5410">
          <w:pgSz w:w="16838" w:h="11906" w:orient="landscape"/>
          <w:pgMar w:top="1134" w:right="1134" w:bottom="1134" w:left="1134" w:header="958" w:footer="737" w:gutter="0"/>
          <w:cols w:space="720"/>
          <w:docGrid w:linePitch="245"/>
        </w:sectPr>
      </w:pPr>
    </w:p>
    <w:tbl>
      <w:tblPr>
        <w:tblW w:w="9087" w:type="dxa"/>
        <w:tblInd w:w="80" w:type="dxa"/>
        <w:tblLayout w:type="fixed"/>
        <w:tblLook w:val="04A0" w:firstRow="1" w:lastRow="0" w:firstColumn="1" w:lastColumn="0" w:noHBand="0" w:noVBand="1"/>
      </w:tblPr>
      <w:tblGrid>
        <w:gridCol w:w="6577"/>
        <w:gridCol w:w="1255"/>
        <w:gridCol w:w="1255"/>
      </w:tblGrid>
      <w:tr w:rsidR="003E6989" w:rsidTr="006A5410">
        <w:trPr>
          <w:trHeight w:val="255"/>
        </w:trPr>
        <w:tc>
          <w:tcPr>
            <w:tcW w:w="8980" w:type="dxa"/>
            <w:gridSpan w:val="3"/>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bookmarkStart w:id="481" w:name="RANGE!D7:D44"/>
            <w:bookmarkStart w:id="482" w:name="Note_DUATABLE1" w:colFirst="0" w:colLast="0"/>
            <w:r>
              <w:rPr>
                <w:rFonts w:cs="Calibri"/>
                <w:b/>
                <w:bCs/>
                <w:szCs w:val="18"/>
                <w:u w:val="single"/>
              </w:rPr>
              <w:t>5.1B: Unspent annual appropriations ('recoverable GST exclusive')</w:t>
            </w:r>
            <w:bookmarkEnd w:id="481"/>
          </w:p>
        </w:tc>
      </w:tr>
      <w:bookmarkEnd w:id="482"/>
      <w:tr w:rsidR="003E6989" w:rsidTr="006A5410">
        <w:trPr>
          <w:trHeight w:val="255"/>
        </w:trPr>
        <w:tc>
          <w:tcPr>
            <w:tcW w:w="6500"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40"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40"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6500" w:type="dxa"/>
            <w:vMerge w:val="restart"/>
            <w:tcBorders>
              <w:top w:val="single" w:sz="4" w:space="0" w:color="auto"/>
              <w:left w:val="nil"/>
              <w:bottom w:val="single" w:sz="4" w:space="0" w:color="000000"/>
              <w:right w:val="nil"/>
            </w:tcBorders>
            <w:shd w:val="clear" w:color="FFFFFF" w:fill="FFFFFF"/>
            <w:vAlign w:val="bottom"/>
            <w:hideMark/>
          </w:tcPr>
          <w:p w:rsidR="003E6989" w:rsidRDefault="003E6989" w:rsidP="006A5410">
            <w:pPr>
              <w:rPr>
                <w:rFonts w:cs="Calibri"/>
                <w:b/>
                <w:bCs/>
                <w:szCs w:val="18"/>
              </w:rPr>
            </w:pPr>
            <w:r>
              <w:rPr>
                <w:rFonts w:cs="Calibri"/>
                <w:b/>
                <w:bCs/>
                <w:szCs w:val="18"/>
              </w:rPr>
              <w:t> </w:t>
            </w:r>
          </w:p>
        </w:tc>
        <w:tc>
          <w:tcPr>
            <w:tcW w:w="1240" w:type="dxa"/>
            <w:tcBorders>
              <w:top w:val="single" w:sz="4" w:space="0" w:color="auto"/>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2016</w:t>
            </w:r>
          </w:p>
        </w:tc>
        <w:tc>
          <w:tcPr>
            <w:tcW w:w="1240" w:type="dxa"/>
            <w:tcBorders>
              <w:top w:val="single" w:sz="4" w:space="0" w:color="auto"/>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2015</w:t>
            </w:r>
          </w:p>
        </w:tc>
      </w:tr>
      <w:tr w:rsidR="003E6989" w:rsidTr="006A5410">
        <w:trPr>
          <w:trHeight w:val="255"/>
        </w:trPr>
        <w:tc>
          <w:tcPr>
            <w:tcW w:w="6500" w:type="dxa"/>
            <w:vMerge/>
            <w:tcBorders>
              <w:top w:val="single" w:sz="4" w:space="0" w:color="auto"/>
              <w:left w:val="nil"/>
              <w:bottom w:val="single" w:sz="4" w:space="0" w:color="000000"/>
              <w:right w:val="nil"/>
            </w:tcBorders>
            <w:vAlign w:val="center"/>
            <w:hideMark/>
          </w:tcPr>
          <w:p w:rsidR="003E6989" w:rsidRDefault="003E6989" w:rsidP="006A5410">
            <w:pPr>
              <w:rPr>
                <w:rFonts w:cs="Calibri"/>
                <w:b/>
                <w:bCs/>
                <w:szCs w:val="18"/>
              </w:rPr>
            </w:pPr>
          </w:p>
        </w:tc>
        <w:tc>
          <w:tcPr>
            <w:tcW w:w="1240" w:type="dxa"/>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1240" w:type="dxa"/>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6500" w:type="dxa"/>
            <w:vMerge w:val="restart"/>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Departmental</w:t>
            </w:r>
          </w:p>
        </w:tc>
        <w:tc>
          <w:tcPr>
            <w:tcW w:w="1240"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w:t>
            </w:r>
          </w:p>
        </w:tc>
        <w:tc>
          <w:tcPr>
            <w:tcW w:w="1240"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500" w:type="dxa"/>
            <w:vMerge/>
            <w:tcBorders>
              <w:top w:val="nil"/>
              <w:left w:val="nil"/>
              <w:bottom w:val="nil"/>
              <w:right w:val="nil"/>
            </w:tcBorders>
            <w:vAlign w:val="center"/>
            <w:hideMark/>
          </w:tcPr>
          <w:p w:rsidR="003E6989" w:rsidRDefault="003E6989" w:rsidP="006A5410">
            <w:pPr>
              <w:rPr>
                <w:rFonts w:cs="Calibri"/>
                <w:b/>
                <w:bCs/>
                <w:szCs w:val="18"/>
              </w:rPr>
            </w:pPr>
          </w:p>
        </w:tc>
        <w:tc>
          <w:tcPr>
            <w:tcW w:w="1240"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w:t>
            </w:r>
          </w:p>
        </w:tc>
        <w:tc>
          <w:tcPr>
            <w:tcW w:w="1240"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500"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Appropriation Act (No.1) 2015-16</w:t>
            </w:r>
          </w:p>
        </w:tc>
        <w:tc>
          <w:tcPr>
            <w:tcW w:w="124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35,506 </w:t>
            </w:r>
          </w:p>
        </w:tc>
        <w:tc>
          <w:tcPr>
            <w:tcW w:w="1240" w:type="dxa"/>
            <w:tcBorders>
              <w:top w:val="nil"/>
              <w:left w:val="nil"/>
              <w:bottom w:val="nil"/>
              <w:right w:val="nil"/>
            </w:tcBorders>
            <w:shd w:val="clear" w:color="FFFFFF" w:fill="FFFFFF"/>
            <w:noWrap/>
            <w:vAlign w:val="bottom"/>
            <w:hideMark/>
          </w:tcPr>
          <w:p w:rsidR="003E6989" w:rsidRDefault="003E6989" w:rsidP="006A5410">
            <w:pPr>
              <w:jc w:val="right"/>
              <w:rPr>
                <w:rFonts w:cs="Calibri"/>
                <w:sz w:val="16"/>
                <w:szCs w:val="16"/>
              </w:rPr>
            </w:pPr>
            <w:r>
              <w:rPr>
                <w:rFonts w:cs="Calibri"/>
                <w:sz w:val="16"/>
                <w:szCs w:val="16"/>
              </w:rPr>
              <w:t xml:space="preserve"> -</w:t>
            </w:r>
          </w:p>
        </w:tc>
      </w:tr>
      <w:tr w:rsidR="003E6989" w:rsidTr="006A5410">
        <w:trPr>
          <w:trHeight w:val="255"/>
        </w:trPr>
        <w:tc>
          <w:tcPr>
            <w:tcW w:w="6500"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Appropriation Act (No.2) 2015-16</w:t>
            </w:r>
          </w:p>
        </w:tc>
        <w:tc>
          <w:tcPr>
            <w:tcW w:w="124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7,109 </w:t>
            </w:r>
          </w:p>
        </w:tc>
        <w:tc>
          <w:tcPr>
            <w:tcW w:w="1240" w:type="dxa"/>
            <w:tcBorders>
              <w:top w:val="nil"/>
              <w:left w:val="nil"/>
              <w:bottom w:val="nil"/>
              <w:right w:val="nil"/>
            </w:tcBorders>
            <w:shd w:val="clear" w:color="FFFFFF" w:fill="FFFFFF"/>
            <w:noWrap/>
            <w:vAlign w:val="bottom"/>
            <w:hideMark/>
          </w:tcPr>
          <w:p w:rsidR="003E6989" w:rsidRDefault="003E6989" w:rsidP="006A5410">
            <w:pPr>
              <w:jc w:val="right"/>
              <w:rPr>
                <w:rFonts w:cs="Calibri"/>
                <w:sz w:val="16"/>
                <w:szCs w:val="16"/>
              </w:rPr>
            </w:pPr>
            <w:r>
              <w:rPr>
                <w:rFonts w:cs="Calibri"/>
                <w:sz w:val="16"/>
                <w:szCs w:val="16"/>
              </w:rPr>
              <w:t xml:space="preserve"> -</w:t>
            </w:r>
          </w:p>
        </w:tc>
      </w:tr>
      <w:tr w:rsidR="003E6989" w:rsidTr="006A5410">
        <w:trPr>
          <w:trHeight w:val="255"/>
        </w:trPr>
        <w:tc>
          <w:tcPr>
            <w:tcW w:w="6500"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Appropriation Act (No.3) 2015-16</w:t>
            </w:r>
          </w:p>
        </w:tc>
        <w:tc>
          <w:tcPr>
            <w:tcW w:w="124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4,567 </w:t>
            </w:r>
          </w:p>
        </w:tc>
        <w:tc>
          <w:tcPr>
            <w:tcW w:w="1240" w:type="dxa"/>
            <w:tcBorders>
              <w:top w:val="nil"/>
              <w:left w:val="nil"/>
              <w:bottom w:val="nil"/>
              <w:right w:val="nil"/>
            </w:tcBorders>
            <w:shd w:val="clear" w:color="FFFFFF" w:fill="FFFFFF"/>
            <w:noWrap/>
            <w:vAlign w:val="bottom"/>
            <w:hideMark/>
          </w:tcPr>
          <w:p w:rsidR="003E6989" w:rsidRDefault="003E6989" w:rsidP="006A5410">
            <w:pPr>
              <w:jc w:val="right"/>
              <w:rPr>
                <w:rFonts w:cs="Calibri"/>
                <w:sz w:val="16"/>
                <w:szCs w:val="16"/>
              </w:rPr>
            </w:pPr>
            <w:r>
              <w:rPr>
                <w:rFonts w:cs="Calibri"/>
                <w:sz w:val="16"/>
                <w:szCs w:val="16"/>
              </w:rPr>
              <w:t xml:space="preserve"> -</w:t>
            </w:r>
          </w:p>
        </w:tc>
      </w:tr>
      <w:tr w:rsidR="003E6989" w:rsidTr="006A5410">
        <w:trPr>
          <w:trHeight w:val="255"/>
        </w:trPr>
        <w:tc>
          <w:tcPr>
            <w:tcW w:w="6500"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Appropriation Act (No.4) 2015-16</w:t>
            </w:r>
          </w:p>
        </w:tc>
        <w:tc>
          <w:tcPr>
            <w:tcW w:w="124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1,973 </w:t>
            </w:r>
          </w:p>
        </w:tc>
        <w:tc>
          <w:tcPr>
            <w:tcW w:w="1240" w:type="dxa"/>
            <w:tcBorders>
              <w:top w:val="nil"/>
              <w:left w:val="nil"/>
              <w:bottom w:val="nil"/>
              <w:right w:val="nil"/>
            </w:tcBorders>
            <w:shd w:val="clear" w:color="FFFFFF" w:fill="FFFFFF"/>
            <w:noWrap/>
            <w:vAlign w:val="bottom"/>
            <w:hideMark/>
          </w:tcPr>
          <w:p w:rsidR="003E6989" w:rsidRDefault="003E6989" w:rsidP="006A5410">
            <w:pPr>
              <w:jc w:val="right"/>
              <w:rPr>
                <w:rFonts w:cs="Calibri"/>
                <w:sz w:val="16"/>
                <w:szCs w:val="16"/>
              </w:rPr>
            </w:pPr>
            <w:r>
              <w:rPr>
                <w:rFonts w:cs="Calibri"/>
                <w:sz w:val="16"/>
                <w:szCs w:val="16"/>
              </w:rPr>
              <w:t xml:space="preserve"> -</w:t>
            </w:r>
          </w:p>
        </w:tc>
      </w:tr>
      <w:tr w:rsidR="003E6989" w:rsidTr="006A5410">
        <w:trPr>
          <w:trHeight w:val="255"/>
        </w:trPr>
        <w:tc>
          <w:tcPr>
            <w:tcW w:w="6500"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Appropriation Act (No.1) 2014-15</w:t>
            </w:r>
          </w:p>
        </w:tc>
        <w:tc>
          <w:tcPr>
            <w:tcW w:w="124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22,827 </w:t>
            </w:r>
          </w:p>
        </w:tc>
        <w:tc>
          <w:tcPr>
            <w:tcW w:w="1240" w:type="dxa"/>
            <w:tcBorders>
              <w:top w:val="nil"/>
              <w:left w:val="nil"/>
              <w:bottom w:val="nil"/>
              <w:right w:val="nil"/>
            </w:tcBorders>
            <w:shd w:val="clear" w:color="FFFFFF" w:fill="FFFFFF"/>
            <w:noWrap/>
            <w:vAlign w:val="bottom"/>
            <w:hideMark/>
          </w:tcPr>
          <w:p w:rsidR="003E6989" w:rsidRDefault="003E6989" w:rsidP="006A5410">
            <w:pPr>
              <w:jc w:val="right"/>
              <w:rPr>
                <w:rFonts w:cs="Calibri"/>
                <w:sz w:val="16"/>
                <w:szCs w:val="16"/>
              </w:rPr>
            </w:pPr>
            <w:r>
              <w:rPr>
                <w:rFonts w:cs="Calibri"/>
                <w:sz w:val="16"/>
                <w:szCs w:val="16"/>
              </w:rPr>
              <w:t xml:space="preserve">42,874 </w:t>
            </w:r>
          </w:p>
        </w:tc>
      </w:tr>
      <w:tr w:rsidR="003E6989" w:rsidTr="006A5410">
        <w:trPr>
          <w:trHeight w:val="255"/>
        </w:trPr>
        <w:tc>
          <w:tcPr>
            <w:tcW w:w="6500"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Appropriation Act (No.1) 2013-14</w:t>
            </w:r>
          </w:p>
        </w:tc>
        <w:tc>
          <w:tcPr>
            <w:tcW w:w="124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1240" w:type="dxa"/>
            <w:tcBorders>
              <w:top w:val="nil"/>
              <w:left w:val="nil"/>
              <w:bottom w:val="nil"/>
              <w:right w:val="nil"/>
            </w:tcBorders>
            <w:shd w:val="clear" w:color="FFFFFF" w:fill="FFFFFF"/>
            <w:noWrap/>
            <w:vAlign w:val="bottom"/>
            <w:hideMark/>
          </w:tcPr>
          <w:p w:rsidR="003E6989" w:rsidRDefault="003E6989" w:rsidP="006A5410">
            <w:pPr>
              <w:jc w:val="right"/>
              <w:rPr>
                <w:rFonts w:cs="Calibri"/>
                <w:sz w:val="16"/>
                <w:szCs w:val="16"/>
              </w:rPr>
            </w:pPr>
            <w:r>
              <w:rPr>
                <w:rFonts w:cs="Calibri"/>
                <w:sz w:val="16"/>
                <w:szCs w:val="16"/>
              </w:rPr>
              <w:t xml:space="preserve">1,468 </w:t>
            </w:r>
          </w:p>
        </w:tc>
      </w:tr>
      <w:tr w:rsidR="003E6989" w:rsidTr="006A5410">
        <w:trPr>
          <w:trHeight w:val="255"/>
        </w:trPr>
        <w:tc>
          <w:tcPr>
            <w:tcW w:w="6500"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Appropriation Act (No.2) 2013-14</w:t>
            </w:r>
          </w:p>
        </w:tc>
        <w:tc>
          <w:tcPr>
            <w:tcW w:w="124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784 </w:t>
            </w:r>
          </w:p>
        </w:tc>
        <w:tc>
          <w:tcPr>
            <w:tcW w:w="1240" w:type="dxa"/>
            <w:tcBorders>
              <w:top w:val="nil"/>
              <w:left w:val="nil"/>
              <w:bottom w:val="nil"/>
              <w:right w:val="nil"/>
            </w:tcBorders>
            <w:shd w:val="clear" w:color="FFFFFF" w:fill="FFFFFF"/>
            <w:noWrap/>
            <w:vAlign w:val="bottom"/>
            <w:hideMark/>
          </w:tcPr>
          <w:p w:rsidR="003E6989" w:rsidRDefault="003E6989" w:rsidP="006A5410">
            <w:pPr>
              <w:jc w:val="right"/>
              <w:rPr>
                <w:rFonts w:cs="Calibri"/>
                <w:sz w:val="16"/>
                <w:szCs w:val="16"/>
              </w:rPr>
            </w:pPr>
            <w:r>
              <w:rPr>
                <w:rFonts w:cs="Calibri"/>
                <w:sz w:val="16"/>
                <w:szCs w:val="16"/>
              </w:rPr>
              <w:t xml:space="preserve">3,860 </w:t>
            </w:r>
          </w:p>
        </w:tc>
      </w:tr>
      <w:tr w:rsidR="003E6989" w:rsidTr="006A5410">
        <w:trPr>
          <w:trHeight w:val="255"/>
        </w:trPr>
        <w:tc>
          <w:tcPr>
            <w:tcW w:w="6500"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Appropriation Act (No.4) 2013-14</w:t>
            </w:r>
          </w:p>
        </w:tc>
        <w:tc>
          <w:tcPr>
            <w:tcW w:w="124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1240" w:type="dxa"/>
            <w:tcBorders>
              <w:top w:val="nil"/>
              <w:left w:val="nil"/>
              <w:bottom w:val="nil"/>
              <w:right w:val="nil"/>
            </w:tcBorders>
            <w:shd w:val="clear" w:color="FFFFFF" w:fill="FFFFFF"/>
            <w:noWrap/>
            <w:vAlign w:val="bottom"/>
            <w:hideMark/>
          </w:tcPr>
          <w:p w:rsidR="003E6989" w:rsidRDefault="003E6989" w:rsidP="006A5410">
            <w:pPr>
              <w:jc w:val="right"/>
              <w:rPr>
                <w:rFonts w:cs="Calibri"/>
                <w:sz w:val="16"/>
                <w:szCs w:val="16"/>
              </w:rPr>
            </w:pPr>
            <w:r>
              <w:rPr>
                <w:rFonts w:cs="Calibri"/>
                <w:sz w:val="16"/>
                <w:szCs w:val="16"/>
              </w:rPr>
              <w:t xml:space="preserve">14,255 </w:t>
            </w:r>
          </w:p>
        </w:tc>
      </w:tr>
      <w:tr w:rsidR="003E6989" w:rsidTr="006A5410">
        <w:trPr>
          <w:trHeight w:val="255"/>
        </w:trPr>
        <w:tc>
          <w:tcPr>
            <w:tcW w:w="6500"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Appropriation Act (No.4) 2012-13</w:t>
            </w:r>
          </w:p>
        </w:tc>
        <w:tc>
          <w:tcPr>
            <w:tcW w:w="124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1240" w:type="dxa"/>
            <w:tcBorders>
              <w:top w:val="nil"/>
              <w:left w:val="nil"/>
              <w:bottom w:val="nil"/>
              <w:right w:val="nil"/>
            </w:tcBorders>
            <w:shd w:val="clear" w:color="FFFFFF" w:fill="FFFFFF"/>
            <w:noWrap/>
            <w:vAlign w:val="bottom"/>
            <w:hideMark/>
          </w:tcPr>
          <w:p w:rsidR="003E6989" w:rsidRDefault="003E6989" w:rsidP="006A5410">
            <w:pPr>
              <w:jc w:val="right"/>
              <w:rPr>
                <w:rFonts w:cs="Calibri"/>
                <w:sz w:val="16"/>
                <w:szCs w:val="16"/>
              </w:rPr>
            </w:pPr>
            <w:r>
              <w:rPr>
                <w:rFonts w:cs="Calibri"/>
                <w:sz w:val="16"/>
                <w:szCs w:val="16"/>
              </w:rPr>
              <w:t xml:space="preserve">2,508 </w:t>
            </w:r>
          </w:p>
        </w:tc>
      </w:tr>
      <w:tr w:rsidR="003E6989" w:rsidTr="006A5410">
        <w:trPr>
          <w:trHeight w:val="255"/>
        </w:trPr>
        <w:tc>
          <w:tcPr>
            <w:tcW w:w="6500"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Cash at Bank</w:t>
            </w:r>
          </w:p>
        </w:tc>
        <w:tc>
          <w:tcPr>
            <w:tcW w:w="1240"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2,596 </w:t>
            </w:r>
          </w:p>
        </w:tc>
        <w:tc>
          <w:tcPr>
            <w:tcW w:w="1240" w:type="dxa"/>
            <w:tcBorders>
              <w:top w:val="nil"/>
              <w:left w:val="nil"/>
              <w:bottom w:val="nil"/>
              <w:right w:val="nil"/>
            </w:tcBorders>
            <w:shd w:val="clear" w:color="FFFFFF" w:fill="FFFFFF"/>
            <w:noWrap/>
            <w:vAlign w:val="bottom"/>
            <w:hideMark/>
          </w:tcPr>
          <w:p w:rsidR="003E6989" w:rsidRDefault="003E6989" w:rsidP="006A5410">
            <w:pPr>
              <w:jc w:val="right"/>
              <w:rPr>
                <w:rFonts w:cs="Calibri"/>
                <w:sz w:val="16"/>
                <w:szCs w:val="16"/>
              </w:rPr>
            </w:pPr>
            <w:r>
              <w:rPr>
                <w:rFonts w:cs="Calibri"/>
                <w:sz w:val="16"/>
                <w:szCs w:val="16"/>
              </w:rPr>
              <w:t xml:space="preserve">7,531 </w:t>
            </w:r>
          </w:p>
        </w:tc>
      </w:tr>
      <w:tr w:rsidR="003E6989" w:rsidTr="006A5410">
        <w:trPr>
          <w:trHeight w:val="270"/>
        </w:trPr>
        <w:tc>
          <w:tcPr>
            <w:tcW w:w="6500"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departmental</w:t>
            </w:r>
          </w:p>
        </w:tc>
        <w:tc>
          <w:tcPr>
            <w:tcW w:w="1240"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75,362</w:t>
            </w:r>
          </w:p>
        </w:tc>
        <w:tc>
          <w:tcPr>
            <w:tcW w:w="1240"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 w:val="16"/>
                <w:szCs w:val="16"/>
              </w:rPr>
            </w:pPr>
            <w:r>
              <w:rPr>
                <w:rFonts w:cs="Calibri"/>
                <w:sz w:val="16"/>
                <w:szCs w:val="16"/>
              </w:rPr>
              <w:t>72,496</w:t>
            </w:r>
          </w:p>
        </w:tc>
      </w:tr>
      <w:tr w:rsidR="003E6989" w:rsidTr="006A5410">
        <w:trPr>
          <w:trHeight w:val="270"/>
        </w:trPr>
        <w:tc>
          <w:tcPr>
            <w:tcW w:w="6500" w:type="dxa"/>
            <w:vMerge w:val="restart"/>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Administered</w:t>
            </w:r>
          </w:p>
        </w:tc>
        <w:tc>
          <w:tcPr>
            <w:tcW w:w="124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124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500" w:type="dxa"/>
            <w:vMerge/>
            <w:tcBorders>
              <w:top w:val="nil"/>
              <w:left w:val="nil"/>
              <w:bottom w:val="nil"/>
              <w:right w:val="nil"/>
            </w:tcBorders>
            <w:vAlign w:val="center"/>
            <w:hideMark/>
          </w:tcPr>
          <w:p w:rsidR="003E6989" w:rsidRDefault="003E6989" w:rsidP="006A5410">
            <w:pPr>
              <w:rPr>
                <w:rFonts w:cs="Calibri"/>
                <w:b/>
                <w:bCs/>
                <w:szCs w:val="18"/>
              </w:rPr>
            </w:pPr>
          </w:p>
        </w:tc>
        <w:tc>
          <w:tcPr>
            <w:tcW w:w="124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124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50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Appropriation Act (No.1) 2015-16</w:t>
            </w:r>
          </w:p>
        </w:tc>
        <w:tc>
          <w:tcPr>
            <w:tcW w:w="1240"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262,431 </w:t>
            </w:r>
          </w:p>
        </w:tc>
        <w:tc>
          <w:tcPr>
            <w:tcW w:w="1240" w:type="dxa"/>
            <w:tcBorders>
              <w:top w:val="nil"/>
              <w:left w:val="nil"/>
              <w:bottom w:val="nil"/>
              <w:right w:val="nil"/>
            </w:tcBorders>
            <w:shd w:val="clear" w:color="000000" w:fill="D9D9D9"/>
            <w:noWrap/>
            <w:vAlign w:val="bottom"/>
            <w:hideMark/>
          </w:tcPr>
          <w:p w:rsidR="003E6989" w:rsidRDefault="003E6989" w:rsidP="006A5410">
            <w:pPr>
              <w:jc w:val="right"/>
              <w:rPr>
                <w:rFonts w:cs="Calibri"/>
                <w:sz w:val="16"/>
                <w:szCs w:val="16"/>
              </w:rPr>
            </w:pPr>
            <w:r>
              <w:rPr>
                <w:rFonts w:cs="Calibri"/>
                <w:sz w:val="16"/>
                <w:szCs w:val="16"/>
              </w:rPr>
              <w:t xml:space="preserve"> -</w:t>
            </w:r>
          </w:p>
        </w:tc>
      </w:tr>
      <w:tr w:rsidR="003E6989" w:rsidTr="006A5410">
        <w:trPr>
          <w:trHeight w:val="255"/>
        </w:trPr>
        <w:tc>
          <w:tcPr>
            <w:tcW w:w="650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Appropriation Act (No.3) 2015-16</w:t>
            </w:r>
          </w:p>
        </w:tc>
        <w:tc>
          <w:tcPr>
            <w:tcW w:w="1240"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3,243 </w:t>
            </w:r>
          </w:p>
        </w:tc>
        <w:tc>
          <w:tcPr>
            <w:tcW w:w="1240" w:type="dxa"/>
            <w:tcBorders>
              <w:top w:val="nil"/>
              <w:left w:val="nil"/>
              <w:bottom w:val="nil"/>
              <w:right w:val="nil"/>
            </w:tcBorders>
            <w:shd w:val="clear" w:color="000000" w:fill="D9D9D9"/>
            <w:noWrap/>
            <w:vAlign w:val="bottom"/>
            <w:hideMark/>
          </w:tcPr>
          <w:p w:rsidR="003E6989" w:rsidRDefault="003E6989" w:rsidP="006A5410">
            <w:pPr>
              <w:jc w:val="right"/>
              <w:rPr>
                <w:rFonts w:cs="Calibri"/>
                <w:sz w:val="16"/>
                <w:szCs w:val="16"/>
              </w:rPr>
            </w:pPr>
            <w:r>
              <w:rPr>
                <w:rFonts w:cs="Calibri"/>
                <w:sz w:val="16"/>
                <w:szCs w:val="16"/>
              </w:rPr>
              <w:t xml:space="preserve"> -</w:t>
            </w:r>
          </w:p>
        </w:tc>
      </w:tr>
      <w:tr w:rsidR="003E6989" w:rsidTr="006A5410">
        <w:trPr>
          <w:trHeight w:val="255"/>
        </w:trPr>
        <w:tc>
          <w:tcPr>
            <w:tcW w:w="650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Appropriation Act (No.1) 2014-15</w:t>
            </w:r>
          </w:p>
        </w:tc>
        <w:tc>
          <w:tcPr>
            <w:tcW w:w="1240"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259,203 </w:t>
            </w:r>
          </w:p>
        </w:tc>
        <w:tc>
          <w:tcPr>
            <w:tcW w:w="1240" w:type="dxa"/>
            <w:tcBorders>
              <w:top w:val="nil"/>
              <w:left w:val="nil"/>
              <w:bottom w:val="nil"/>
              <w:right w:val="nil"/>
            </w:tcBorders>
            <w:shd w:val="clear" w:color="000000" w:fill="D9D9D9"/>
            <w:noWrap/>
            <w:vAlign w:val="bottom"/>
            <w:hideMark/>
          </w:tcPr>
          <w:p w:rsidR="003E6989" w:rsidRDefault="003E6989" w:rsidP="006A5410">
            <w:pPr>
              <w:jc w:val="right"/>
              <w:rPr>
                <w:rFonts w:cs="Calibri"/>
                <w:sz w:val="16"/>
                <w:szCs w:val="16"/>
              </w:rPr>
            </w:pPr>
            <w:r>
              <w:rPr>
                <w:rFonts w:cs="Calibri"/>
                <w:sz w:val="16"/>
                <w:szCs w:val="16"/>
              </w:rPr>
              <w:t xml:space="preserve">227,511 </w:t>
            </w:r>
          </w:p>
        </w:tc>
      </w:tr>
      <w:tr w:rsidR="003E6989" w:rsidTr="006A5410">
        <w:trPr>
          <w:trHeight w:val="255"/>
        </w:trPr>
        <w:tc>
          <w:tcPr>
            <w:tcW w:w="650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Appropriation Act (No.3) 2014-15</w:t>
            </w:r>
          </w:p>
        </w:tc>
        <w:tc>
          <w:tcPr>
            <w:tcW w:w="1240"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14,836 </w:t>
            </w:r>
          </w:p>
        </w:tc>
        <w:tc>
          <w:tcPr>
            <w:tcW w:w="1240" w:type="dxa"/>
            <w:tcBorders>
              <w:top w:val="nil"/>
              <w:left w:val="nil"/>
              <w:bottom w:val="nil"/>
              <w:right w:val="nil"/>
            </w:tcBorders>
            <w:shd w:val="clear" w:color="000000" w:fill="D9D9D9"/>
            <w:noWrap/>
            <w:vAlign w:val="bottom"/>
            <w:hideMark/>
          </w:tcPr>
          <w:p w:rsidR="003E6989" w:rsidRDefault="003E6989" w:rsidP="006A5410">
            <w:pPr>
              <w:jc w:val="right"/>
              <w:rPr>
                <w:rFonts w:cs="Calibri"/>
                <w:sz w:val="16"/>
                <w:szCs w:val="16"/>
              </w:rPr>
            </w:pPr>
            <w:r>
              <w:rPr>
                <w:rFonts w:cs="Calibri"/>
                <w:sz w:val="16"/>
                <w:szCs w:val="16"/>
              </w:rPr>
              <w:t xml:space="preserve">14,836 </w:t>
            </w:r>
          </w:p>
        </w:tc>
      </w:tr>
      <w:tr w:rsidR="003E6989" w:rsidTr="006A5410">
        <w:trPr>
          <w:trHeight w:val="255"/>
        </w:trPr>
        <w:tc>
          <w:tcPr>
            <w:tcW w:w="650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Appropriation Act (No.2) 2014-15</w:t>
            </w:r>
          </w:p>
        </w:tc>
        <w:tc>
          <w:tcPr>
            <w:tcW w:w="1240"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1,447 </w:t>
            </w:r>
          </w:p>
        </w:tc>
        <w:tc>
          <w:tcPr>
            <w:tcW w:w="1240" w:type="dxa"/>
            <w:tcBorders>
              <w:top w:val="nil"/>
              <w:left w:val="nil"/>
              <w:bottom w:val="nil"/>
              <w:right w:val="nil"/>
            </w:tcBorders>
            <w:shd w:val="clear" w:color="000000" w:fill="D9D9D9"/>
            <w:noWrap/>
            <w:vAlign w:val="bottom"/>
            <w:hideMark/>
          </w:tcPr>
          <w:p w:rsidR="003E6989" w:rsidRDefault="003E6989" w:rsidP="006A5410">
            <w:pPr>
              <w:jc w:val="right"/>
              <w:rPr>
                <w:rFonts w:cs="Calibri"/>
                <w:sz w:val="16"/>
                <w:szCs w:val="16"/>
              </w:rPr>
            </w:pPr>
            <w:r>
              <w:rPr>
                <w:rFonts w:cs="Calibri"/>
                <w:sz w:val="16"/>
                <w:szCs w:val="16"/>
              </w:rPr>
              <w:t xml:space="preserve">6,292 </w:t>
            </w:r>
          </w:p>
        </w:tc>
      </w:tr>
      <w:tr w:rsidR="003E6989" w:rsidTr="006A5410">
        <w:trPr>
          <w:trHeight w:val="255"/>
        </w:trPr>
        <w:tc>
          <w:tcPr>
            <w:tcW w:w="650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Appropriation Act (No.1) 2013-14</w:t>
            </w:r>
          </w:p>
        </w:tc>
        <w:tc>
          <w:tcPr>
            <w:tcW w:w="1240"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1240" w:type="dxa"/>
            <w:tcBorders>
              <w:top w:val="nil"/>
              <w:left w:val="nil"/>
              <w:bottom w:val="nil"/>
              <w:right w:val="nil"/>
            </w:tcBorders>
            <w:shd w:val="clear" w:color="000000" w:fill="D9D9D9"/>
            <w:noWrap/>
            <w:vAlign w:val="bottom"/>
            <w:hideMark/>
          </w:tcPr>
          <w:p w:rsidR="003E6989" w:rsidRDefault="003E6989" w:rsidP="006A5410">
            <w:pPr>
              <w:jc w:val="right"/>
              <w:rPr>
                <w:rFonts w:cs="Calibri"/>
                <w:sz w:val="16"/>
                <w:szCs w:val="16"/>
              </w:rPr>
            </w:pPr>
            <w:r>
              <w:rPr>
                <w:rFonts w:cs="Calibri"/>
                <w:sz w:val="16"/>
                <w:szCs w:val="16"/>
              </w:rPr>
              <w:t xml:space="preserve">110 </w:t>
            </w:r>
          </w:p>
        </w:tc>
      </w:tr>
      <w:tr w:rsidR="003E6989" w:rsidTr="006A5410">
        <w:trPr>
          <w:trHeight w:val="255"/>
        </w:trPr>
        <w:tc>
          <w:tcPr>
            <w:tcW w:w="650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Appropriation Act (No.3) 2013-14</w:t>
            </w:r>
          </w:p>
        </w:tc>
        <w:tc>
          <w:tcPr>
            <w:tcW w:w="1240"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1240" w:type="dxa"/>
            <w:tcBorders>
              <w:top w:val="nil"/>
              <w:left w:val="nil"/>
              <w:bottom w:val="nil"/>
              <w:right w:val="nil"/>
            </w:tcBorders>
            <w:shd w:val="clear" w:color="000000" w:fill="D9D9D9"/>
            <w:noWrap/>
            <w:vAlign w:val="bottom"/>
            <w:hideMark/>
          </w:tcPr>
          <w:p w:rsidR="003E6989" w:rsidRDefault="003E6989" w:rsidP="006A5410">
            <w:pPr>
              <w:jc w:val="right"/>
              <w:rPr>
                <w:rFonts w:cs="Calibri"/>
                <w:sz w:val="16"/>
                <w:szCs w:val="16"/>
              </w:rPr>
            </w:pPr>
            <w:r>
              <w:rPr>
                <w:rFonts w:cs="Calibri"/>
                <w:sz w:val="16"/>
                <w:szCs w:val="16"/>
              </w:rPr>
              <w:t xml:space="preserve">8,144 </w:t>
            </w:r>
          </w:p>
        </w:tc>
      </w:tr>
      <w:tr w:rsidR="003E6989" w:rsidTr="006A5410">
        <w:trPr>
          <w:trHeight w:val="270"/>
        </w:trPr>
        <w:tc>
          <w:tcPr>
            <w:tcW w:w="6500" w:type="dxa"/>
            <w:tcBorders>
              <w:top w:val="nil"/>
              <w:left w:val="nil"/>
              <w:bottom w:val="single" w:sz="12" w:space="0" w:color="D9D9D9"/>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administered</w:t>
            </w:r>
          </w:p>
        </w:tc>
        <w:tc>
          <w:tcPr>
            <w:tcW w:w="1240"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 w:val="16"/>
                <w:szCs w:val="16"/>
              </w:rPr>
            </w:pPr>
            <w:r>
              <w:rPr>
                <w:rFonts w:cs="Calibri"/>
                <w:b/>
                <w:bCs/>
                <w:sz w:val="16"/>
                <w:szCs w:val="16"/>
              </w:rPr>
              <w:t>541,160</w:t>
            </w:r>
          </w:p>
        </w:tc>
        <w:tc>
          <w:tcPr>
            <w:tcW w:w="1240"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 w:val="16"/>
                <w:szCs w:val="16"/>
              </w:rPr>
            </w:pPr>
            <w:r>
              <w:rPr>
                <w:rFonts w:cs="Calibri"/>
                <w:sz w:val="16"/>
                <w:szCs w:val="16"/>
              </w:rPr>
              <w:t>256,893</w:t>
            </w:r>
          </w:p>
        </w:tc>
      </w:tr>
    </w:tbl>
    <w:p w:rsidR="003E6989" w:rsidRDefault="003E6989" w:rsidP="003E6989">
      <w:bookmarkStart w:id="483" w:name="RANGE!D7:F44"/>
      <w:bookmarkStart w:id="484" w:name="RANGE!D7:F41"/>
      <w:bookmarkStart w:id="485" w:name="RANGE!D7:F39"/>
      <w:bookmarkStart w:id="486" w:name="RANGE!D7:F32"/>
      <w:bookmarkStart w:id="487" w:name="RANGE!D7:F31"/>
      <w:bookmarkStart w:id="488" w:name="RANGE!D7:F29"/>
      <w:bookmarkStart w:id="489" w:name="RANGE!D7:F34"/>
      <w:bookmarkStart w:id="490" w:name="RANGE!D7:F30"/>
      <w:bookmarkStart w:id="491" w:name="RANGE!D6:F15"/>
      <w:bookmarkStart w:id="492" w:name="RANGE!D6:F16"/>
      <w:bookmarkStart w:id="493" w:name="RANGE!D6:I16"/>
      <w:bookmarkStart w:id="494" w:name="RANGE!D20:F31"/>
      <w:bookmarkStart w:id="495" w:name="RANGE!D20:F27"/>
      <w:bookmarkEnd w:id="483"/>
      <w:bookmarkEnd w:id="484"/>
      <w:bookmarkEnd w:id="485"/>
      <w:bookmarkEnd w:id="486"/>
      <w:bookmarkEnd w:id="487"/>
      <w:bookmarkEnd w:id="488"/>
      <w:bookmarkEnd w:id="489"/>
      <w:bookmarkEnd w:id="490"/>
      <w:bookmarkEnd w:id="491"/>
      <w:bookmarkEnd w:id="492"/>
      <w:bookmarkEnd w:id="493"/>
      <w:bookmarkEnd w:id="494"/>
      <w:bookmarkEnd w:id="495"/>
    </w:p>
    <w:p w:rsidR="003E6989" w:rsidRDefault="003E6989" w:rsidP="003E6989"/>
    <w:p w:rsidR="003E6989" w:rsidRDefault="003E6989" w:rsidP="003E6989">
      <w:pPr>
        <w:sectPr w:rsidR="003E6989" w:rsidSect="006A5410">
          <w:pgSz w:w="11906" w:h="16838"/>
          <w:pgMar w:top="1134" w:right="1134" w:bottom="1134" w:left="1134" w:header="958" w:footer="737" w:gutter="0"/>
          <w:cols w:space="720"/>
        </w:sectPr>
      </w:pPr>
    </w:p>
    <w:tbl>
      <w:tblPr>
        <w:tblW w:w="13991" w:type="dxa"/>
        <w:tblInd w:w="80" w:type="dxa"/>
        <w:tblLayout w:type="fixed"/>
        <w:tblLook w:val="04A0" w:firstRow="1" w:lastRow="0" w:firstColumn="1" w:lastColumn="0" w:noHBand="0" w:noVBand="1"/>
      </w:tblPr>
      <w:tblGrid>
        <w:gridCol w:w="9437"/>
        <w:gridCol w:w="2277"/>
        <w:gridCol w:w="2277"/>
      </w:tblGrid>
      <w:tr w:rsidR="003E6989" w:rsidTr="006A5410">
        <w:trPr>
          <w:trHeight w:val="255"/>
        </w:trPr>
        <w:tc>
          <w:tcPr>
            <w:tcW w:w="7348" w:type="dxa"/>
            <w:gridSpan w:val="3"/>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bookmarkStart w:id="496" w:name="Note_DSATABLE1" w:colFirst="0" w:colLast="0"/>
            <w:r>
              <w:rPr>
                <w:rFonts w:cs="Calibri"/>
                <w:b/>
                <w:bCs/>
                <w:szCs w:val="18"/>
                <w:u w:val="single"/>
              </w:rPr>
              <w:t>5.1C: Special appropriations ('recoverable GST exclusive')</w:t>
            </w:r>
          </w:p>
        </w:tc>
      </w:tr>
      <w:bookmarkEnd w:id="496"/>
      <w:tr w:rsidR="003E6989" w:rsidTr="006A5410">
        <w:trPr>
          <w:trHeight w:val="255"/>
        </w:trPr>
        <w:tc>
          <w:tcPr>
            <w:tcW w:w="495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19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19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4956" w:type="dxa"/>
            <w:vMerge w:val="restart"/>
            <w:tcBorders>
              <w:top w:val="single" w:sz="4" w:space="0" w:color="auto"/>
              <w:left w:val="single" w:sz="4" w:space="0" w:color="auto"/>
              <w:bottom w:val="single" w:sz="4" w:space="0" w:color="auto"/>
              <w:right w:val="single" w:sz="4" w:space="0" w:color="auto"/>
            </w:tcBorders>
            <w:shd w:val="clear" w:color="FFFFFF" w:fill="FFFFFF"/>
            <w:vAlign w:val="bottom"/>
            <w:hideMark/>
          </w:tcPr>
          <w:p w:rsidR="003E6989" w:rsidRDefault="003E6989" w:rsidP="006A5410">
            <w:pPr>
              <w:rPr>
                <w:rFonts w:cs="Calibri"/>
                <w:b/>
                <w:bCs/>
                <w:szCs w:val="18"/>
              </w:rPr>
            </w:pPr>
            <w:r>
              <w:rPr>
                <w:rFonts w:cs="Calibri"/>
                <w:b/>
                <w:bCs/>
                <w:szCs w:val="18"/>
              </w:rPr>
              <w:t>Authority</w:t>
            </w:r>
          </w:p>
        </w:tc>
        <w:tc>
          <w:tcPr>
            <w:tcW w:w="2392" w:type="dxa"/>
            <w:gridSpan w:val="2"/>
            <w:tcBorders>
              <w:top w:val="single" w:sz="4" w:space="0" w:color="auto"/>
              <w:left w:val="nil"/>
              <w:bottom w:val="single" w:sz="4" w:space="0" w:color="auto"/>
              <w:right w:val="single" w:sz="4" w:space="0" w:color="000000"/>
            </w:tcBorders>
            <w:shd w:val="clear" w:color="FFFFFF" w:fill="FFFFFF"/>
            <w:vAlign w:val="bottom"/>
            <w:hideMark/>
          </w:tcPr>
          <w:p w:rsidR="003E6989" w:rsidRDefault="003E6989" w:rsidP="006A5410">
            <w:pPr>
              <w:jc w:val="center"/>
              <w:rPr>
                <w:rFonts w:cs="Calibri"/>
                <w:b/>
                <w:bCs/>
                <w:szCs w:val="18"/>
              </w:rPr>
            </w:pPr>
            <w:r>
              <w:rPr>
                <w:rFonts w:cs="Calibri"/>
                <w:b/>
                <w:bCs/>
                <w:szCs w:val="18"/>
              </w:rPr>
              <w:t>Appropriation applied</w:t>
            </w:r>
          </w:p>
        </w:tc>
      </w:tr>
      <w:tr w:rsidR="003E6989" w:rsidTr="006A5410">
        <w:trPr>
          <w:trHeight w:val="255"/>
        </w:trPr>
        <w:tc>
          <w:tcPr>
            <w:tcW w:w="4956" w:type="dxa"/>
            <w:vMerge/>
            <w:tcBorders>
              <w:top w:val="single" w:sz="4" w:space="0" w:color="auto"/>
              <w:left w:val="single" w:sz="4" w:space="0" w:color="auto"/>
              <w:bottom w:val="single" w:sz="4" w:space="0" w:color="auto"/>
              <w:right w:val="single" w:sz="4" w:space="0" w:color="auto"/>
            </w:tcBorders>
            <w:vAlign w:val="center"/>
            <w:hideMark/>
          </w:tcPr>
          <w:p w:rsidR="003E6989" w:rsidRDefault="003E6989" w:rsidP="006A5410">
            <w:pPr>
              <w:rPr>
                <w:rFonts w:cs="Calibri"/>
                <w:b/>
                <w:bCs/>
                <w:szCs w:val="18"/>
              </w:rPr>
            </w:pPr>
          </w:p>
        </w:tc>
        <w:tc>
          <w:tcPr>
            <w:tcW w:w="1196" w:type="dxa"/>
            <w:tcBorders>
              <w:top w:val="nil"/>
              <w:left w:val="nil"/>
              <w:bottom w:val="nil"/>
              <w:right w:val="single" w:sz="4" w:space="0" w:color="auto"/>
            </w:tcBorders>
            <w:shd w:val="clear" w:color="FFFFFF" w:fill="FFFFFF"/>
            <w:vAlign w:val="bottom"/>
            <w:hideMark/>
          </w:tcPr>
          <w:p w:rsidR="003E6989" w:rsidRDefault="003E6989" w:rsidP="006A5410">
            <w:pPr>
              <w:jc w:val="right"/>
              <w:rPr>
                <w:rFonts w:cs="Calibri"/>
                <w:b/>
                <w:bCs/>
                <w:szCs w:val="18"/>
              </w:rPr>
            </w:pPr>
            <w:r>
              <w:rPr>
                <w:rFonts w:cs="Calibri"/>
                <w:b/>
                <w:bCs/>
                <w:szCs w:val="18"/>
              </w:rPr>
              <w:t>2016</w:t>
            </w:r>
          </w:p>
        </w:tc>
        <w:tc>
          <w:tcPr>
            <w:tcW w:w="1196" w:type="dxa"/>
            <w:tcBorders>
              <w:top w:val="nil"/>
              <w:left w:val="nil"/>
              <w:bottom w:val="nil"/>
              <w:right w:val="single" w:sz="4" w:space="0" w:color="auto"/>
            </w:tcBorders>
            <w:shd w:val="clear" w:color="FFFFFF" w:fill="FFFFFF"/>
            <w:vAlign w:val="bottom"/>
            <w:hideMark/>
          </w:tcPr>
          <w:p w:rsidR="003E6989" w:rsidRDefault="003E6989" w:rsidP="006A5410">
            <w:pPr>
              <w:jc w:val="right"/>
              <w:rPr>
                <w:rFonts w:cs="Calibri"/>
                <w:szCs w:val="18"/>
              </w:rPr>
            </w:pPr>
            <w:r>
              <w:rPr>
                <w:rFonts w:cs="Calibri"/>
                <w:szCs w:val="18"/>
              </w:rPr>
              <w:t>2015</w:t>
            </w:r>
          </w:p>
        </w:tc>
      </w:tr>
      <w:tr w:rsidR="003E6989" w:rsidTr="006A5410">
        <w:trPr>
          <w:trHeight w:val="255"/>
        </w:trPr>
        <w:tc>
          <w:tcPr>
            <w:tcW w:w="4956" w:type="dxa"/>
            <w:vMerge/>
            <w:tcBorders>
              <w:top w:val="single" w:sz="4" w:space="0" w:color="auto"/>
              <w:left w:val="single" w:sz="4" w:space="0" w:color="auto"/>
              <w:bottom w:val="single" w:sz="4" w:space="0" w:color="auto"/>
              <w:right w:val="single" w:sz="4" w:space="0" w:color="auto"/>
            </w:tcBorders>
            <w:vAlign w:val="center"/>
            <w:hideMark/>
          </w:tcPr>
          <w:p w:rsidR="003E6989" w:rsidRDefault="003E6989" w:rsidP="006A5410">
            <w:pPr>
              <w:rPr>
                <w:rFonts w:cs="Calibri"/>
                <w:b/>
                <w:bCs/>
                <w:szCs w:val="18"/>
              </w:rPr>
            </w:pPr>
          </w:p>
        </w:tc>
        <w:tc>
          <w:tcPr>
            <w:tcW w:w="119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119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szCs w:val="18"/>
              </w:rPr>
            </w:pPr>
            <w:r>
              <w:rPr>
                <w:rFonts w:cs="Calibri"/>
                <w:szCs w:val="18"/>
              </w:rPr>
              <w:t>$'000</w:t>
            </w:r>
          </w:p>
        </w:tc>
      </w:tr>
      <w:tr w:rsidR="003E6989" w:rsidTr="006A5410">
        <w:trPr>
          <w:trHeight w:val="480"/>
        </w:trPr>
        <w:tc>
          <w:tcPr>
            <w:tcW w:w="4956" w:type="dxa"/>
            <w:tcBorders>
              <w:top w:val="nil"/>
              <w:left w:val="single" w:sz="4" w:space="0" w:color="auto"/>
              <w:bottom w:val="single" w:sz="4" w:space="0" w:color="auto"/>
              <w:right w:val="single" w:sz="4" w:space="0" w:color="auto"/>
            </w:tcBorders>
            <w:shd w:val="clear" w:color="FFFFFF" w:fill="FFFFFF"/>
            <w:hideMark/>
          </w:tcPr>
          <w:p w:rsidR="003E6989" w:rsidRDefault="003E6989" w:rsidP="006A5410">
            <w:pPr>
              <w:rPr>
                <w:rFonts w:cs="Calibri"/>
                <w:szCs w:val="18"/>
              </w:rPr>
            </w:pPr>
            <w:r>
              <w:rPr>
                <w:rFonts w:cs="Calibri"/>
                <w:szCs w:val="18"/>
              </w:rPr>
              <w:t>A New Tax System (Family Assistance) (Administration) Act 1999 (Administered)</w:t>
            </w:r>
          </w:p>
        </w:tc>
        <w:tc>
          <w:tcPr>
            <w:tcW w:w="119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5,023,245 </w:t>
            </w:r>
          </w:p>
        </w:tc>
        <w:tc>
          <w:tcPr>
            <w:tcW w:w="119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 w:val="16"/>
                <w:szCs w:val="16"/>
              </w:rPr>
            </w:pPr>
            <w:r>
              <w:rPr>
                <w:rFonts w:cs="Calibri"/>
                <w:sz w:val="16"/>
                <w:szCs w:val="16"/>
              </w:rPr>
              <w:t xml:space="preserve">3,448,822 </w:t>
            </w:r>
          </w:p>
        </w:tc>
      </w:tr>
      <w:tr w:rsidR="003E6989" w:rsidTr="006A5410">
        <w:trPr>
          <w:trHeight w:val="720"/>
        </w:trPr>
        <w:tc>
          <w:tcPr>
            <w:tcW w:w="4956" w:type="dxa"/>
            <w:tcBorders>
              <w:top w:val="nil"/>
              <w:left w:val="single" w:sz="4" w:space="0" w:color="auto"/>
              <w:bottom w:val="single" w:sz="4" w:space="0" w:color="auto"/>
              <w:right w:val="single" w:sz="4" w:space="0" w:color="auto"/>
            </w:tcBorders>
            <w:shd w:val="clear" w:color="FFFFFF" w:fill="FFFFFF"/>
            <w:hideMark/>
          </w:tcPr>
          <w:p w:rsidR="003E6989" w:rsidRDefault="003E6989" w:rsidP="006A5410">
            <w:pPr>
              <w:rPr>
                <w:rFonts w:cs="Calibri"/>
                <w:szCs w:val="18"/>
              </w:rPr>
            </w:pPr>
            <w:r>
              <w:rPr>
                <w:rFonts w:cs="Calibri"/>
                <w:szCs w:val="18"/>
              </w:rPr>
              <w:t>Australian Education Act 2013 - (Administered)</w:t>
            </w:r>
          </w:p>
        </w:tc>
        <w:tc>
          <w:tcPr>
            <w:tcW w:w="119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15,669,315 </w:t>
            </w:r>
          </w:p>
        </w:tc>
        <w:tc>
          <w:tcPr>
            <w:tcW w:w="119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 w:val="16"/>
                <w:szCs w:val="16"/>
              </w:rPr>
            </w:pPr>
            <w:r>
              <w:rPr>
                <w:rFonts w:cs="Calibri"/>
                <w:sz w:val="16"/>
                <w:szCs w:val="16"/>
              </w:rPr>
              <w:t xml:space="preserve">14,632,883 </w:t>
            </w:r>
          </w:p>
        </w:tc>
      </w:tr>
      <w:tr w:rsidR="003E6989" w:rsidTr="006A5410">
        <w:trPr>
          <w:trHeight w:val="720"/>
        </w:trPr>
        <w:tc>
          <w:tcPr>
            <w:tcW w:w="4956" w:type="dxa"/>
            <w:tcBorders>
              <w:top w:val="nil"/>
              <w:left w:val="single" w:sz="4" w:space="0" w:color="auto"/>
              <w:bottom w:val="single" w:sz="4" w:space="0" w:color="auto"/>
              <w:right w:val="single" w:sz="4" w:space="0" w:color="auto"/>
            </w:tcBorders>
            <w:shd w:val="clear" w:color="FFFFFF" w:fill="FFFFFF"/>
            <w:hideMark/>
          </w:tcPr>
          <w:p w:rsidR="003E6989" w:rsidRDefault="003E6989" w:rsidP="006A5410">
            <w:pPr>
              <w:rPr>
                <w:rFonts w:cs="Calibri"/>
                <w:szCs w:val="18"/>
              </w:rPr>
            </w:pPr>
            <w:r>
              <w:rPr>
                <w:rFonts w:cs="Calibri"/>
                <w:szCs w:val="18"/>
              </w:rPr>
              <w:t>Schools Assistance Act 2008 - Section 167 (Administered)</w:t>
            </w:r>
          </w:p>
        </w:tc>
        <w:tc>
          <w:tcPr>
            <w:tcW w:w="119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 -</w:t>
            </w:r>
          </w:p>
        </w:tc>
        <w:tc>
          <w:tcPr>
            <w:tcW w:w="119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 w:val="16"/>
                <w:szCs w:val="16"/>
              </w:rPr>
            </w:pPr>
            <w:r>
              <w:rPr>
                <w:rFonts w:cs="Calibri"/>
                <w:sz w:val="16"/>
                <w:szCs w:val="16"/>
              </w:rPr>
              <w:t xml:space="preserve"> -</w:t>
            </w:r>
          </w:p>
        </w:tc>
      </w:tr>
      <w:tr w:rsidR="003E6989" w:rsidTr="006A5410">
        <w:trPr>
          <w:trHeight w:val="720"/>
        </w:trPr>
        <w:tc>
          <w:tcPr>
            <w:tcW w:w="4956" w:type="dxa"/>
            <w:tcBorders>
              <w:top w:val="nil"/>
              <w:left w:val="single" w:sz="4" w:space="0" w:color="auto"/>
              <w:bottom w:val="single" w:sz="4" w:space="0" w:color="auto"/>
              <w:right w:val="single" w:sz="4" w:space="0" w:color="auto"/>
            </w:tcBorders>
            <w:shd w:val="clear" w:color="FFFFFF" w:fill="FFFFFF"/>
            <w:hideMark/>
          </w:tcPr>
          <w:p w:rsidR="003E6989" w:rsidRDefault="003E6989" w:rsidP="006A5410">
            <w:pPr>
              <w:rPr>
                <w:rFonts w:cs="Calibri"/>
                <w:szCs w:val="18"/>
              </w:rPr>
            </w:pPr>
            <w:r>
              <w:rPr>
                <w:rFonts w:cs="Calibri"/>
                <w:szCs w:val="18"/>
              </w:rPr>
              <w:t>Higher Education Support Act 2003 - Section 238-12 (Administered)</w:t>
            </w:r>
          </w:p>
        </w:tc>
        <w:tc>
          <w:tcPr>
            <w:tcW w:w="119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17,629,196 </w:t>
            </w:r>
          </w:p>
        </w:tc>
        <w:tc>
          <w:tcPr>
            <w:tcW w:w="119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 w:val="16"/>
                <w:szCs w:val="16"/>
              </w:rPr>
            </w:pPr>
            <w:r>
              <w:rPr>
                <w:rFonts w:cs="Calibri"/>
                <w:sz w:val="16"/>
                <w:szCs w:val="16"/>
              </w:rPr>
              <w:t xml:space="preserve">16,616,684 </w:t>
            </w:r>
          </w:p>
        </w:tc>
      </w:tr>
      <w:tr w:rsidR="003E6989" w:rsidTr="006A5410">
        <w:trPr>
          <w:trHeight w:val="480"/>
        </w:trPr>
        <w:tc>
          <w:tcPr>
            <w:tcW w:w="4956" w:type="dxa"/>
            <w:tcBorders>
              <w:top w:val="nil"/>
              <w:left w:val="single" w:sz="4" w:space="0" w:color="auto"/>
              <w:bottom w:val="single" w:sz="4" w:space="0" w:color="auto"/>
              <w:right w:val="single" w:sz="4" w:space="0" w:color="auto"/>
            </w:tcBorders>
            <w:shd w:val="clear" w:color="FFFFFF" w:fill="FFFFFF"/>
            <w:hideMark/>
          </w:tcPr>
          <w:p w:rsidR="003E6989" w:rsidRDefault="003E6989" w:rsidP="006A5410">
            <w:pPr>
              <w:rPr>
                <w:rFonts w:cs="Calibri"/>
                <w:szCs w:val="18"/>
              </w:rPr>
            </w:pPr>
            <w:r>
              <w:rPr>
                <w:rFonts w:cs="Calibri"/>
                <w:szCs w:val="18"/>
              </w:rPr>
              <w:t>Trade Support Loans Act 2014 - Section 104</w:t>
            </w:r>
          </w:p>
        </w:tc>
        <w:tc>
          <w:tcPr>
            <w:tcW w:w="119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 xml:space="preserve">144,676 </w:t>
            </w:r>
          </w:p>
        </w:tc>
        <w:tc>
          <w:tcPr>
            <w:tcW w:w="119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 w:val="16"/>
                <w:szCs w:val="16"/>
              </w:rPr>
            </w:pPr>
            <w:r>
              <w:rPr>
                <w:rFonts w:cs="Calibri"/>
                <w:sz w:val="16"/>
                <w:szCs w:val="16"/>
              </w:rPr>
              <w:t xml:space="preserve">57,113 </w:t>
            </w:r>
          </w:p>
        </w:tc>
      </w:tr>
      <w:tr w:rsidR="003E6989" w:rsidTr="006A5410">
        <w:trPr>
          <w:trHeight w:val="255"/>
        </w:trPr>
        <w:tc>
          <w:tcPr>
            <w:tcW w:w="4956" w:type="dxa"/>
            <w:tcBorders>
              <w:top w:val="nil"/>
              <w:left w:val="single" w:sz="4" w:space="0" w:color="auto"/>
              <w:bottom w:val="single" w:sz="4" w:space="0" w:color="auto"/>
              <w:right w:val="single" w:sz="4" w:space="0" w:color="auto"/>
            </w:tcBorders>
            <w:shd w:val="clear" w:color="FFFFFF" w:fill="FFFFFF"/>
            <w:vAlign w:val="bottom"/>
            <w:hideMark/>
          </w:tcPr>
          <w:p w:rsidR="003E6989" w:rsidRDefault="003E6989" w:rsidP="006A5410">
            <w:pPr>
              <w:rPr>
                <w:rFonts w:cs="Calibri"/>
                <w:b/>
                <w:bCs/>
                <w:szCs w:val="18"/>
              </w:rPr>
            </w:pPr>
            <w:r>
              <w:rPr>
                <w:rFonts w:cs="Calibri"/>
                <w:b/>
                <w:bCs/>
                <w:szCs w:val="18"/>
              </w:rPr>
              <w:t>Total special appropriations applied</w:t>
            </w:r>
          </w:p>
        </w:tc>
        <w:tc>
          <w:tcPr>
            <w:tcW w:w="119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 w:val="16"/>
                <w:szCs w:val="16"/>
              </w:rPr>
            </w:pPr>
            <w:r>
              <w:rPr>
                <w:rFonts w:cs="Calibri"/>
                <w:b/>
                <w:bCs/>
                <w:sz w:val="16"/>
                <w:szCs w:val="16"/>
              </w:rPr>
              <w:t>38,466,432</w:t>
            </w:r>
          </w:p>
        </w:tc>
        <w:tc>
          <w:tcPr>
            <w:tcW w:w="119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 w:val="16"/>
                <w:szCs w:val="16"/>
              </w:rPr>
            </w:pPr>
            <w:r>
              <w:rPr>
                <w:rFonts w:cs="Calibri"/>
                <w:sz w:val="16"/>
                <w:szCs w:val="16"/>
              </w:rPr>
              <w:t>34,755,502</w:t>
            </w:r>
          </w:p>
        </w:tc>
      </w:tr>
    </w:tbl>
    <w:p w:rsidR="003E6989" w:rsidRDefault="003E6989" w:rsidP="003E6989">
      <w:pPr>
        <w:pStyle w:val="12line"/>
        <w:rPr>
          <w:lang w:eastAsia="en-AU"/>
        </w:rPr>
      </w:pPr>
    </w:p>
    <w:p w:rsidR="003E6989" w:rsidRDefault="003E6989" w:rsidP="003E6989">
      <w:pPr>
        <w:pStyle w:val="12line"/>
        <w:rPr>
          <w:lang w:eastAsia="en-AU"/>
        </w:rPr>
      </w:pPr>
    </w:p>
    <w:p w:rsidR="003E6989" w:rsidRPr="00A778E6" w:rsidRDefault="003E6989" w:rsidP="003E6989">
      <w:pPr>
        <w:pStyle w:val="12line"/>
        <w:rPr>
          <w:lang w:eastAsia="en-AU"/>
        </w:rPr>
        <w:sectPr w:rsidR="003E6989" w:rsidRPr="00A778E6" w:rsidSect="006A5410">
          <w:pgSz w:w="16838" w:h="11906" w:orient="landscape"/>
          <w:pgMar w:top="1134" w:right="1134" w:bottom="1134" w:left="1134" w:header="958" w:footer="737" w:gutter="0"/>
          <w:cols w:space="720"/>
        </w:sectPr>
      </w:pPr>
    </w:p>
    <w:tbl>
      <w:tblPr>
        <w:tblW w:w="9087" w:type="dxa"/>
        <w:tblInd w:w="80" w:type="dxa"/>
        <w:tblLayout w:type="fixed"/>
        <w:tblLook w:val="04A0" w:firstRow="1" w:lastRow="0" w:firstColumn="1" w:lastColumn="0" w:noHBand="0" w:noVBand="1"/>
      </w:tblPr>
      <w:tblGrid>
        <w:gridCol w:w="2565"/>
        <w:gridCol w:w="1032"/>
        <w:gridCol w:w="915"/>
        <w:gridCol w:w="915"/>
        <w:gridCol w:w="915"/>
        <w:gridCol w:w="915"/>
        <w:gridCol w:w="915"/>
        <w:gridCol w:w="915"/>
      </w:tblGrid>
      <w:tr w:rsidR="003E6989" w:rsidTr="006A5410">
        <w:trPr>
          <w:trHeight w:val="255"/>
        </w:trPr>
        <w:tc>
          <w:tcPr>
            <w:tcW w:w="8981" w:type="dxa"/>
            <w:gridSpan w:val="8"/>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bookmarkStart w:id="497" w:name="RANGE!D8:D19"/>
            <w:bookmarkStart w:id="498" w:name="Note_DACTABLE1" w:colFirst="0" w:colLast="0"/>
            <w:r>
              <w:rPr>
                <w:rFonts w:cs="Calibri"/>
                <w:b/>
                <w:bCs/>
                <w:szCs w:val="18"/>
                <w:u w:val="single"/>
              </w:rPr>
              <w:t>5.1D: Disclosure by agent in relation to annual and special appropriations ('recoverable GST exclusive')</w:t>
            </w:r>
            <w:bookmarkEnd w:id="497"/>
          </w:p>
        </w:tc>
      </w:tr>
      <w:bookmarkEnd w:id="498"/>
      <w:tr w:rsidR="003E6989" w:rsidTr="006A5410">
        <w:trPr>
          <w:trHeight w:val="255"/>
        </w:trPr>
        <w:tc>
          <w:tcPr>
            <w:tcW w:w="25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21"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904"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904"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904"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904"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904"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904"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930"/>
        </w:trPr>
        <w:tc>
          <w:tcPr>
            <w:tcW w:w="2536" w:type="dxa"/>
            <w:tcBorders>
              <w:top w:val="single" w:sz="4" w:space="0" w:color="auto"/>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 </w:t>
            </w:r>
          </w:p>
        </w:tc>
        <w:tc>
          <w:tcPr>
            <w:tcW w:w="1021" w:type="dxa"/>
            <w:tcBorders>
              <w:top w:val="single" w:sz="4" w:space="0" w:color="auto"/>
              <w:left w:val="nil"/>
              <w:bottom w:val="nil"/>
              <w:right w:val="nil"/>
            </w:tcBorders>
            <w:shd w:val="clear" w:color="FFFFFF" w:fill="FFFFFF"/>
            <w:noWrap/>
            <w:vAlign w:val="bottom"/>
            <w:hideMark/>
          </w:tcPr>
          <w:p w:rsidR="003E6989" w:rsidRDefault="003E6989" w:rsidP="006A5410">
            <w:pPr>
              <w:rPr>
                <w:rFonts w:cs="Calibri"/>
                <w:b/>
                <w:bCs/>
                <w:szCs w:val="18"/>
              </w:rPr>
            </w:pPr>
            <w:r>
              <w:rPr>
                <w:rFonts w:cs="Calibri"/>
                <w:b/>
                <w:bCs/>
                <w:szCs w:val="18"/>
              </w:rPr>
              <w:t> </w:t>
            </w:r>
          </w:p>
        </w:tc>
        <w:tc>
          <w:tcPr>
            <w:tcW w:w="1808" w:type="dxa"/>
            <w:gridSpan w:val="2"/>
            <w:tcBorders>
              <w:top w:val="single" w:sz="4" w:space="0" w:color="auto"/>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Department of Prime Minister and Cabinet</w:t>
            </w:r>
          </w:p>
        </w:tc>
        <w:tc>
          <w:tcPr>
            <w:tcW w:w="1808" w:type="dxa"/>
            <w:gridSpan w:val="2"/>
            <w:tcBorders>
              <w:top w:val="single" w:sz="4" w:space="0" w:color="auto"/>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Department of Foreign Affairs and Trade</w:t>
            </w:r>
            <w:r>
              <w:rPr>
                <w:rFonts w:cs="Calibri"/>
                <w:b/>
                <w:bCs/>
                <w:szCs w:val="18"/>
                <w:vertAlign w:val="superscript"/>
              </w:rPr>
              <w:t>2</w:t>
            </w:r>
          </w:p>
        </w:tc>
        <w:tc>
          <w:tcPr>
            <w:tcW w:w="1808" w:type="dxa"/>
            <w:gridSpan w:val="2"/>
            <w:tcBorders>
              <w:top w:val="single" w:sz="4" w:space="0" w:color="auto"/>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Department of Social Services</w:t>
            </w:r>
          </w:p>
        </w:tc>
      </w:tr>
      <w:tr w:rsidR="003E6989" w:rsidTr="006A5410">
        <w:trPr>
          <w:trHeight w:val="255"/>
        </w:trPr>
        <w:tc>
          <w:tcPr>
            <w:tcW w:w="2536" w:type="dxa"/>
            <w:tcBorders>
              <w:top w:val="nil"/>
              <w:left w:val="nil"/>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2016</w:t>
            </w:r>
          </w:p>
        </w:tc>
        <w:tc>
          <w:tcPr>
            <w:tcW w:w="1021" w:type="dxa"/>
            <w:tcBorders>
              <w:top w:val="nil"/>
              <w:left w:val="nil"/>
              <w:bottom w:val="single" w:sz="4" w:space="0" w:color="auto"/>
              <w:right w:val="nil"/>
            </w:tcBorders>
            <w:shd w:val="clear" w:color="FFFFFF" w:fill="FFFFFF"/>
            <w:noWrap/>
            <w:vAlign w:val="bottom"/>
            <w:hideMark/>
          </w:tcPr>
          <w:p w:rsidR="003E6989" w:rsidRDefault="003E6989" w:rsidP="006A5410">
            <w:pPr>
              <w:rPr>
                <w:rFonts w:cs="Calibri"/>
                <w:b/>
                <w:bCs/>
                <w:szCs w:val="18"/>
              </w:rPr>
            </w:pPr>
            <w:r>
              <w:rPr>
                <w:rFonts w:cs="Calibri"/>
                <w:b/>
                <w:bCs/>
                <w:szCs w:val="18"/>
              </w:rPr>
              <w:t> </w:t>
            </w:r>
          </w:p>
        </w:tc>
        <w:tc>
          <w:tcPr>
            <w:tcW w:w="1808" w:type="dxa"/>
            <w:gridSpan w:val="2"/>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1808" w:type="dxa"/>
            <w:gridSpan w:val="2"/>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1808" w:type="dxa"/>
            <w:gridSpan w:val="2"/>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r>
      <w:tr w:rsidR="003E6989" w:rsidTr="006A5410">
        <w:trPr>
          <w:trHeight w:val="255"/>
        </w:trPr>
        <w:tc>
          <w:tcPr>
            <w:tcW w:w="2536"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Total receipts</w:t>
            </w:r>
          </w:p>
        </w:tc>
        <w:tc>
          <w:tcPr>
            <w:tcW w:w="1021"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808" w:type="dxa"/>
            <w:gridSpan w:val="2"/>
            <w:tcBorders>
              <w:top w:val="single" w:sz="4" w:space="0" w:color="auto"/>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1808" w:type="dxa"/>
            <w:gridSpan w:val="2"/>
            <w:tcBorders>
              <w:top w:val="single" w:sz="4" w:space="0" w:color="auto"/>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24,988 </w:t>
            </w:r>
          </w:p>
        </w:tc>
        <w:tc>
          <w:tcPr>
            <w:tcW w:w="1808" w:type="dxa"/>
            <w:gridSpan w:val="2"/>
            <w:tcBorders>
              <w:top w:val="single" w:sz="4" w:space="0" w:color="auto"/>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r>
      <w:tr w:rsidR="003E6989" w:rsidTr="006A5410">
        <w:trPr>
          <w:trHeight w:val="255"/>
        </w:trPr>
        <w:tc>
          <w:tcPr>
            <w:tcW w:w="2536" w:type="dxa"/>
            <w:tcBorders>
              <w:top w:val="nil"/>
              <w:left w:val="nil"/>
              <w:bottom w:val="single" w:sz="4" w:space="0" w:color="auto"/>
              <w:right w:val="nil"/>
            </w:tcBorders>
            <w:shd w:val="clear" w:color="FFFFFF" w:fill="FFFFFF"/>
            <w:vAlign w:val="bottom"/>
            <w:hideMark/>
          </w:tcPr>
          <w:p w:rsidR="003E6989" w:rsidRDefault="003E6989" w:rsidP="006A5410">
            <w:pPr>
              <w:rPr>
                <w:rFonts w:cs="Calibri"/>
                <w:szCs w:val="18"/>
              </w:rPr>
            </w:pPr>
            <w:r>
              <w:rPr>
                <w:rFonts w:cs="Calibri"/>
                <w:szCs w:val="18"/>
              </w:rPr>
              <w:t>Total payments</w:t>
            </w:r>
          </w:p>
        </w:tc>
        <w:tc>
          <w:tcPr>
            <w:tcW w:w="1021" w:type="dxa"/>
            <w:tcBorders>
              <w:top w:val="nil"/>
              <w:left w:val="nil"/>
              <w:bottom w:val="single" w:sz="4" w:space="0" w:color="auto"/>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808" w:type="dxa"/>
            <w:gridSpan w:val="2"/>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1808" w:type="dxa"/>
            <w:gridSpan w:val="2"/>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24,988 </w:t>
            </w:r>
          </w:p>
        </w:tc>
        <w:tc>
          <w:tcPr>
            <w:tcW w:w="1808" w:type="dxa"/>
            <w:gridSpan w:val="2"/>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r>
      <w:tr w:rsidR="003E6989" w:rsidTr="006A5410">
        <w:trPr>
          <w:trHeight w:val="255"/>
        </w:trPr>
        <w:tc>
          <w:tcPr>
            <w:tcW w:w="25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21"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904"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904"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904"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904"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904"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904"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25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21"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904"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904"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904"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904"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904"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904"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945"/>
        </w:trPr>
        <w:tc>
          <w:tcPr>
            <w:tcW w:w="2536" w:type="dxa"/>
            <w:tcBorders>
              <w:top w:val="single" w:sz="4" w:space="0" w:color="auto"/>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 </w:t>
            </w:r>
          </w:p>
        </w:tc>
        <w:tc>
          <w:tcPr>
            <w:tcW w:w="1021" w:type="dxa"/>
            <w:tcBorders>
              <w:top w:val="single" w:sz="4" w:space="0" w:color="auto"/>
              <w:left w:val="nil"/>
              <w:bottom w:val="nil"/>
              <w:right w:val="nil"/>
            </w:tcBorders>
            <w:shd w:val="clear" w:color="FFFFFF" w:fill="FFFFFF"/>
            <w:noWrap/>
            <w:vAlign w:val="bottom"/>
            <w:hideMark/>
          </w:tcPr>
          <w:p w:rsidR="003E6989" w:rsidRDefault="003E6989" w:rsidP="006A5410">
            <w:pPr>
              <w:rPr>
                <w:rFonts w:cs="Calibri"/>
                <w:b/>
                <w:bCs/>
                <w:szCs w:val="18"/>
              </w:rPr>
            </w:pPr>
            <w:r>
              <w:rPr>
                <w:rFonts w:cs="Calibri"/>
                <w:b/>
                <w:bCs/>
                <w:szCs w:val="18"/>
              </w:rPr>
              <w:t> </w:t>
            </w:r>
          </w:p>
        </w:tc>
        <w:tc>
          <w:tcPr>
            <w:tcW w:w="1808" w:type="dxa"/>
            <w:gridSpan w:val="2"/>
            <w:tcBorders>
              <w:top w:val="single" w:sz="4" w:space="0" w:color="auto"/>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Department of Prime Minister and Cabinet</w:t>
            </w:r>
            <w:r>
              <w:rPr>
                <w:rFonts w:cs="Calibri"/>
                <w:b/>
                <w:bCs/>
                <w:szCs w:val="18"/>
                <w:vertAlign w:val="superscript"/>
              </w:rPr>
              <w:t>1</w:t>
            </w:r>
          </w:p>
        </w:tc>
        <w:tc>
          <w:tcPr>
            <w:tcW w:w="1808" w:type="dxa"/>
            <w:gridSpan w:val="2"/>
            <w:tcBorders>
              <w:top w:val="single" w:sz="4" w:space="0" w:color="auto"/>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Department of Foreign Affairs and Trade</w:t>
            </w:r>
            <w:r>
              <w:rPr>
                <w:rFonts w:cs="Calibri"/>
                <w:b/>
                <w:bCs/>
                <w:szCs w:val="18"/>
                <w:vertAlign w:val="superscript"/>
              </w:rPr>
              <w:t>2</w:t>
            </w:r>
          </w:p>
        </w:tc>
        <w:tc>
          <w:tcPr>
            <w:tcW w:w="1808" w:type="dxa"/>
            <w:gridSpan w:val="2"/>
            <w:tcBorders>
              <w:top w:val="single" w:sz="4" w:space="0" w:color="auto"/>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Department of Social Services</w:t>
            </w:r>
            <w:r>
              <w:rPr>
                <w:rFonts w:cs="Calibri"/>
                <w:b/>
                <w:bCs/>
                <w:szCs w:val="18"/>
                <w:vertAlign w:val="superscript"/>
              </w:rPr>
              <w:t>3</w:t>
            </w:r>
          </w:p>
        </w:tc>
      </w:tr>
      <w:tr w:rsidR="003E6989" w:rsidTr="006A5410">
        <w:trPr>
          <w:trHeight w:val="255"/>
        </w:trPr>
        <w:tc>
          <w:tcPr>
            <w:tcW w:w="2536" w:type="dxa"/>
            <w:tcBorders>
              <w:top w:val="nil"/>
              <w:left w:val="nil"/>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2015</w:t>
            </w:r>
          </w:p>
        </w:tc>
        <w:tc>
          <w:tcPr>
            <w:tcW w:w="1021" w:type="dxa"/>
            <w:tcBorders>
              <w:top w:val="nil"/>
              <w:left w:val="nil"/>
              <w:bottom w:val="single" w:sz="4" w:space="0" w:color="auto"/>
              <w:right w:val="nil"/>
            </w:tcBorders>
            <w:shd w:val="clear" w:color="FFFFFF" w:fill="FFFFFF"/>
            <w:noWrap/>
            <w:vAlign w:val="bottom"/>
            <w:hideMark/>
          </w:tcPr>
          <w:p w:rsidR="003E6989" w:rsidRDefault="003E6989" w:rsidP="006A5410">
            <w:pPr>
              <w:rPr>
                <w:rFonts w:cs="Calibri"/>
                <w:b/>
                <w:bCs/>
                <w:szCs w:val="18"/>
              </w:rPr>
            </w:pPr>
            <w:r>
              <w:rPr>
                <w:rFonts w:cs="Calibri"/>
                <w:b/>
                <w:bCs/>
                <w:szCs w:val="18"/>
              </w:rPr>
              <w:t> </w:t>
            </w:r>
          </w:p>
        </w:tc>
        <w:tc>
          <w:tcPr>
            <w:tcW w:w="1808" w:type="dxa"/>
            <w:gridSpan w:val="2"/>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1808" w:type="dxa"/>
            <w:gridSpan w:val="2"/>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1808" w:type="dxa"/>
            <w:gridSpan w:val="2"/>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r>
      <w:tr w:rsidR="003E6989" w:rsidTr="006A5410">
        <w:trPr>
          <w:trHeight w:val="255"/>
        </w:trPr>
        <w:tc>
          <w:tcPr>
            <w:tcW w:w="2536"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Total receipts</w:t>
            </w:r>
          </w:p>
        </w:tc>
        <w:tc>
          <w:tcPr>
            <w:tcW w:w="1021"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808" w:type="dxa"/>
            <w:gridSpan w:val="2"/>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250 </w:t>
            </w:r>
          </w:p>
        </w:tc>
        <w:tc>
          <w:tcPr>
            <w:tcW w:w="1808" w:type="dxa"/>
            <w:gridSpan w:val="2"/>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9,978 </w:t>
            </w:r>
          </w:p>
        </w:tc>
        <w:tc>
          <w:tcPr>
            <w:tcW w:w="1808" w:type="dxa"/>
            <w:gridSpan w:val="2"/>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605,050 </w:t>
            </w:r>
          </w:p>
        </w:tc>
      </w:tr>
      <w:tr w:rsidR="003E6989" w:rsidTr="006A5410">
        <w:trPr>
          <w:trHeight w:val="255"/>
        </w:trPr>
        <w:tc>
          <w:tcPr>
            <w:tcW w:w="2536" w:type="dxa"/>
            <w:tcBorders>
              <w:top w:val="nil"/>
              <w:left w:val="nil"/>
              <w:bottom w:val="single" w:sz="4" w:space="0" w:color="auto"/>
              <w:right w:val="nil"/>
            </w:tcBorders>
            <w:shd w:val="clear" w:color="FFFFFF" w:fill="FFFFFF"/>
            <w:vAlign w:val="bottom"/>
            <w:hideMark/>
          </w:tcPr>
          <w:p w:rsidR="003E6989" w:rsidRDefault="003E6989" w:rsidP="006A5410">
            <w:pPr>
              <w:rPr>
                <w:rFonts w:cs="Calibri"/>
                <w:szCs w:val="18"/>
              </w:rPr>
            </w:pPr>
            <w:r>
              <w:rPr>
                <w:rFonts w:cs="Calibri"/>
                <w:szCs w:val="18"/>
              </w:rPr>
              <w:t>Total payments</w:t>
            </w:r>
          </w:p>
        </w:tc>
        <w:tc>
          <w:tcPr>
            <w:tcW w:w="1021" w:type="dxa"/>
            <w:tcBorders>
              <w:top w:val="nil"/>
              <w:left w:val="nil"/>
              <w:bottom w:val="single" w:sz="4" w:space="0" w:color="auto"/>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808" w:type="dxa"/>
            <w:gridSpan w:val="2"/>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250 </w:t>
            </w:r>
          </w:p>
        </w:tc>
        <w:tc>
          <w:tcPr>
            <w:tcW w:w="1808" w:type="dxa"/>
            <w:gridSpan w:val="2"/>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9,978 </w:t>
            </w:r>
          </w:p>
        </w:tc>
        <w:tc>
          <w:tcPr>
            <w:tcW w:w="1808" w:type="dxa"/>
            <w:gridSpan w:val="2"/>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605,050 </w:t>
            </w:r>
          </w:p>
        </w:tc>
      </w:tr>
    </w:tbl>
    <w:p w:rsidR="003E6989" w:rsidRDefault="003E6989" w:rsidP="003E6989">
      <w:pPr>
        <w:spacing w:line="240" w:lineRule="auto"/>
      </w:pPr>
      <w:bookmarkStart w:id="499" w:name="RANGE!D8:K19"/>
      <w:bookmarkStart w:id="500" w:name="RANGE!D7:K18"/>
      <w:bookmarkStart w:id="501" w:name="RANGE!D25:H32"/>
      <w:bookmarkEnd w:id="499"/>
      <w:bookmarkEnd w:id="500"/>
      <w:bookmarkEnd w:id="501"/>
    </w:p>
    <w:p w:rsidR="003E6989" w:rsidRDefault="003E6989" w:rsidP="003E6989">
      <w:pPr>
        <w:pStyle w:val="ListParagraph"/>
        <w:numPr>
          <w:ilvl w:val="0"/>
          <w:numId w:val="19"/>
        </w:numPr>
        <w:spacing w:after="0" w:line="260" w:lineRule="atLeast"/>
        <w:ind w:left="142" w:right="566" w:hanging="142"/>
      </w:pPr>
      <w:r>
        <w:t xml:space="preserve">The department made a payment for the Office of Women programme for the Department of Prime Minister and </w:t>
      </w:r>
      <w:r w:rsidRPr="00DC68A9">
        <w:t>Cabinet</w:t>
      </w:r>
      <w:r>
        <w:t xml:space="preserve">. </w:t>
      </w:r>
    </w:p>
    <w:p w:rsidR="003E6989" w:rsidRDefault="003E6989" w:rsidP="003E6989">
      <w:pPr>
        <w:pStyle w:val="ListParagraph"/>
        <w:numPr>
          <w:ilvl w:val="0"/>
          <w:numId w:val="19"/>
        </w:numPr>
        <w:spacing w:after="0" w:line="260" w:lineRule="atLeast"/>
        <w:ind w:left="142" w:right="566" w:hanging="142"/>
      </w:pPr>
      <w:r>
        <w:t>The department had drawing rights for the Department of Foreign Affairs and Trade annual appropriation for the New Colombo Plan programme.</w:t>
      </w:r>
    </w:p>
    <w:p w:rsidR="003E6989" w:rsidRPr="00455C0D" w:rsidRDefault="003E6989" w:rsidP="003E6989">
      <w:pPr>
        <w:pStyle w:val="ListParagraph"/>
        <w:numPr>
          <w:ilvl w:val="0"/>
          <w:numId w:val="19"/>
        </w:numPr>
        <w:spacing w:after="0" w:line="260" w:lineRule="atLeast"/>
        <w:ind w:left="142" w:right="566" w:hanging="142"/>
      </w:pPr>
      <w:r>
        <w:t>In 2014-15 the department had drawing rights for the Department of Social Services special appropriations for the payment of Child Care Benefit,</w:t>
      </w:r>
      <w:r w:rsidRPr="00455C0D">
        <w:t xml:space="preserve"> Child Care Rebate</w:t>
      </w:r>
      <w:r>
        <w:t xml:space="preserve"> and the Early Years Quality Fund Special Account</w:t>
      </w:r>
      <w:r w:rsidRPr="00455C0D">
        <w:t xml:space="preserve">. </w:t>
      </w:r>
    </w:p>
    <w:p w:rsidR="003E6989" w:rsidRDefault="003E6989" w:rsidP="003E6989"/>
    <w:p w:rsidR="003E6989" w:rsidRDefault="003E6989" w:rsidP="003E6989">
      <w:pPr>
        <w:sectPr w:rsidR="003E6989" w:rsidSect="006A5410">
          <w:pgSz w:w="11906" w:h="16838"/>
          <w:pgMar w:top="1134" w:right="1134" w:bottom="1134" w:left="1134" w:header="958" w:footer="737" w:gutter="0"/>
          <w:cols w:space="720"/>
        </w:sectPr>
      </w:pPr>
    </w:p>
    <w:p w:rsidR="003E6989" w:rsidRDefault="003E6989" w:rsidP="003E6989">
      <w:pPr>
        <w:pStyle w:val="SubHeading"/>
      </w:pPr>
      <w:bookmarkStart w:id="502" w:name="_Toc455416746"/>
      <w:bookmarkStart w:id="503" w:name="_Toc464726637"/>
      <w:r>
        <w:t>Special Accounts</w:t>
      </w:r>
      <w:bookmarkEnd w:id="502"/>
      <w:bookmarkEnd w:id="503"/>
    </w:p>
    <w:tbl>
      <w:tblPr>
        <w:tblW w:w="13991" w:type="dxa"/>
        <w:tblInd w:w="80" w:type="dxa"/>
        <w:tblLayout w:type="fixed"/>
        <w:tblLook w:val="04A0" w:firstRow="1" w:lastRow="0" w:firstColumn="1" w:lastColumn="0" w:noHBand="0" w:noVBand="1"/>
      </w:tblPr>
      <w:tblGrid>
        <w:gridCol w:w="4053"/>
        <w:gridCol w:w="1243"/>
        <w:gridCol w:w="1243"/>
        <w:gridCol w:w="1242"/>
        <w:gridCol w:w="1242"/>
        <w:gridCol w:w="1242"/>
        <w:gridCol w:w="1242"/>
        <w:gridCol w:w="1242"/>
        <w:gridCol w:w="1242"/>
      </w:tblGrid>
      <w:tr w:rsidR="003E6989" w:rsidTr="006A5410">
        <w:trPr>
          <w:trHeight w:val="255"/>
        </w:trPr>
        <w:tc>
          <w:tcPr>
            <w:tcW w:w="13244" w:type="dxa"/>
            <w:gridSpan w:val="9"/>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bookmarkStart w:id="504" w:name="Note_SACTABLE1" w:colFirst="0" w:colLast="0"/>
            <w:r>
              <w:rPr>
                <w:rFonts w:cs="Calibri"/>
                <w:b/>
                <w:bCs/>
                <w:szCs w:val="18"/>
                <w:u w:val="single"/>
              </w:rPr>
              <w:t>5.2A: Special accounts ('recoverable GST exclusive')</w:t>
            </w:r>
          </w:p>
        </w:tc>
      </w:tr>
      <w:bookmarkEnd w:id="504"/>
      <w:tr w:rsidR="003E6989" w:rsidTr="006A5410">
        <w:trPr>
          <w:trHeight w:val="255"/>
        </w:trPr>
        <w:tc>
          <w:tcPr>
            <w:tcW w:w="3836" w:type="dxa"/>
            <w:tcBorders>
              <w:top w:val="nil"/>
              <w:left w:val="nil"/>
              <w:bottom w:val="nil"/>
              <w:right w:val="nil"/>
            </w:tcBorders>
            <w:shd w:val="clear" w:color="FFFFFF" w:fill="FFFFFF"/>
            <w:noWrap/>
            <w:vAlign w:val="bottom"/>
            <w:hideMark/>
          </w:tcPr>
          <w:p w:rsidR="003E6989" w:rsidRDefault="003E6989" w:rsidP="006A5410">
            <w:pPr>
              <w:rPr>
                <w:rFonts w:cs="Calibri"/>
                <w:sz w:val="20"/>
              </w:rPr>
            </w:pPr>
            <w:r>
              <w:rPr>
                <w:rFonts w:cs="Calibri"/>
                <w:sz w:val="20"/>
              </w:rPr>
              <w:t> </w:t>
            </w:r>
          </w:p>
        </w:tc>
        <w:tc>
          <w:tcPr>
            <w:tcW w:w="1176" w:type="dxa"/>
            <w:tcBorders>
              <w:top w:val="nil"/>
              <w:left w:val="nil"/>
              <w:bottom w:val="nil"/>
              <w:right w:val="nil"/>
            </w:tcBorders>
            <w:shd w:val="clear" w:color="FFFFFF" w:fill="FFFFFF"/>
            <w:noWrap/>
            <w:vAlign w:val="bottom"/>
            <w:hideMark/>
          </w:tcPr>
          <w:p w:rsidR="003E6989" w:rsidRDefault="003E6989" w:rsidP="006A5410">
            <w:pPr>
              <w:rPr>
                <w:rFonts w:cs="Calibri"/>
                <w:sz w:val="20"/>
              </w:rPr>
            </w:pPr>
            <w:r>
              <w:rPr>
                <w:rFonts w:cs="Calibri"/>
                <w:sz w:val="20"/>
              </w:rPr>
              <w:t> </w:t>
            </w:r>
          </w:p>
        </w:tc>
        <w:tc>
          <w:tcPr>
            <w:tcW w:w="1176" w:type="dxa"/>
            <w:tcBorders>
              <w:top w:val="nil"/>
              <w:left w:val="nil"/>
              <w:bottom w:val="nil"/>
              <w:right w:val="nil"/>
            </w:tcBorders>
            <w:shd w:val="clear" w:color="FFFFFF" w:fill="FFFFFF"/>
            <w:noWrap/>
            <w:vAlign w:val="bottom"/>
            <w:hideMark/>
          </w:tcPr>
          <w:p w:rsidR="003E6989" w:rsidRDefault="003E6989" w:rsidP="006A5410">
            <w:pPr>
              <w:rPr>
                <w:rFonts w:cs="Calibri"/>
                <w:sz w:val="20"/>
              </w:rPr>
            </w:pPr>
            <w:r>
              <w:rPr>
                <w:rFonts w:cs="Calibri"/>
                <w:sz w:val="20"/>
              </w:rPr>
              <w:t> </w:t>
            </w:r>
          </w:p>
        </w:tc>
        <w:tc>
          <w:tcPr>
            <w:tcW w:w="1176" w:type="dxa"/>
            <w:tcBorders>
              <w:top w:val="nil"/>
              <w:left w:val="nil"/>
              <w:bottom w:val="nil"/>
              <w:right w:val="nil"/>
            </w:tcBorders>
            <w:shd w:val="clear" w:color="FFFFFF" w:fill="FFFFFF"/>
            <w:noWrap/>
            <w:vAlign w:val="bottom"/>
            <w:hideMark/>
          </w:tcPr>
          <w:p w:rsidR="003E6989" w:rsidRDefault="003E6989" w:rsidP="006A5410">
            <w:pPr>
              <w:rPr>
                <w:rFonts w:cs="Calibri"/>
                <w:sz w:val="20"/>
              </w:rPr>
            </w:pPr>
            <w:r>
              <w:rPr>
                <w:rFonts w:cs="Calibri"/>
                <w:sz w:val="20"/>
              </w:rPr>
              <w:t> </w:t>
            </w:r>
          </w:p>
        </w:tc>
        <w:tc>
          <w:tcPr>
            <w:tcW w:w="1176" w:type="dxa"/>
            <w:tcBorders>
              <w:top w:val="nil"/>
              <w:left w:val="nil"/>
              <w:bottom w:val="nil"/>
              <w:right w:val="nil"/>
            </w:tcBorders>
            <w:shd w:val="clear" w:color="FFFFFF" w:fill="FFFFFF"/>
            <w:noWrap/>
            <w:vAlign w:val="bottom"/>
            <w:hideMark/>
          </w:tcPr>
          <w:p w:rsidR="003E6989" w:rsidRDefault="003E6989" w:rsidP="006A5410">
            <w:pPr>
              <w:rPr>
                <w:rFonts w:cs="Calibri"/>
                <w:sz w:val="20"/>
              </w:rPr>
            </w:pPr>
            <w:r>
              <w:rPr>
                <w:rFonts w:cs="Calibri"/>
                <w:sz w:val="20"/>
              </w:rPr>
              <w:t> </w:t>
            </w:r>
          </w:p>
        </w:tc>
        <w:tc>
          <w:tcPr>
            <w:tcW w:w="1176" w:type="dxa"/>
            <w:tcBorders>
              <w:top w:val="nil"/>
              <w:left w:val="nil"/>
              <w:bottom w:val="nil"/>
              <w:right w:val="nil"/>
            </w:tcBorders>
            <w:shd w:val="clear" w:color="FFFFFF" w:fill="FFFFFF"/>
            <w:noWrap/>
            <w:vAlign w:val="bottom"/>
            <w:hideMark/>
          </w:tcPr>
          <w:p w:rsidR="003E6989" w:rsidRDefault="003E6989" w:rsidP="006A5410">
            <w:pPr>
              <w:rPr>
                <w:rFonts w:cs="Calibri"/>
                <w:sz w:val="20"/>
              </w:rPr>
            </w:pPr>
            <w:r>
              <w:rPr>
                <w:rFonts w:cs="Calibri"/>
                <w:sz w:val="20"/>
              </w:rPr>
              <w:t> </w:t>
            </w:r>
          </w:p>
        </w:tc>
        <w:tc>
          <w:tcPr>
            <w:tcW w:w="1176" w:type="dxa"/>
            <w:tcBorders>
              <w:top w:val="nil"/>
              <w:left w:val="nil"/>
              <w:bottom w:val="nil"/>
              <w:right w:val="nil"/>
            </w:tcBorders>
            <w:shd w:val="clear" w:color="FFFFFF" w:fill="FFFFFF"/>
            <w:noWrap/>
            <w:vAlign w:val="bottom"/>
            <w:hideMark/>
          </w:tcPr>
          <w:p w:rsidR="003E6989" w:rsidRDefault="003E6989" w:rsidP="006A5410">
            <w:pPr>
              <w:rPr>
                <w:rFonts w:cs="Calibri"/>
                <w:sz w:val="20"/>
              </w:rPr>
            </w:pPr>
            <w:r>
              <w:rPr>
                <w:rFonts w:cs="Calibri"/>
                <w:sz w:val="20"/>
              </w:rPr>
              <w:t> </w:t>
            </w:r>
          </w:p>
        </w:tc>
        <w:tc>
          <w:tcPr>
            <w:tcW w:w="1176" w:type="dxa"/>
            <w:tcBorders>
              <w:top w:val="nil"/>
              <w:left w:val="nil"/>
              <w:bottom w:val="nil"/>
              <w:right w:val="nil"/>
            </w:tcBorders>
            <w:shd w:val="clear" w:color="FFFFFF" w:fill="FFFFFF"/>
            <w:noWrap/>
            <w:vAlign w:val="bottom"/>
            <w:hideMark/>
          </w:tcPr>
          <w:p w:rsidR="003E6989" w:rsidRDefault="003E6989" w:rsidP="006A5410">
            <w:pPr>
              <w:rPr>
                <w:rFonts w:cs="Calibri"/>
                <w:sz w:val="20"/>
              </w:rPr>
            </w:pPr>
            <w:r>
              <w:rPr>
                <w:rFonts w:cs="Calibri"/>
                <w:sz w:val="20"/>
              </w:rPr>
              <w:t> </w:t>
            </w:r>
          </w:p>
        </w:tc>
        <w:tc>
          <w:tcPr>
            <w:tcW w:w="1176" w:type="dxa"/>
            <w:tcBorders>
              <w:top w:val="nil"/>
              <w:left w:val="nil"/>
              <w:bottom w:val="nil"/>
              <w:right w:val="nil"/>
            </w:tcBorders>
            <w:shd w:val="clear" w:color="FFFFFF" w:fill="FFFFFF"/>
            <w:noWrap/>
            <w:vAlign w:val="bottom"/>
            <w:hideMark/>
          </w:tcPr>
          <w:p w:rsidR="003E6989" w:rsidRDefault="003E6989" w:rsidP="006A5410">
            <w:pPr>
              <w:rPr>
                <w:rFonts w:cs="Calibri"/>
                <w:sz w:val="20"/>
              </w:rPr>
            </w:pPr>
            <w:r>
              <w:rPr>
                <w:rFonts w:cs="Calibri"/>
                <w:sz w:val="20"/>
              </w:rPr>
              <w:t> </w:t>
            </w:r>
          </w:p>
        </w:tc>
      </w:tr>
      <w:tr w:rsidR="003E6989" w:rsidTr="006A5410">
        <w:trPr>
          <w:trHeight w:val="518"/>
        </w:trPr>
        <w:tc>
          <w:tcPr>
            <w:tcW w:w="3836"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rPr>
                <w:rFonts w:cs="Calibri"/>
                <w:b/>
                <w:bCs/>
                <w:szCs w:val="18"/>
              </w:rPr>
            </w:pPr>
            <w:bookmarkStart w:id="505" w:name="RANGE!D10:D29"/>
            <w:r>
              <w:rPr>
                <w:rFonts w:cs="Calibri"/>
                <w:b/>
                <w:bCs/>
                <w:szCs w:val="18"/>
              </w:rPr>
              <w:t> </w:t>
            </w:r>
            <w:bookmarkEnd w:id="505"/>
          </w:p>
        </w:tc>
        <w:tc>
          <w:tcPr>
            <w:tcW w:w="2352" w:type="dxa"/>
            <w:gridSpan w:val="2"/>
            <w:tcBorders>
              <w:top w:val="single" w:sz="4" w:space="0" w:color="auto"/>
              <w:left w:val="nil"/>
              <w:bottom w:val="single" w:sz="4" w:space="0" w:color="auto"/>
              <w:right w:val="single" w:sz="4" w:space="0" w:color="000000"/>
            </w:tcBorders>
            <w:shd w:val="clear" w:color="FFFFFF" w:fill="FFFFFF"/>
            <w:hideMark/>
          </w:tcPr>
          <w:p w:rsidR="003E6989" w:rsidRDefault="003E6989" w:rsidP="006A5410">
            <w:pPr>
              <w:jc w:val="center"/>
              <w:rPr>
                <w:rFonts w:cs="Calibri"/>
                <w:b/>
                <w:bCs/>
                <w:szCs w:val="18"/>
              </w:rPr>
            </w:pPr>
            <w:r>
              <w:rPr>
                <w:rFonts w:cs="Calibri"/>
                <w:b/>
                <w:bCs/>
                <w:szCs w:val="18"/>
              </w:rPr>
              <w:t>Education Investment Fund - Research Portfolio Special Account</w:t>
            </w:r>
            <w:r>
              <w:rPr>
                <w:rFonts w:cs="Calibri"/>
                <w:b/>
                <w:bCs/>
                <w:szCs w:val="18"/>
                <w:vertAlign w:val="superscript"/>
              </w:rPr>
              <w:t>1</w:t>
            </w:r>
          </w:p>
        </w:tc>
        <w:tc>
          <w:tcPr>
            <w:tcW w:w="2352" w:type="dxa"/>
            <w:gridSpan w:val="2"/>
            <w:tcBorders>
              <w:top w:val="single" w:sz="4" w:space="0" w:color="auto"/>
              <w:left w:val="nil"/>
              <w:bottom w:val="single" w:sz="4" w:space="0" w:color="auto"/>
              <w:right w:val="single" w:sz="4" w:space="0" w:color="000000"/>
            </w:tcBorders>
            <w:shd w:val="clear" w:color="FFFFFF" w:fill="FFFFFF"/>
            <w:hideMark/>
          </w:tcPr>
          <w:p w:rsidR="003E6989" w:rsidRDefault="003E6989" w:rsidP="006A5410">
            <w:pPr>
              <w:jc w:val="center"/>
              <w:rPr>
                <w:rFonts w:cs="Calibri"/>
                <w:b/>
                <w:bCs/>
                <w:szCs w:val="18"/>
              </w:rPr>
            </w:pPr>
            <w:r>
              <w:rPr>
                <w:rFonts w:cs="Calibri"/>
                <w:b/>
                <w:bCs/>
                <w:szCs w:val="18"/>
              </w:rPr>
              <w:t>Education Investment Fund - Education Portfolio Special Account</w:t>
            </w:r>
            <w:r>
              <w:rPr>
                <w:rFonts w:cs="Calibri"/>
                <w:b/>
                <w:bCs/>
                <w:szCs w:val="18"/>
                <w:vertAlign w:val="superscript"/>
              </w:rPr>
              <w:t>2</w:t>
            </w:r>
          </w:p>
        </w:tc>
        <w:tc>
          <w:tcPr>
            <w:tcW w:w="2352" w:type="dxa"/>
            <w:gridSpan w:val="2"/>
            <w:tcBorders>
              <w:top w:val="single" w:sz="4" w:space="0" w:color="auto"/>
              <w:left w:val="nil"/>
              <w:bottom w:val="single" w:sz="4" w:space="0" w:color="auto"/>
              <w:right w:val="single" w:sz="4" w:space="0" w:color="000000"/>
            </w:tcBorders>
            <w:shd w:val="clear" w:color="FFFFFF" w:fill="FFFFFF"/>
            <w:hideMark/>
          </w:tcPr>
          <w:p w:rsidR="003E6989" w:rsidRDefault="003E6989" w:rsidP="006A5410">
            <w:pPr>
              <w:jc w:val="center"/>
              <w:rPr>
                <w:rFonts w:cs="Calibri"/>
                <w:b/>
                <w:bCs/>
                <w:szCs w:val="18"/>
              </w:rPr>
            </w:pPr>
            <w:r>
              <w:rPr>
                <w:rFonts w:cs="Calibri"/>
                <w:b/>
                <w:bCs/>
                <w:szCs w:val="18"/>
              </w:rPr>
              <w:t>National Youth Affairs Research Scheme</w:t>
            </w:r>
            <w:r>
              <w:rPr>
                <w:rFonts w:cs="Calibri"/>
                <w:b/>
                <w:bCs/>
                <w:szCs w:val="18"/>
                <w:vertAlign w:val="superscript"/>
              </w:rPr>
              <w:t>3</w:t>
            </w:r>
          </w:p>
        </w:tc>
        <w:tc>
          <w:tcPr>
            <w:tcW w:w="2352" w:type="dxa"/>
            <w:gridSpan w:val="2"/>
            <w:tcBorders>
              <w:top w:val="single" w:sz="4" w:space="0" w:color="auto"/>
              <w:left w:val="nil"/>
              <w:bottom w:val="single" w:sz="4" w:space="0" w:color="auto"/>
              <w:right w:val="single" w:sz="4" w:space="0" w:color="000000"/>
            </w:tcBorders>
            <w:shd w:val="clear" w:color="FFFFFF" w:fill="FFFFFF"/>
            <w:hideMark/>
          </w:tcPr>
          <w:p w:rsidR="003E6989" w:rsidRDefault="003E6989" w:rsidP="006A5410">
            <w:pPr>
              <w:jc w:val="center"/>
              <w:rPr>
                <w:rFonts w:cs="Calibri"/>
                <w:b/>
                <w:bCs/>
                <w:szCs w:val="18"/>
              </w:rPr>
            </w:pPr>
            <w:r>
              <w:rPr>
                <w:rFonts w:cs="Calibri"/>
                <w:b/>
                <w:bCs/>
                <w:szCs w:val="18"/>
              </w:rPr>
              <w:t>Growth Fund Skills and Training Special Account</w:t>
            </w:r>
            <w:r>
              <w:rPr>
                <w:rFonts w:cs="Calibri"/>
                <w:b/>
                <w:bCs/>
                <w:szCs w:val="18"/>
                <w:vertAlign w:val="superscript"/>
              </w:rPr>
              <w:t>4</w:t>
            </w:r>
          </w:p>
        </w:tc>
      </w:tr>
      <w:tr w:rsidR="003E6989" w:rsidTr="006A5410">
        <w:trPr>
          <w:trHeight w:val="255"/>
        </w:trPr>
        <w:tc>
          <w:tcPr>
            <w:tcW w:w="3836" w:type="dxa"/>
            <w:vMerge w:val="restart"/>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rPr>
                <w:rFonts w:cs="Calibri"/>
                <w:b/>
                <w:bCs/>
                <w:szCs w:val="18"/>
              </w:rPr>
            </w:pPr>
            <w:r>
              <w:rPr>
                <w:rFonts w:cs="Calibri"/>
                <w:b/>
                <w:bCs/>
                <w:szCs w:val="18"/>
              </w:rPr>
              <w:t> </w:t>
            </w:r>
          </w:p>
        </w:tc>
        <w:tc>
          <w:tcPr>
            <w:tcW w:w="117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b/>
                <w:bCs/>
                <w:szCs w:val="18"/>
              </w:rPr>
            </w:pPr>
            <w:r>
              <w:rPr>
                <w:rFonts w:cs="Calibri"/>
                <w:b/>
                <w:bCs/>
                <w:szCs w:val="18"/>
              </w:rPr>
              <w:t>2016</w:t>
            </w:r>
          </w:p>
        </w:tc>
        <w:tc>
          <w:tcPr>
            <w:tcW w:w="117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szCs w:val="18"/>
              </w:rPr>
            </w:pPr>
            <w:r>
              <w:rPr>
                <w:rFonts w:cs="Calibri"/>
                <w:szCs w:val="18"/>
              </w:rPr>
              <w:t>2015</w:t>
            </w:r>
          </w:p>
        </w:tc>
        <w:tc>
          <w:tcPr>
            <w:tcW w:w="117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b/>
                <w:bCs/>
                <w:szCs w:val="18"/>
              </w:rPr>
            </w:pPr>
            <w:r>
              <w:rPr>
                <w:rFonts w:cs="Calibri"/>
                <w:b/>
                <w:bCs/>
                <w:szCs w:val="18"/>
              </w:rPr>
              <w:t>2016</w:t>
            </w:r>
          </w:p>
        </w:tc>
        <w:tc>
          <w:tcPr>
            <w:tcW w:w="117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szCs w:val="18"/>
              </w:rPr>
            </w:pPr>
            <w:r>
              <w:rPr>
                <w:rFonts w:cs="Calibri"/>
                <w:szCs w:val="18"/>
              </w:rPr>
              <w:t>2015</w:t>
            </w:r>
          </w:p>
        </w:tc>
        <w:tc>
          <w:tcPr>
            <w:tcW w:w="117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b/>
                <w:bCs/>
                <w:szCs w:val="18"/>
              </w:rPr>
            </w:pPr>
            <w:r>
              <w:rPr>
                <w:rFonts w:cs="Calibri"/>
                <w:b/>
                <w:bCs/>
                <w:szCs w:val="18"/>
              </w:rPr>
              <w:t>2016</w:t>
            </w:r>
          </w:p>
        </w:tc>
        <w:tc>
          <w:tcPr>
            <w:tcW w:w="117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szCs w:val="18"/>
              </w:rPr>
            </w:pPr>
            <w:r>
              <w:rPr>
                <w:rFonts w:cs="Calibri"/>
                <w:szCs w:val="18"/>
              </w:rPr>
              <w:t>2015</w:t>
            </w:r>
          </w:p>
        </w:tc>
        <w:tc>
          <w:tcPr>
            <w:tcW w:w="117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b/>
                <w:bCs/>
                <w:szCs w:val="18"/>
              </w:rPr>
            </w:pPr>
            <w:r>
              <w:rPr>
                <w:rFonts w:cs="Calibri"/>
                <w:b/>
                <w:bCs/>
                <w:szCs w:val="18"/>
              </w:rPr>
              <w:t>2016</w:t>
            </w:r>
          </w:p>
        </w:tc>
        <w:tc>
          <w:tcPr>
            <w:tcW w:w="117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szCs w:val="18"/>
              </w:rPr>
            </w:pPr>
            <w:r>
              <w:rPr>
                <w:rFonts w:cs="Calibri"/>
                <w:szCs w:val="18"/>
              </w:rPr>
              <w:t>2015</w:t>
            </w:r>
          </w:p>
        </w:tc>
      </w:tr>
      <w:tr w:rsidR="003E6989" w:rsidTr="006A5410">
        <w:trPr>
          <w:trHeight w:val="255"/>
        </w:trPr>
        <w:tc>
          <w:tcPr>
            <w:tcW w:w="3836" w:type="dxa"/>
            <w:vMerge/>
            <w:tcBorders>
              <w:top w:val="nil"/>
              <w:left w:val="single" w:sz="4" w:space="0" w:color="auto"/>
              <w:bottom w:val="single" w:sz="4" w:space="0" w:color="auto"/>
              <w:right w:val="single" w:sz="4" w:space="0" w:color="auto"/>
            </w:tcBorders>
            <w:vAlign w:val="center"/>
            <w:hideMark/>
          </w:tcPr>
          <w:p w:rsidR="003E6989" w:rsidRDefault="003E6989" w:rsidP="006A5410">
            <w:pPr>
              <w:rPr>
                <w:rFonts w:cs="Calibri"/>
                <w:b/>
                <w:bCs/>
                <w:szCs w:val="18"/>
              </w:rPr>
            </w:pPr>
          </w:p>
        </w:tc>
        <w:tc>
          <w:tcPr>
            <w:tcW w:w="117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117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szCs w:val="18"/>
              </w:rPr>
            </w:pPr>
            <w:r>
              <w:rPr>
                <w:rFonts w:cs="Calibri"/>
                <w:szCs w:val="18"/>
              </w:rPr>
              <w:t>$'000</w:t>
            </w:r>
          </w:p>
        </w:tc>
        <w:tc>
          <w:tcPr>
            <w:tcW w:w="117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117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szCs w:val="18"/>
              </w:rPr>
            </w:pPr>
            <w:r>
              <w:rPr>
                <w:rFonts w:cs="Calibri"/>
                <w:szCs w:val="18"/>
              </w:rPr>
              <w:t>$'000</w:t>
            </w:r>
          </w:p>
        </w:tc>
        <w:tc>
          <w:tcPr>
            <w:tcW w:w="117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117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szCs w:val="18"/>
              </w:rPr>
            </w:pPr>
            <w:r>
              <w:rPr>
                <w:rFonts w:cs="Calibri"/>
                <w:szCs w:val="18"/>
              </w:rPr>
              <w:t>$'000</w:t>
            </w:r>
          </w:p>
        </w:tc>
        <w:tc>
          <w:tcPr>
            <w:tcW w:w="117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117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3836" w:type="dxa"/>
            <w:tcBorders>
              <w:top w:val="nil"/>
              <w:left w:val="single" w:sz="4" w:space="0" w:color="auto"/>
              <w:bottom w:val="single" w:sz="4" w:space="0" w:color="auto"/>
              <w:right w:val="single" w:sz="4" w:space="0" w:color="auto"/>
            </w:tcBorders>
            <w:shd w:val="clear" w:color="FFFFFF" w:fill="FFFFFF"/>
            <w:vAlign w:val="bottom"/>
            <w:hideMark/>
          </w:tcPr>
          <w:p w:rsidR="003E6989" w:rsidRDefault="003E6989" w:rsidP="006A5410">
            <w:pPr>
              <w:rPr>
                <w:rFonts w:cs="Calibri"/>
                <w:b/>
                <w:bCs/>
                <w:szCs w:val="18"/>
              </w:rPr>
            </w:pPr>
            <w:r>
              <w:rPr>
                <w:rFonts w:cs="Calibri"/>
                <w:b/>
                <w:bCs/>
                <w:szCs w:val="18"/>
              </w:rPr>
              <w:t>Balance brought forward from previous period</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171</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251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3836" w:type="dxa"/>
            <w:tcBorders>
              <w:top w:val="nil"/>
              <w:left w:val="single" w:sz="4" w:space="0" w:color="auto"/>
              <w:bottom w:val="single" w:sz="4" w:space="0" w:color="auto"/>
              <w:right w:val="single" w:sz="4" w:space="0" w:color="auto"/>
            </w:tcBorders>
            <w:shd w:val="clear" w:color="FFFFFF" w:fill="FFFFFF"/>
            <w:vAlign w:val="bottom"/>
            <w:hideMark/>
          </w:tcPr>
          <w:p w:rsidR="003E6989" w:rsidRDefault="003E6989" w:rsidP="006A5410">
            <w:pPr>
              <w:rPr>
                <w:rFonts w:cs="Calibri"/>
                <w:b/>
                <w:bCs/>
                <w:szCs w:val="18"/>
              </w:rPr>
            </w:pPr>
            <w:r>
              <w:rPr>
                <w:rFonts w:cs="Calibri"/>
                <w:b/>
                <w:bCs/>
                <w:szCs w:val="18"/>
              </w:rPr>
              <w:t>Increases</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3836"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Appropriation credited to special account</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70,950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55,754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146,463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4,757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3836"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Transfer through restructuring</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3836" w:type="dxa"/>
            <w:tcBorders>
              <w:top w:val="nil"/>
              <w:left w:val="single" w:sz="4" w:space="0" w:color="auto"/>
              <w:bottom w:val="single" w:sz="4" w:space="0" w:color="auto"/>
              <w:right w:val="single" w:sz="4" w:space="0" w:color="auto"/>
            </w:tcBorders>
            <w:shd w:val="clear" w:color="FFFFFF" w:fill="FFFFFF"/>
            <w:vAlign w:val="bottom"/>
            <w:hideMark/>
          </w:tcPr>
          <w:p w:rsidR="003E6989" w:rsidRDefault="003E6989" w:rsidP="006A5410">
            <w:pPr>
              <w:rPr>
                <w:rFonts w:cs="Calibri"/>
                <w:b/>
                <w:bCs/>
                <w:i/>
                <w:iCs/>
                <w:szCs w:val="18"/>
              </w:rPr>
            </w:pPr>
            <w:r>
              <w:rPr>
                <w:rFonts w:cs="Calibri"/>
                <w:b/>
                <w:bCs/>
                <w:i/>
                <w:iCs/>
                <w:szCs w:val="18"/>
              </w:rPr>
              <w:t>Total increases</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70,950</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55,754</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146,463</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4,757</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w:t>
            </w:r>
          </w:p>
        </w:tc>
      </w:tr>
      <w:tr w:rsidR="003E6989" w:rsidTr="006A5410">
        <w:trPr>
          <w:trHeight w:val="255"/>
        </w:trPr>
        <w:tc>
          <w:tcPr>
            <w:tcW w:w="3836" w:type="dxa"/>
            <w:tcBorders>
              <w:top w:val="nil"/>
              <w:left w:val="single" w:sz="4" w:space="0" w:color="auto"/>
              <w:bottom w:val="single" w:sz="4" w:space="0" w:color="auto"/>
              <w:right w:val="single" w:sz="4" w:space="0" w:color="auto"/>
            </w:tcBorders>
            <w:shd w:val="clear" w:color="FFFFFF" w:fill="FFFFFF"/>
            <w:vAlign w:val="bottom"/>
            <w:hideMark/>
          </w:tcPr>
          <w:p w:rsidR="003E6989" w:rsidRDefault="003E6989" w:rsidP="006A5410">
            <w:pPr>
              <w:rPr>
                <w:rFonts w:cs="Calibri"/>
                <w:b/>
                <w:bCs/>
                <w:szCs w:val="18"/>
              </w:rPr>
            </w:pPr>
            <w:r>
              <w:rPr>
                <w:rFonts w:cs="Calibri"/>
                <w:b/>
                <w:bCs/>
                <w:szCs w:val="18"/>
              </w:rPr>
              <w:t>Available for payments</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70,950</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55,754</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146,463</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171</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251</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4,757</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w:t>
            </w:r>
          </w:p>
        </w:tc>
      </w:tr>
      <w:tr w:rsidR="003E6989" w:rsidTr="006A5410">
        <w:trPr>
          <w:trHeight w:val="255"/>
        </w:trPr>
        <w:tc>
          <w:tcPr>
            <w:tcW w:w="3836" w:type="dxa"/>
            <w:tcBorders>
              <w:top w:val="nil"/>
              <w:left w:val="single" w:sz="4" w:space="0" w:color="auto"/>
              <w:bottom w:val="single" w:sz="4" w:space="0" w:color="auto"/>
              <w:right w:val="single" w:sz="4" w:space="0" w:color="auto"/>
            </w:tcBorders>
            <w:shd w:val="clear" w:color="FFFFFF" w:fill="FFFFFF"/>
            <w:vAlign w:val="bottom"/>
            <w:hideMark/>
          </w:tcPr>
          <w:p w:rsidR="003E6989" w:rsidRDefault="003E6989" w:rsidP="006A5410">
            <w:pPr>
              <w:rPr>
                <w:rFonts w:cs="Calibri"/>
                <w:b/>
                <w:bCs/>
                <w:szCs w:val="18"/>
              </w:rPr>
            </w:pPr>
            <w:r>
              <w:rPr>
                <w:rFonts w:cs="Calibri"/>
                <w:b/>
                <w:bCs/>
                <w:szCs w:val="18"/>
              </w:rPr>
              <w:t>Decreases</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3836" w:type="dxa"/>
            <w:tcBorders>
              <w:top w:val="nil"/>
              <w:left w:val="single" w:sz="4" w:space="0" w:color="auto"/>
              <w:bottom w:val="single" w:sz="4" w:space="0" w:color="auto"/>
              <w:right w:val="nil"/>
            </w:tcBorders>
            <w:shd w:val="clear" w:color="000000" w:fill="D9D9D9"/>
            <w:vAlign w:val="bottom"/>
            <w:hideMark/>
          </w:tcPr>
          <w:p w:rsidR="003E6989" w:rsidRDefault="003E6989" w:rsidP="006A5410">
            <w:pPr>
              <w:rPr>
                <w:rFonts w:cs="Calibri"/>
                <w:b/>
                <w:bCs/>
                <w:szCs w:val="18"/>
              </w:rPr>
            </w:pPr>
            <w:r>
              <w:rPr>
                <w:rFonts w:cs="Calibri"/>
                <w:b/>
                <w:bCs/>
                <w:szCs w:val="18"/>
              </w:rPr>
              <w:t>Administered</w:t>
            </w:r>
          </w:p>
        </w:tc>
        <w:tc>
          <w:tcPr>
            <w:tcW w:w="1176" w:type="dxa"/>
            <w:tcBorders>
              <w:top w:val="nil"/>
              <w:left w:val="single" w:sz="4" w:space="0" w:color="auto"/>
              <w:bottom w:val="single" w:sz="4" w:space="0" w:color="auto"/>
              <w:right w:val="single" w:sz="4" w:space="0" w:color="auto"/>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3836" w:type="dxa"/>
            <w:tcBorders>
              <w:top w:val="nil"/>
              <w:left w:val="single" w:sz="4" w:space="0" w:color="auto"/>
              <w:bottom w:val="single" w:sz="4" w:space="0" w:color="auto"/>
              <w:right w:val="single" w:sz="4" w:space="0" w:color="auto"/>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Payments made</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 -</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szCs w:val="18"/>
              </w:rPr>
            </w:pPr>
            <w:r>
              <w:rPr>
                <w:rFonts w:cs="Calibri"/>
                <w:szCs w:val="18"/>
              </w:rPr>
              <w:t>(70,950)</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b/>
                <w:bCs/>
                <w:szCs w:val="18"/>
              </w:rPr>
            </w:pPr>
            <w:r>
              <w:rPr>
                <w:rFonts w:cs="Calibri"/>
                <w:b/>
                <w:bCs/>
                <w:szCs w:val="18"/>
              </w:rPr>
              <w:t>(55,754)</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szCs w:val="18"/>
              </w:rPr>
            </w:pPr>
            <w:r>
              <w:rPr>
                <w:rFonts w:cs="Calibri"/>
                <w:szCs w:val="18"/>
              </w:rPr>
              <w:t>(146,463)</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(171)</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szCs w:val="18"/>
              </w:rPr>
            </w:pPr>
            <w:r>
              <w:rPr>
                <w:rFonts w:cs="Calibri"/>
                <w:szCs w:val="18"/>
              </w:rPr>
              <w:t>(80)</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 -</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3836" w:type="dxa"/>
            <w:tcBorders>
              <w:top w:val="nil"/>
              <w:left w:val="single" w:sz="4" w:space="0" w:color="auto"/>
              <w:bottom w:val="single" w:sz="4" w:space="0" w:color="auto"/>
              <w:right w:val="single" w:sz="4" w:space="0" w:color="auto"/>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Transfer through restructuring</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 -</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 -</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 -</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 -</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3836" w:type="dxa"/>
            <w:tcBorders>
              <w:top w:val="nil"/>
              <w:left w:val="single" w:sz="4" w:space="0" w:color="auto"/>
              <w:bottom w:val="single" w:sz="4" w:space="0" w:color="auto"/>
              <w:right w:val="nil"/>
            </w:tcBorders>
            <w:shd w:val="clear" w:color="000000" w:fill="D9D9D9"/>
            <w:vAlign w:val="bottom"/>
            <w:hideMark/>
          </w:tcPr>
          <w:p w:rsidR="003E6989" w:rsidRDefault="003E6989" w:rsidP="006A5410">
            <w:pPr>
              <w:rPr>
                <w:rFonts w:cs="Calibri"/>
                <w:b/>
                <w:bCs/>
                <w:szCs w:val="18"/>
              </w:rPr>
            </w:pPr>
            <w:r>
              <w:rPr>
                <w:rFonts w:cs="Calibri"/>
                <w:b/>
                <w:bCs/>
                <w:szCs w:val="18"/>
              </w:rPr>
              <w:t xml:space="preserve">Total Administered </w:t>
            </w:r>
          </w:p>
        </w:tc>
        <w:tc>
          <w:tcPr>
            <w:tcW w:w="1176" w:type="dxa"/>
            <w:tcBorders>
              <w:top w:val="nil"/>
              <w:left w:val="single" w:sz="4" w:space="0" w:color="auto"/>
              <w:bottom w:val="single" w:sz="4" w:space="0" w:color="auto"/>
              <w:right w:val="single" w:sz="4" w:space="0" w:color="auto"/>
            </w:tcBorders>
            <w:shd w:val="clear" w:color="000000" w:fill="D9D9D9"/>
            <w:noWrap/>
            <w:vAlign w:val="bottom"/>
            <w:hideMark/>
          </w:tcPr>
          <w:p w:rsidR="003E6989" w:rsidRDefault="003E6989" w:rsidP="006A5410">
            <w:pPr>
              <w:jc w:val="right"/>
              <w:rPr>
                <w:rFonts w:cs="Calibri"/>
                <w:b/>
                <w:bCs/>
                <w:szCs w:val="18"/>
              </w:rPr>
            </w:pPr>
            <w:r>
              <w:rPr>
                <w:rFonts w:cs="Calibri"/>
                <w:b/>
                <w:bCs/>
                <w:szCs w:val="18"/>
              </w:rPr>
              <w:t>-</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szCs w:val="18"/>
              </w:rPr>
            </w:pPr>
            <w:r>
              <w:rPr>
                <w:rFonts w:cs="Calibri"/>
                <w:szCs w:val="18"/>
              </w:rPr>
              <w:t>(70,950)</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b/>
                <w:bCs/>
                <w:szCs w:val="18"/>
              </w:rPr>
            </w:pPr>
            <w:r>
              <w:rPr>
                <w:rFonts w:cs="Calibri"/>
                <w:b/>
                <w:bCs/>
                <w:szCs w:val="18"/>
              </w:rPr>
              <w:t>(55,754)</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szCs w:val="18"/>
              </w:rPr>
            </w:pPr>
            <w:r>
              <w:rPr>
                <w:rFonts w:cs="Calibri"/>
                <w:szCs w:val="18"/>
              </w:rPr>
              <w:t>(146,463)</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(171)</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szCs w:val="18"/>
              </w:rPr>
            </w:pPr>
            <w:r>
              <w:rPr>
                <w:rFonts w:cs="Calibri"/>
                <w:szCs w:val="18"/>
              </w:rPr>
              <w:t>(80)</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b/>
                <w:bCs/>
                <w:szCs w:val="18"/>
              </w:rPr>
            </w:pPr>
            <w:r>
              <w:rPr>
                <w:rFonts w:cs="Calibri"/>
                <w:b/>
                <w:bCs/>
                <w:szCs w:val="18"/>
              </w:rPr>
              <w:t>-</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szCs w:val="18"/>
              </w:rPr>
            </w:pPr>
            <w:r>
              <w:rPr>
                <w:rFonts w:cs="Calibri"/>
                <w:szCs w:val="18"/>
              </w:rPr>
              <w:t>-</w:t>
            </w:r>
          </w:p>
        </w:tc>
      </w:tr>
      <w:tr w:rsidR="003E6989" w:rsidTr="006A5410">
        <w:trPr>
          <w:trHeight w:val="255"/>
        </w:trPr>
        <w:tc>
          <w:tcPr>
            <w:tcW w:w="3836" w:type="dxa"/>
            <w:tcBorders>
              <w:top w:val="nil"/>
              <w:left w:val="single" w:sz="4" w:space="0" w:color="auto"/>
              <w:bottom w:val="single" w:sz="4" w:space="0" w:color="auto"/>
              <w:right w:val="single" w:sz="4" w:space="0" w:color="auto"/>
            </w:tcBorders>
            <w:shd w:val="clear" w:color="FFFFFF" w:fill="FFFFFF"/>
            <w:vAlign w:val="bottom"/>
            <w:hideMark/>
          </w:tcPr>
          <w:p w:rsidR="003E6989" w:rsidRDefault="003E6989" w:rsidP="006A5410">
            <w:pPr>
              <w:rPr>
                <w:rFonts w:cs="Calibri"/>
                <w:b/>
                <w:bCs/>
                <w:i/>
                <w:iCs/>
                <w:szCs w:val="18"/>
              </w:rPr>
            </w:pPr>
            <w:r>
              <w:rPr>
                <w:rFonts w:cs="Calibri"/>
                <w:b/>
                <w:bCs/>
                <w:i/>
                <w:iCs/>
                <w:szCs w:val="18"/>
              </w:rPr>
              <w:t>Total decreases</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(70,950)</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(55,754)</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(146,463)</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(171)</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(80)</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r>
      <w:tr w:rsidR="003E6989" w:rsidTr="006A5410">
        <w:trPr>
          <w:trHeight w:val="255"/>
        </w:trPr>
        <w:tc>
          <w:tcPr>
            <w:tcW w:w="3836" w:type="dxa"/>
            <w:tcBorders>
              <w:top w:val="nil"/>
              <w:left w:val="single" w:sz="4" w:space="0" w:color="auto"/>
              <w:bottom w:val="single" w:sz="4" w:space="0" w:color="auto"/>
              <w:right w:val="single" w:sz="4" w:space="0" w:color="auto"/>
            </w:tcBorders>
            <w:shd w:val="clear" w:color="FFFFFF" w:fill="FFFFFF"/>
            <w:vAlign w:val="bottom"/>
            <w:hideMark/>
          </w:tcPr>
          <w:p w:rsidR="003E6989" w:rsidRDefault="003E6989" w:rsidP="006A5410">
            <w:pPr>
              <w:rPr>
                <w:rFonts w:cs="Calibri"/>
                <w:b/>
                <w:bCs/>
                <w:i/>
                <w:iCs/>
                <w:szCs w:val="18"/>
              </w:rPr>
            </w:pPr>
            <w:r>
              <w:rPr>
                <w:rFonts w:cs="Calibri"/>
                <w:b/>
                <w:bCs/>
                <w:i/>
                <w:iCs/>
                <w:szCs w:val="18"/>
              </w:rPr>
              <w:t>Total balance carried to the next period</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171</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4,757</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r>
    </w:tbl>
    <w:p w:rsidR="003E6989" w:rsidRDefault="003E6989" w:rsidP="003E6989">
      <w:pPr>
        <w:spacing w:line="240" w:lineRule="atLeast"/>
        <w:rPr>
          <w:b/>
        </w:rPr>
      </w:pPr>
      <w:bookmarkStart w:id="506" w:name="RANGE!D9:J30"/>
      <w:bookmarkEnd w:id="506"/>
      <w:r>
        <w:rPr>
          <w:b/>
        </w:rPr>
        <w:br w:type="page"/>
      </w:r>
    </w:p>
    <w:tbl>
      <w:tblPr>
        <w:tblW w:w="13991" w:type="dxa"/>
        <w:tblInd w:w="80" w:type="dxa"/>
        <w:tblLayout w:type="fixed"/>
        <w:tblLook w:val="04A0" w:firstRow="1" w:lastRow="0" w:firstColumn="1" w:lastColumn="0" w:noHBand="0" w:noVBand="1"/>
      </w:tblPr>
      <w:tblGrid>
        <w:gridCol w:w="4053"/>
        <w:gridCol w:w="1243"/>
        <w:gridCol w:w="1243"/>
        <w:gridCol w:w="1242"/>
        <w:gridCol w:w="1242"/>
        <w:gridCol w:w="1242"/>
        <w:gridCol w:w="1242"/>
        <w:gridCol w:w="1242"/>
        <w:gridCol w:w="1242"/>
      </w:tblGrid>
      <w:tr w:rsidR="003E6989" w:rsidTr="006A5410">
        <w:trPr>
          <w:trHeight w:val="578"/>
        </w:trPr>
        <w:tc>
          <w:tcPr>
            <w:tcW w:w="3836" w:type="dxa"/>
            <w:tcBorders>
              <w:top w:val="single" w:sz="4" w:space="0" w:color="auto"/>
              <w:left w:val="single" w:sz="4" w:space="0" w:color="auto"/>
              <w:bottom w:val="single" w:sz="4" w:space="0" w:color="auto"/>
              <w:right w:val="nil"/>
            </w:tcBorders>
            <w:shd w:val="clear" w:color="FFFFFF" w:fill="FFFFFF"/>
            <w:noWrap/>
            <w:vAlign w:val="bottom"/>
            <w:hideMark/>
          </w:tcPr>
          <w:p w:rsidR="003E6989" w:rsidRDefault="003E6989" w:rsidP="006A5410">
            <w:pPr>
              <w:rPr>
                <w:rFonts w:cs="Calibri"/>
                <w:b/>
                <w:bCs/>
                <w:szCs w:val="18"/>
              </w:rPr>
            </w:pPr>
            <w:bookmarkStart w:id="507" w:name="Note_SACTABLE2" w:colFirst="0" w:colLast="0"/>
            <w:r>
              <w:rPr>
                <w:rFonts w:cs="Calibri"/>
                <w:b/>
                <w:bCs/>
                <w:szCs w:val="18"/>
              </w:rPr>
              <w:t> </w:t>
            </w:r>
          </w:p>
        </w:tc>
        <w:tc>
          <w:tcPr>
            <w:tcW w:w="2352" w:type="dxa"/>
            <w:gridSpan w:val="2"/>
            <w:tcBorders>
              <w:top w:val="single" w:sz="4" w:space="0" w:color="auto"/>
              <w:left w:val="single" w:sz="4" w:space="0" w:color="auto"/>
              <w:bottom w:val="single" w:sz="4" w:space="0" w:color="auto"/>
              <w:right w:val="single" w:sz="4" w:space="0" w:color="000000"/>
            </w:tcBorders>
            <w:shd w:val="clear" w:color="FFFFFF" w:fill="FFFFFF"/>
            <w:hideMark/>
          </w:tcPr>
          <w:p w:rsidR="003E6989" w:rsidRDefault="003E6989" w:rsidP="006A5410">
            <w:pPr>
              <w:jc w:val="center"/>
              <w:rPr>
                <w:rFonts w:cs="Calibri"/>
                <w:b/>
                <w:bCs/>
                <w:szCs w:val="18"/>
              </w:rPr>
            </w:pPr>
            <w:r>
              <w:rPr>
                <w:rFonts w:cs="Calibri"/>
                <w:b/>
                <w:bCs/>
                <w:szCs w:val="18"/>
              </w:rPr>
              <w:t>Early Years Quality Fund</w:t>
            </w:r>
            <w:r>
              <w:rPr>
                <w:rFonts w:cs="Calibri"/>
                <w:b/>
                <w:bCs/>
                <w:szCs w:val="18"/>
                <w:vertAlign w:val="superscript"/>
              </w:rPr>
              <w:t>5</w:t>
            </w:r>
          </w:p>
        </w:tc>
        <w:tc>
          <w:tcPr>
            <w:tcW w:w="2352" w:type="dxa"/>
            <w:gridSpan w:val="2"/>
            <w:tcBorders>
              <w:top w:val="single" w:sz="4" w:space="0" w:color="auto"/>
              <w:left w:val="nil"/>
              <w:bottom w:val="single" w:sz="4" w:space="0" w:color="auto"/>
              <w:right w:val="single" w:sz="4" w:space="0" w:color="000000"/>
            </w:tcBorders>
            <w:shd w:val="clear" w:color="FFFFFF" w:fill="FFFFFF"/>
            <w:hideMark/>
          </w:tcPr>
          <w:p w:rsidR="003E6989" w:rsidRDefault="003E6989" w:rsidP="006A5410">
            <w:pPr>
              <w:jc w:val="center"/>
              <w:rPr>
                <w:rFonts w:cs="Calibri"/>
                <w:b/>
                <w:bCs/>
                <w:szCs w:val="18"/>
              </w:rPr>
            </w:pPr>
            <w:r>
              <w:rPr>
                <w:rFonts w:cs="Calibri"/>
                <w:b/>
                <w:bCs/>
                <w:szCs w:val="18"/>
              </w:rPr>
              <w:t>Overseas Student Tuition Fund</w:t>
            </w:r>
            <w:r>
              <w:rPr>
                <w:rFonts w:cs="Calibri"/>
                <w:b/>
                <w:bCs/>
                <w:szCs w:val="18"/>
                <w:vertAlign w:val="superscript"/>
              </w:rPr>
              <w:t>6</w:t>
            </w:r>
          </w:p>
        </w:tc>
        <w:tc>
          <w:tcPr>
            <w:tcW w:w="2352" w:type="dxa"/>
            <w:gridSpan w:val="2"/>
            <w:tcBorders>
              <w:top w:val="single" w:sz="4" w:space="0" w:color="auto"/>
              <w:left w:val="nil"/>
              <w:bottom w:val="single" w:sz="4" w:space="0" w:color="auto"/>
              <w:right w:val="single" w:sz="4" w:space="0" w:color="000000"/>
            </w:tcBorders>
            <w:shd w:val="clear" w:color="FFFFFF" w:fill="FFFFFF"/>
            <w:hideMark/>
          </w:tcPr>
          <w:p w:rsidR="003E6989" w:rsidRDefault="003E6989" w:rsidP="006A5410">
            <w:pPr>
              <w:jc w:val="center"/>
              <w:rPr>
                <w:rFonts w:cs="Calibri"/>
                <w:b/>
                <w:bCs/>
                <w:szCs w:val="18"/>
              </w:rPr>
            </w:pPr>
            <w:r>
              <w:rPr>
                <w:rFonts w:cs="Calibri"/>
                <w:b/>
                <w:bCs/>
                <w:szCs w:val="18"/>
              </w:rPr>
              <w:t>Unique Student Identifier</w:t>
            </w:r>
            <w:r>
              <w:rPr>
                <w:rFonts w:cs="Calibri"/>
                <w:b/>
                <w:bCs/>
                <w:szCs w:val="18"/>
                <w:vertAlign w:val="superscript"/>
              </w:rPr>
              <w:t>7</w:t>
            </w:r>
          </w:p>
        </w:tc>
        <w:tc>
          <w:tcPr>
            <w:tcW w:w="2352" w:type="dxa"/>
            <w:gridSpan w:val="2"/>
            <w:tcBorders>
              <w:top w:val="single" w:sz="4" w:space="0" w:color="auto"/>
              <w:left w:val="nil"/>
              <w:bottom w:val="single" w:sz="4" w:space="0" w:color="auto"/>
              <w:right w:val="single" w:sz="4" w:space="0" w:color="000000"/>
            </w:tcBorders>
            <w:shd w:val="clear" w:color="000000" w:fill="FFFFFF"/>
            <w:hideMark/>
          </w:tcPr>
          <w:p w:rsidR="003E6989" w:rsidRDefault="003E6989" w:rsidP="006A5410">
            <w:pPr>
              <w:jc w:val="center"/>
              <w:rPr>
                <w:rFonts w:cs="Calibri"/>
                <w:b/>
                <w:bCs/>
                <w:szCs w:val="18"/>
              </w:rPr>
            </w:pPr>
            <w:r>
              <w:rPr>
                <w:rFonts w:cs="Calibri"/>
                <w:b/>
                <w:bCs/>
                <w:szCs w:val="18"/>
              </w:rPr>
              <w:t>Services for Other Entities and Trust Money</w:t>
            </w:r>
            <w:r>
              <w:rPr>
                <w:rFonts w:cs="Calibri"/>
                <w:b/>
                <w:bCs/>
                <w:szCs w:val="18"/>
                <w:vertAlign w:val="superscript"/>
              </w:rPr>
              <w:t>8</w:t>
            </w:r>
          </w:p>
        </w:tc>
      </w:tr>
      <w:bookmarkEnd w:id="507"/>
      <w:tr w:rsidR="003E6989" w:rsidTr="006A5410">
        <w:trPr>
          <w:trHeight w:val="255"/>
        </w:trPr>
        <w:tc>
          <w:tcPr>
            <w:tcW w:w="3836" w:type="dxa"/>
            <w:vMerge w:val="restart"/>
            <w:tcBorders>
              <w:top w:val="nil"/>
              <w:left w:val="single" w:sz="4" w:space="0" w:color="auto"/>
              <w:bottom w:val="single" w:sz="4" w:space="0" w:color="auto"/>
              <w:right w:val="nil"/>
            </w:tcBorders>
            <w:shd w:val="clear" w:color="FFFFFF" w:fill="FFFFFF"/>
            <w:noWrap/>
            <w:vAlign w:val="bottom"/>
            <w:hideMark/>
          </w:tcPr>
          <w:p w:rsidR="003E6989" w:rsidRDefault="003E6989" w:rsidP="006A5410">
            <w:pPr>
              <w:rPr>
                <w:rFonts w:cs="Calibri"/>
                <w:b/>
                <w:bCs/>
                <w:szCs w:val="18"/>
              </w:rPr>
            </w:pPr>
            <w:r>
              <w:rPr>
                <w:rFonts w:cs="Calibri"/>
                <w:b/>
                <w:bCs/>
                <w:szCs w:val="18"/>
              </w:rPr>
              <w:t> </w:t>
            </w:r>
          </w:p>
        </w:tc>
        <w:tc>
          <w:tcPr>
            <w:tcW w:w="1176" w:type="dxa"/>
            <w:tcBorders>
              <w:top w:val="nil"/>
              <w:left w:val="single" w:sz="4" w:space="0" w:color="auto"/>
              <w:bottom w:val="single" w:sz="4" w:space="0" w:color="auto"/>
              <w:right w:val="single" w:sz="4" w:space="0" w:color="auto"/>
            </w:tcBorders>
            <w:shd w:val="clear" w:color="FFFFFF" w:fill="FFFFFF"/>
            <w:vAlign w:val="bottom"/>
            <w:hideMark/>
          </w:tcPr>
          <w:p w:rsidR="003E6989" w:rsidRDefault="003E6989" w:rsidP="006A5410">
            <w:pPr>
              <w:jc w:val="right"/>
              <w:rPr>
                <w:rFonts w:cs="Calibri"/>
                <w:b/>
                <w:bCs/>
                <w:szCs w:val="18"/>
              </w:rPr>
            </w:pPr>
            <w:r>
              <w:rPr>
                <w:rFonts w:cs="Calibri"/>
                <w:b/>
                <w:bCs/>
                <w:szCs w:val="18"/>
              </w:rPr>
              <w:t>2016</w:t>
            </w:r>
          </w:p>
        </w:tc>
        <w:tc>
          <w:tcPr>
            <w:tcW w:w="117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szCs w:val="18"/>
              </w:rPr>
            </w:pPr>
            <w:r>
              <w:rPr>
                <w:rFonts w:cs="Calibri"/>
                <w:szCs w:val="18"/>
              </w:rPr>
              <w:t>2015</w:t>
            </w:r>
          </w:p>
        </w:tc>
        <w:tc>
          <w:tcPr>
            <w:tcW w:w="117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b/>
                <w:bCs/>
                <w:szCs w:val="18"/>
              </w:rPr>
            </w:pPr>
            <w:r>
              <w:rPr>
                <w:rFonts w:cs="Calibri"/>
                <w:b/>
                <w:bCs/>
                <w:szCs w:val="18"/>
              </w:rPr>
              <w:t>2016</w:t>
            </w:r>
          </w:p>
        </w:tc>
        <w:tc>
          <w:tcPr>
            <w:tcW w:w="117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szCs w:val="18"/>
              </w:rPr>
            </w:pPr>
            <w:r>
              <w:rPr>
                <w:rFonts w:cs="Calibri"/>
                <w:szCs w:val="18"/>
              </w:rPr>
              <w:t>2015</w:t>
            </w:r>
          </w:p>
        </w:tc>
        <w:tc>
          <w:tcPr>
            <w:tcW w:w="117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b/>
                <w:bCs/>
                <w:szCs w:val="18"/>
              </w:rPr>
            </w:pPr>
            <w:r>
              <w:rPr>
                <w:rFonts w:cs="Calibri"/>
                <w:b/>
                <w:bCs/>
                <w:szCs w:val="18"/>
              </w:rPr>
              <w:t>2016</w:t>
            </w:r>
          </w:p>
        </w:tc>
        <w:tc>
          <w:tcPr>
            <w:tcW w:w="117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szCs w:val="18"/>
              </w:rPr>
            </w:pPr>
            <w:r>
              <w:rPr>
                <w:rFonts w:cs="Calibri"/>
                <w:szCs w:val="18"/>
              </w:rPr>
              <w:t>2015</w:t>
            </w:r>
          </w:p>
        </w:tc>
        <w:tc>
          <w:tcPr>
            <w:tcW w:w="1176" w:type="dxa"/>
            <w:tcBorders>
              <w:top w:val="nil"/>
              <w:left w:val="nil"/>
              <w:bottom w:val="single" w:sz="4" w:space="0" w:color="auto"/>
              <w:right w:val="single" w:sz="4" w:space="0" w:color="auto"/>
            </w:tcBorders>
            <w:shd w:val="clear" w:color="000000" w:fill="FFFFFF"/>
            <w:vAlign w:val="bottom"/>
            <w:hideMark/>
          </w:tcPr>
          <w:p w:rsidR="003E6989" w:rsidRDefault="003E6989" w:rsidP="006A5410">
            <w:pPr>
              <w:jc w:val="right"/>
              <w:rPr>
                <w:rFonts w:cs="Calibri"/>
                <w:b/>
                <w:bCs/>
                <w:szCs w:val="18"/>
              </w:rPr>
            </w:pPr>
            <w:r>
              <w:rPr>
                <w:rFonts w:cs="Calibri"/>
                <w:b/>
                <w:bCs/>
                <w:szCs w:val="18"/>
              </w:rPr>
              <w:t>2016</w:t>
            </w:r>
          </w:p>
        </w:tc>
        <w:tc>
          <w:tcPr>
            <w:tcW w:w="1176" w:type="dxa"/>
            <w:tcBorders>
              <w:top w:val="nil"/>
              <w:left w:val="nil"/>
              <w:bottom w:val="single" w:sz="4" w:space="0" w:color="auto"/>
              <w:right w:val="single" w:sz="4" w:space="0" w:color="auto"/>
            </w:tcBorders>
            <w:shd w:val="clear" w:color="000000" w:fill="FFFFFF"/>
            <w:vAlign w:val="bottom"/>
            <w:hideMark/>
          </w:tcPr>
          <w:p w:rsidR="003E6989" w:rsidRDefault="003E6989" w:rsidP="006A5410">
            <w:pPr>
              <w:jc w:val="right"/>
              <w:rPr>
                <w:rFonts w:cs="Calibri"/>
                <w:szCs w:val="18"/>
              </w:rPr>
            </w:pPr>
            <w:r>
              <w:rPr>
                <w:rFonts w:cs="Calibri"/>
                <w:szCs w:val="18"/>
              </w:rPr>
              <w:t>2015</w:t>
            </w:r>
          </w:p>
        </w:tc>
      </w:tr>
      <w:tr w:rsidR="003E6989" w:rsidTr="006A5410">
        <w:trPr>
          <w:trHeight w:val="255"/>
        </w:trPr>
        <w:tc>
          <w:tcPr>
            <w:tcW w:w="3836" w:type="dxa"/>
            <w:vMerge/>
            <w:tcBorders>
              <w:top w:val="nil"/>
              <w:left w:val="single" w:sz="4" w:space="0" w:color="auto"/>
              <w:bottom w:val="single" w:sz="4" w:space="0" w:color="auto"/>
              <w:right w:val="nil"/>
            </w:tcBorders>
            <w:vAlign w:val="center"/>
            <w:hideMark/>
          </w:tcPr>
          <w:p w:rsidR="003E6989" w:rsidRDefault="003E6989" w:rsidP="006A5410">
            <w:pPr>
              <w:rPr>
                <w:rFonts w:cs="Calibri"/>
                <w:b/>
                <w:bCs/>
                <w:szCs w:val="18"/>
              </w:rPr>
            </w:pPr>
          </w:p>
        </w:tc>
        <w:tc>
          <w:tcPr>
            <w:tcW w:w="1176" w:type="dxa"/>
            <w:tcBorders>
              <w:top w:val="nil"/>
              <w:left w:val="single" w:sz="4" w:space="0" w:color="auto"/>
              <w:bottom w:val="single" w:sz="4" w:space="0" w:color="auto"/>
              <w:right w:val="single" w:sz="4" w:space="0" w:color="auto"/>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117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szCs w:val="18"/>
              </w:rPr>
            </w:pPr>
            <w:r>
              <w:rPr>
                <w:rFonts w:cs="Calibri"/>
                <w:szCs w:val="18"/>
              </w:rPr>
              <w:t>$'000</w:t>
            </w:r>
          </w:p>
        </w:tc>
        <w:tc>
          <w:tcPr>
            <w:tcW w:w="117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117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szCs w:val="18"/>
              </w:rPr>
            </w:pPr>
            <w:r>
              <w:rPr>
                <w:rFonts w:cs="Calibri"/>
                <w:szCs w:val="18"/>
              </w:rPr>
              <w:t>$'000</w:t>
            </w:r>
          </w:p>
        </w:tc>
        <w:tc>
          <w:tcPr>
            <w:tcW w:w="117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117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szCs w:val="18"/>
              </w:rPr>
            </w:pPr>
            <w:r>
              <w:rPr>
                <w:rFonts w:cs="Calibri"/>
                <w:szCs w:val="18"/>
              </w:rPr>
              <w:t>$'000</w:t>
            </w:r>
          </w:p>
        </w:tc>
        <w:tc>
          <w:tcPr>
            <w:tcW w:w="117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1176"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3836" w:type="dxa"/>
            <w:tcBorders>
              <w:top w:val="nil"/>
              <w:left w:val="single" w:sz="4" w:space="0" w:color="auto"/>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Balance brought forward from previous period</w:t>
            </w:r>
          </w:p>
        </w:tc>
        <w:tc>
          <w:tcPr>
            <w:tcW w:w="1176"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72,297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19,869</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12,157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2,286</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6,476</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6,588 </w:t>
            </w:r>
          </w:p>
        </w:tc>
      </w:tr>
      <w:tr w:rsidR="003E6989" w:rsidTr="006A5410">
        <w:trPr>
          <w:trHeight w:val="255"/>
        </w:trPr>
        <w:tc>
          <w:tcPr>
            <w:tcW w:w="3836" w:type="dxa"/>
            <w:tcBorders>
              <w:top w:val="nil"/>
              <w:left w:val="single" w:sz="4" w:space="0" w:color="auto"/>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Increases</w:t>
            </w:r>
          </w:p>
        </w:tc>
        <w:tc>
          <w:tcPr>
            <w:tcW w:w="1176"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117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1176"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117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1176"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117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1176"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3836" w:type="dxa"/>
            <w:tcBorders>
              <w:top w:val="nil"/>
              <w:left w:val="single" w:sz="4" w:space="0" w:color="auto"/>
              <w:bottom w:val="single" w:sz="4" w:space="0" w:color="auto"/>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Appropriations credited to special account</w:t>
            </w:r>
          </w:p>
        </w:tc>
        <w:tc>
          <w:tcPr>
            <w:tcW w:w="1176"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1176" w:type="dxa"/>
            <w:tcBorders>
              <w:top w:val="single" w:sz="4" w:space="0" w:color="auto"/>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1176" w:type="dxa"/>
            <w:tcBorders>
              <w:top w:val="single" w:sz="4" w:space="0" w:color="auto"/>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1,250 </w:t>
            </w:r>
          </w:p>
        </w:tc>
        <w:tc>
          <w:tcPr>
            <w:tcW w:w="1176" w:type="dxa"/>
            <w:tcBorders>
              <w:top w:val="single" w:sz="4" w:space="0" w:color="auto"/>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3,508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3836" w:type="dxa"/>
            <w:tcBorders>
              <w:top w:val="nil"/>
              <w:left w:val="single" w:sz="4" w:space="0" w:color="auto"/>
              <w:bottom w:val="single" w:sz="4" w:space="0" w:color="auto"/>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Receipts</w:t>
            </w:r>
          </w:p>
        </w:tc>
        <w:tc>
          <w:tcPr>
            <w:tcW w:w="1176"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598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10,126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8,591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1,154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886 </w:t>
            </w:r>
          </w:p>
        </w:tc>
      </w:tr>
      <w:tr w:rsidR="003E6989" w:rsidTr="006A5410">
        <w:trPr>
          <w:trHeight w:val="255"/>
        </w:trPr>
        <w:tc>
          <w:tcPr>
            <w:tcW w:w="3836" w:type="dxa"/>
            <w:tcBorders>
              <w:top w:val="nil"/>
              <w:left w:val="single" w:sz="4" w:space="0" w:color="auto"/>
              <w:bottom w:val="single" w:sz="4" w:space="0" w:color="auto"/>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Transfer through restructuring</w:t>
            </w:r>
          </w:p>
        </w:tc>
        <w:tc>
          <w:tcPr>
            <w:tcW w:w="1176"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2,186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424 </w:t>
            </w:r>
          </w:p>
        </w:tc>
      </w:tr>
      <w:tr w:rsidR="003E6989" w:rsidTr="006A5410">
        <w:trPr>
          <w:trHeight w:val="255"/>
        </w:trPr>
        <w:tc>
          <w:tcPr>
            <w:tcW w:w="3836" w:type="dxa"/>
            <w:tcBorders>
              <w:top w:val="nil"/>
              <w:left w:val="single" w:sz="4" w:space="0" w:color="auto"/>
              <w:bottom w:val="single" w:sz="4" w:space="0" w:color="auto"/>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increases</w:t>
            </w:r>
          </w:p>
        </w:tc>
        <w:tc>
          <w:tcPr>
            <w:tcW w:w="1176"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598</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10,126</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8,591</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1,250</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5,694</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1,154</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1,310</w:t>
            </w:r>
          </w:p>
        </w:tc>
      </w:tr>
      <w:tr w:rsidR="003E6989" w:rsidTr="006A5410">
        <w:trPr>
          <w:trHeight w:val="255"/>
        </w:trPr>
        <w:tc>
          <w:tcPr>
            <w:tcW w:w="3836" w:type="dxa"/>
            <w:tcBorders>
              <w:top w:val="nil"/>
              <w:left w:val="single" w:sz="4" w:space="0" w:color="auto"/>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Available for payments</w:t>
            </w:r>
          </w:p>
        </w:tc>
        <w:tc>
          <w:tcPr>
            <w:tcW w:w="1176"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598</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72,297</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29,995</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20,748</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3,536</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5,694</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7,630</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7,898</w:t>
            </w:r>
          </w:p>
        </w:tc>
      </w:tr>
      <w:tr w:rsidR="003E6989" w:rsidTr="006A5410">
        <w:trPr>
          <w:trHeight w:val="255"/>
        </w:trPr>
        <w:tc>
          <w:tcPr>
            <w:tcW w:w="3836" w:type="dxa"/>
            <w:tcBorders>
              <w:top w:val="nil"/>
              <w:left w:val="single" w:sz="4" w:space="0" w:color="auto"/>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Decreases</w:t>
            </w:r>
          </w:p>
        </w:tc>
        <w:tc>
          <w:tcPr>
            <w:tcW w:w="1176"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3836" w:type="dxa"/>
            <w:tcBorders>
              <w:top w:val="nil"/>
              <w:left w:val="single" w:sz="4" w:space="0" w:color="auto"/>
              <w:bottom w:val="single" w:sz="4" w:space="0" w:color="auto"/>
              <w:right w:val="nil"/>
            </w:tcBorders>
            <w:shd w:val="clear" w:color="FFFFFF" w:fill="FFFFFF"/>
            <w:noWrap/>
            <w:vAlign w:val="bottom"/>
            <w:hideMark/>
          </w:tcPr>
          <w:p w:rsidR="003E6989" w:rsidRDefault="003E6989" w:rsidP="006A5410">
            <w:pPr>
              <w:rPr>
                <w:rFonts w:cs="Calibri"/>
                <w:b/>
                <w:bCs/>
                <w:szCs w:val="18"/>
              </w:rPr>
            </w:pPr>
            <w:r>
              <w:rPr>
                <w:rFonts w:cs="Calibri"/>
                <w:b/>
                <w:bCs/>
                <w:szCs w:val="18"/>
              </w:rPr>
              <w:t>Departmental</w:t>
            </w:r>
          </w:p>
        </w:tc>
        <w:tc>
          <w:tcPr>
            <w:tcW w:w="1176"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3836" w:type="dxa"/>
            <w:tcBorders>
              <w:top w:val="nil"/>
              <w:left w:val="single" w:sz="4" w:space="0" w:color="auto"/>
              <w:bottom w:val="single" w:sz="4" w:space="0" w:color="auto"/>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Other Payments</w:t>
            </w:r>
          </w:p>
        </w:tc>
        <w:tc>
          <w:tcPr>
            <w:tcW w:w="1176"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(3,408)</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3836" w:type="dxa"/>
            <w:tcBorders>
              <w:top w:val="nil"/>
              <w:left w:val="single" w:sz="4" w:space="0" w:color="auto"/>
              <w:bottom w:val="single" w:sz="4" w:space="0" w:color="auto"/>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Departmental</w:t>
            </w:r>
          </w:p>
        </w:tc>
        <w:tc>
          <w:tcPr>
            <w:tcW w:w="1176"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(3,408)</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r>
      <w:tr w:rsidR="003E6989" w:rsidTr="006A5410">
        <w:trPr>
          <w:trHeight w:val="255"/>
        </w:trPr>
        <w:tc>
          <w:tcPr>
            <w:tcW w:w="3836" w:type="dxa"/>
            <w:tcBorders>
              <w:top w:val="nil"/>
              <w:left w:val="single" w:sz="4" w:space="0" w:color="auto"/>
              <w:bottom w:val="single" w:sz="4" w:space="0" w:color="auto"/>
              <w:right w:val="nil"/>
            </w:tcBorders>
            <w:shd w:val="clear" w:color="000000" w:fill="D9D9D9"/>
            <w:vAlign w:val="bottom"/>
            <w:hideMark/>
          </w:tcPr>
          <w:p w:rsidR="003E6989" w:rsidRDefault="003E6989" w:rsidP="006A5410">
            <w:pPr>
              <w:rPr>
                <w:rFonts w:cs="Calibri"/>
                <w:b/>
                <w:bCs/>
                <w:szCs w:val="18"/>
              </w:rPr>
            </w:pPr>
            <w:r>
              <w:rPr>
                <w:rFonts w:cs="Calibri"/>
                <w:b/>
                <w:bCs/>
                <w:szCs w:val="18"/>
              </w:rPr>
              <w:t>Administered</w:t>
            </w:r>
          </w:p>
        </w:tc>
        <w:tc>
          <w:tcPr>
            <w:tcW w:w="1176" w:type="dxa"/>
            <w:tcBorders>
              <w:top w:val="nil"/>
              <w:left w:val="single" w:sz="4" w:space="0" w:color="auto"/>
              <w:bottom w:val="single" w:sz="4" w:space="0" w:color="auto"/>
              <w:right w:val="single" w:sz="4" w:space="0" w:color="auto"/>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3836" w:type="dxa"/>
            <w:tcBorders>
              <w:top w:val="nil"/>
              <w:left w:val="single" w:sz="4" w:space="0" w:color="auto"/>
              <w:bottom w:val="single" w:sz="4" w:space="0" w:color="auto"/>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Payments made</w:t>
            </w:r>
          </w:p>
        </w:tc>
        <w:tc>
          <w:tcPr>
            <w:tcW w:w="1176" w:type="dxa"/>
            <w:tcBorders>
              <w:top w:val="nil"/>
              <w:left w:val="single" w:sz="4" w:space="0" w:color="auto"/>
              <w:bottom w:val="single" w:sz="4" w:space="0" w:color="auto"/>
              <w:right w:val="single" w:sz="4" w:space="0" w:color="auto"/>
            </w:tcBorders>
            <w:shd w:val="clear" w:color="000000" w:fill="D9D9D9"/>
            <w:noWrap/>
            <w:vAlign w:val="bottom"/>
            <w:hideMark/>
          </w:tcPr>
          <w:p w:rsidR="003E6989" w:rsidRDefault="003E6989" w:rsidP="006A5410">
            <w:pPr>
              <w:jc w:val="right"/>
              <w:rPr>
                <w:rFonts w:cs="Calibri"/>
                <w:b/>
                <w:bCs/>
                <w:szCs w:val="18"/>
              </w:rPr>
            </w:pPr>
            <w:r>
              <w:rPr>
                <w:rFonts w:cs="Calibri"/>
                <w:b/>
                <w:bCs/>
                <w:szCs w:val="18"/>
              </w:rPr>
              <w:t>(68,607)</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szCs w:val="18"/>
              </w:rPr>
            </w:pPr>
            <w:r>
              <w:rPr>
                <w:rFonts w:cs="Calibri"/>
                <w:szCs w:val="18"/>
              </w:rPr>
              <w:t>(47,588)</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(1,828)</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szCs w:val="18"/>
              </w:rPr>
            </w:pPr>
            <w:r>
              <w:rPr>
                <w:rFonts w:cs="Calibri"/>
                <w:szCs w:val="18"/>
              </w:rPr>
              <w:t>(879)</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 -</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(2,527)</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szCs w:val="18"/>
              </w:rPr>
            </w:pPr>
            <w:r>
              <w:rPr>
                <w:rFonts w:cs="Calibri"/>
                <w:szCs w:val="18"/>
              </w:rPr>
              <w:t>(1,422)</w:t>
            </w:r>
          </w:p>
        </w:tc>
      </w:tr>
      <w:tr w:rsidR="003E6989" w:rsidTr="006A5410">
        <w:trPr>
          <w:trHeight w:val="255"/>
        </w:trPr>
        <w:tc>
          <w:tcPr>
            <w:tcW w:w="3836" w:type="dxa"/>
            <w:tcBorders>
              <w:top w:val="nil"/>
              <w:left w:val="single" w:sz="4" w:space="0" w:color="auto"/>
              <w:bottom w:val="single" w:sz="4" w:space="0" w:color="auto"/>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Transfer through restructuring</w:t>
            </w:r>
          </w:p>
        </w:tc>
        <w:tc>
          <w:tcPr>
            <w:tcW w:w="1176" w:type="dxa"/>
            <w:tcBorders>
              <w:top w:val="nil"/>
              <w:left w:val="single" w:sz="4" w:space="0" w:color="auto"/>
              <w:bottom w:val="single" w:sz="4" w:space="0" w:color="auto"/>
              <w:right w:val="single" w:sz="4" w:space="0" w:color="auto"/>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102,048 </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szCs w:val="18"/>
              </w:rPr>
            </w:pPr>
            <w:r>
              <w:rPr>
                <w:rFonts w:cs="Calibri"/>
                <w:szCs w:val="18"/>
              </w:rPr>
              <w:t>(24,709)</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 -</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 -</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22 </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3836" w:type="dxa"/>
            <w:tcBorders>
              <w:top w:val="nil"/>
              <w:left w:val="single" w:sz="4" w:space="0" w:color="auto"/>
              <w:bottom w:val="single" w:sz="4" w:space="0" w:color="auto"/>
              <w:right w:val="nil"/>
            </w:tcBorders>
            <w:shd w:val="clear" w:color="000000" w:fill="D9D9D9"/>
            <w:vAlign w:val="bottom"/>
            <w:hideMark/>
          </w:tcPr>
          <w:p w:rsidR="003E6989" w:rsidRDefault="003E6989" w:rsidP="006A5410">
            <w:pPr>
              <w:rPr>
                <w:rFonts w:cs="Calibri"/>
                <w:b/>
                <w:bCs/>
                <w:szCs w:val="18"/>
              </w:rPr>
            </w:pPr>
            <w:r>
              <w:rPr>
                <w:rFonts w:cs="Calibri"/>
                <w:b/>
                <w:bCs/>
                <w:szCs w:val="18"/>
              </w:rPr>
              <w:t>Total Administered</w:t>
            </w:r>
          </w:p>
        </w:tc>
        <w:tc>
          <w:tcPr>
            <w:tcW w:w="1176" w:type="dxa"/>
            <w:tcBorders>
              <w:top w:val="nil"/>
              <w:left w:val="single" w:sz="4" w:space="0" w:color="auto"/>
              <w:bottom w:val="single" w:sz="4" w:space="0" w:color="auto"/>
              <w:right w:val="single" w:sz="4" w:space="0" w:color="auto"/>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33,441</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szCs w:val="18"/>
              </w:rPr>
            </w:pPr>
            <w:r>
              <w:rPr>
                <w:rFonts w:cs="Calibri"/>
                <w:szCs w:val="18"/>
              </w:rPr>
              <w:t>(72,297)</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(1,828)</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szCs w:val="18"/>
              </w:rPr>
            </w:pPr>
            <w:r>
              <w:rPr>
                <w:rFonts w:cs="Calibri"/>
                <w:szCs w:val="18"/>
              </w:rPr>
              <w:t>(879)</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b/>
                <w:bCs/>
                <w:szCs w:val="18"/>
              </w:rPr>
            </w:pPr>
            <w:r>
              <w:rPr>
                <w:rFonts w:cs="Calibri"/>
                <w:b/>
                <w:bCs/>
                <w:szCs w:val="18"/>
              </w:rPr>
              <w:t>-</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szCs w:val="18"/>
              </w:rPr>
            </w:pPr>
            <w:r>
              <w:rPr>
                <w:rFonts w:cs="Calibri"/>
                <w:szCs w:val="18"/>
              </w:rPr>
              <w:t>-</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(2,505)</w:t>
            </w:r>
          </w:p>
        </w:tc>
        <w:tc>
          <w:tcPr>
            <w:tcW w:w="1176"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jc w:val="right"/>
              <w:rPr>
                <w:rFonts w:cs="Calibri"/>
                <w:szCs w:val="18"/>
              </w:rPr>
            </w:pPr>
            <w:r>
              <w:rPr>
                <w:rFonts w:cs="Calibri"/>
                <w:szCs w:val="18"/>
              </w:rPr>
              <w:t>(1,422)</w:t>
            </w:r>
          </w:p>
        </w:tc>
      </w:tr>
      <w:tr w:rsidR="003E6989" w:rsidTr="006A5410">
        <w:trPr>
          <w:trHeight w:val="255"/>
        </w:trPr>
        <w:tc>
          <w:tcPr>
            <w:tcW w:w="3836" w:type="dxa"/>
            <w:tcBorders>
              <w:top w:val="nil"/>
              <w:left w:val="single" w:sz="4" w:space="0" w:color="auto"/>
              <w:bottom w:val="single" w:sz="4" w:space="0" w:color="auto"/>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decreases</w:t>
            </w:r>
          </w:p>
        </w:tc>
        <w:tc>
          <w:tcPr>
            <w:tcW w:w="1176"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33,441</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(72,297)</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(1,828)</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(879)</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(3,408)</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(2,505)</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(1,422)</w:t>
            </w:r>
          </w:p>
        </w:tc>
      </w:tr>
      <w:tr w:rsidR="003E6989" w:rsidTr="006A5410">
        <w:trPr>
          <w:trHeight w:val="255"/>
        </w:trPr>
        <w:tc>
          <w:tcPr>
            <w:tcW w:w="3836" w:type="dxa"/>
            <w:tcBorders>
              <w:top w:val="nil"/>
              <w:left w:val="single" w:sz="4" w:space="0" w:color="auto"/>
              <w:bottom w:val="single" w:sz="4" w:space="0" w:color="auto"/>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balance carried to the next period</w:t>
            </w:r>
          </w:p>
        </w:tc>
        <w:tc>
          <w:tcPr>
            <w:tcW w:w="1176"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34,039</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28,167</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19,869</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3,536</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2,286</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b/>
                <w:bCs/>
                <w:szCs w:val="18"/>
              </w:rPr>
            </w:pPr>
            <w:r>
              <w:rPr>
                <w:rFonts w:cs="Calibri"/>
                <w:b/>
                <w:bCs/>
                <w:szCs w:val="18"/>
              </w:rPr>
              <w:t>5,125</w:t>
            </w:r>
          </w:p>
        </w:tc>
        <w:tc>
          <w:tcPr>
            <w:tcW w:w="1176"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jc w:val="right"/>
              <w:rPr>
                <w:rFonts w:cs="Calibri"/>
                <w:szCs w:val="18"/>
              </w:rPr>
            </w:pPr>
            <w:r>
              <w:rPr>
                <w:rFonts w:cs="Calibri"/>
                <w:szCs w:val="18"/>
              </w:rPr>
              <w:t>6,476</w:t>
            </w:r>
          </w:p>
        </w:tc>
      </w:tr>
    </w:tbl>
    <w:p w:rsidR="003E6989" w:rsidRDefault="003E6989" w:rsidP="003E6989">
      <w:pPr>
        <w:spacing w:line="240" w:lineRule="auto"/>
        <w:rPr>
          <w:rFonts w:cs="Arial"/>
          <w:iCs/>
          <w:szCs w:val="18"/>
          <w:lang w:eastAsia="en-AU"/>
        </w:rPr>
      </w:pPr>
      <w:bookmarkStart w:id="508" w:name="RANGE!D34:L56"/>
      <w:bookmarkEnd w:id="508"/>
    </w:p>
    <w:p w:rsidR="003E6989" w:rsidRDefault="003E6989" w:rsidP="003E6989">
      <w:pPr>
        <w:spacing w:line="240" w:lineRule="auto"/>
        <w:rPr>
          <w:rFonts w:cs="Arial"/>
          <w:iCs/>
          <w:szCs w:val="18"/>
          <w:lang w:eastAsia="en-AU"/>
        </w:rPr>
        <w:sectPr w:rsidR="003E6989" w:rsidSect="006A5410">
          <w:pgSz w:w="16838" w:h="11906" w:orient="landscape"/>
          <w:pgMar w:top="1134" w:right="1134" w:bottom="1134" w:left="1134" w:header="958" w:footer="737" w:gutter="0"/>
          <w:cols w:space="720"/>
        </w:sectPr>
      </w:pPr>
    </w:p>
    <w:p w:rsidR="003E6989" w:rsidRDefault="003E6989" w:rsidP="003E6989">
      <w:pPr>
        <w:spacing w:line="240" w:lineRule="atLeast"/>
        <w:rPr>
          <w:rFonts w:cs="Arial"/>
          <w:szCs w:val="18"/>
          <w:lang w:eastAsia="en-AU"/>
        </w:rPr>
      </w:pPr>
      <w:r w:rsidRPr="004C7426">
        <w:rPr>
          <w:rFonts w:cs="Arial"/>
          <w:szCs w:val="18"/>
          <w:vertAlign w:val="superscript"/>
          <w:lang w:eastAsia="en-AU"/>
        </w:rPr>
        <w:t xml:space="preserve">1 </w:t>
      </w:r>
      <w:r w:rsidRPr="00FE2684">
        <w:rPr>
          <w:rFonts w:cs="Arial"/>
          <w:szCs w:val="18"/>
          <w:u w:val="single"/>
          <w:lang w:eastAsia="en-AU"/>
        </w:rPr>
        <w:t>Education Investment Fund - Research Portfolio Special Account</w:t>
      </w:r>
      <w:r>
        <w:rPr>
          <w:rFonts w:cs="Arial"/>
          <w:szCs w:val="18"/>
          <w:lang w:eastAsia="en-AU"/>
        </w:rPr>
        <w:t xml:space="preserve"> </w:t>
      </w:r>
    </w:p>
    <w:p w:rsidR="003E6989" w:rsidRDefault="003E6989" w:rsidP="003E6989">
      <w:pPr>
        <w:spacing w:line="240" w:lineRule="atLeast"/>
        <w:rPr>
          <w:rFonts w:cs="Arial"/>
          <w:iCs/>
          <w:szCs w:val="18"/>
          <w:lang w:eastAsia="en-AU"/>
        </w:rPr>
      </w:pPr>
      <w:r>
        <w:rPr>
          <w:rFonts w:cs="Arial"/>
          <w:szCs w:val="18"/>
          <w:lang w:eastAsia="en-AU"/>
        </w:rPr>
        <w:t>Appropriation:</w:t>
      </w:r>
      <w:r>
        <w:rPr>
          <w:rFonts w:cs="Arial"/>
          <w:i/>
          <w:iCs/>
          <w:szCs w:val="18"/>
          <w:lang w:eastAsia="en-AU"/>
        </w:rPr>
        <w:t xml:space="preserve"> Public Governance, Performance and Accountability Act 2013; </w:t>
      </w:r>
      <w:r>
        <w:rPr>
          <w:rFonts w:cs="Arial"/>
          <w:iCs/>
          <w:szCs w:val="18"/>
          <w:lang w:eastAsia="en-AU"/>
        </w:rPr>
        <w:t xml:space="preserve">section 80 </w:t>
      </w:r>
    </w:p>
    <w:p w:rsidR="003E6989" w:rsidRPr="001F687C" w:rsidRDefault="003E6989" w:rsidP="003E6989">
      <w:pPr>
        <w:spacing w:line="240" w:lineRule="atLeast"/>
        <w:rPr>
          <w:rFonts w:cs="Arial"/>
          <w:iCs/>
          <w:szCs w:val="18"/>
          <w:lang w:eastAsia="en-AU"/>
        </w:rPr>
      </w:pPr>
      <w:r>
        <w:rPr>
          <w:rFonts w:cs="Arial"/>
          <w:szCs w:val="18"/>
          <w:lang w:eastAsia="en-AU"/>
        </w:rPr>
        <w:t>Establishing Instrument:</w:t>
      </w:r>
      <w:r>
        <w:rPr>
          <w:rFonts w:cs="Arial"/>
          <w:i/>
          <w:iCs/>
          <w:szCs w:val="18"/>
          <w:lang w:eastAsia="en-AU"/>
        </w:rPr>
        <w:t xml:space="preserve"> Nation-building Funds Act 2008 No. 154 of 2008</w:t>
      </w:r>
    </w:p>
    <w:p w:rsidR="003E6989" w:rsidRDefault="003E6989" w:rsidP="003E6989">
      <w:pPr>
        <w:spacing w:line="240" w:lineRule="atLeast"/>
        <w:rPr>
          <w:rFonts w:cs="Arial"/>
          <w:iCs/>
          <w:szCs w:val="18"/>
          <w:lang w:eastAsia="en-AU"/>
        </w:rPr>
      </w:pPr>
      <w:r>
        <w:rPr>
          <w:rFonts w:cs="Arial"/>
          <w:iCs/>
          <w:szCs w:val="18"/>
          <w:lang w:eastAsia="en-AU"/>
        </w:rPr>
        <w:t>Purpose:  To make grants of financial assistance in relation to the creation and development of research infrastructure.</w:t>
      </w:r>
    </w:p>
    <w:p w:rsidR="003E6989" w:rsidRDefault="003E6989" w:rsidP="003E6989">
      <w:pPr>
        <w:spacing w:line="240" w:lineRule="atLeast"/>
        <w:rPr>
          <w:rFonts w:cs="Arial"/>
          <w:iCs/>
          <w:szCs w:val="18"/>
          <w:lang w:eastAsia="en-AU"/>
        </w:rPr>
      </w:pPr>
    </w:p>
    <w:p w:rsidR="003E6989" w:rsidRDefault="003E6989" w:rsidP="003E6989">
      <w:pPr>
        <w:spacing w:line="240" w:lineRule="atLeast"/>
        <w:rPr>
          <w:rFonts w:cs="Arial"/>
          <w:szCs w:val="18"/>
          <w:lang w:eastAsia="en-AU"/>
        </w:rPr>
      </w:pPr>
      <w:r w:rsidRPr="004C7426">
        <w:rPr>
          <w:rFonts w:cs="Arial"/>
          <w:szCs w:val="18"/>
          <w:vertAlign w:val="superscript"/>
          <w:lang w:eastAsia="en-AU"/>
        </w:rPr>
        <w:t xml:space="preserve">2 </w:t>
      </w:r>
      <w:r w:rsidRPr="00FE2684">
        <w:rPr>
          <w:rFonts w:cs="Arial"/>
          <w:szCs w:val="18"/>
          <w:u w:val="single"/>
          <w:lang w:eastAsia="en-AU"/>
        </w:rPr>
        <w:t>Education Investment Fund - Education Portfolio Special Account</w:t>
      </w:r>
      <w:r>
        <w:rPr>
          <w:rFonts w:cs="Arial"/>
          <w:szCs w:val="18"/>
          <w:lang w:eastAsia="en-AU"/>
        </w:rPr>
        <w:t xml:space="preserve"> </w:t>
      </w:r>
    </w:p>
    <w:p w:rsidR="003E6989" w:rsidRDefault="003E6989" w:rsidP="003E6989">
      <w:pPr>
        <w:spacing w:line="240" w:lineRule="atLeast"/>
        <w:rPr>
          <w:rFonts w:cs="Arial"/>
          <w:iCs/>
          <w:szCs w:val="18"/>
          <w:lang w:eastAsia="en-AU"/>
        </w:rPr>
      </w:pPr>
      <w:r>
        <w:rPr>
          <w:rFonts w:cs="Arial"/>
          <w:szCs w:val="18"/>
          <w:lang w:eastAsia="en-AU"/>
        </w:rPr>
        <w:t xml:space="preserve">Appropriation: </w:t>
      </w:r>
      <w:r>
        <w:rPr>
          <w:rFonts w:cs="Arial"/>
          <w:i/>
          <w:iCs/>
          <w:szCs w:val="18"/>
          <w:lang w:eastAsia="en-AU"/>
        </w:rPr>
        <w:t xml:space="preserve">Public Governance, Performance and Accountability Act 2013; </w:t>
      </w:r>
      <w:r>
        <w:rPr>
          <w:rFonts w:cs="Arial"/>
          <w:iCs/>
          <w:szCs w:val="18"/>
          <w:lang w:eastAsia="en-AU"/>
        </w:rPr>
        <w:t>section 80</w:t>
      </w:r>
    </w:p>
    <w:p w:rsidR="003E6989" w:rsidRDefault="003E6989" w:rsidP="003E6989">
      <w:pPr>
        <w:spacing w:line="240" w:lineRule="atLeast"/>
        <w:rPr>
          <w:rFonts w:cs="Arial"/>
          <w:iCs/>
          <w:szCs w:val="18"/>
          <w:lang w:eastAsia="en-AU"/>
        </w:rPr>
      </w:pPr>
      <w:r>
        <w:rPr>
          <w:rFonts w:cs="Arial"/>
          <w:szCs w:val="18"/>
          <w:lang w:eastAsia="en-AU"/>
        </w:rPr>
        <w:t>Establishing Instrument:</w:t>
      </w:r>
      <w:r>
        <w:rPr>
          <w:rFonts w:cs="Arial"/>
          <w:i/>
          <w:iCs/>
          <w:szCs w:val="18"/>
          <w:lang w:eastAsia="en-AU"/>
        </w:rPr>
        <w:t xml:space="preserve"> Nation-building Funds Act 2008 No. 154 of </w:t>
      </w:r>
      <w:r>
        <w:rPr>
          <w:rFonts w:cs="Arial"/>
          <w:iCs/>
          <w:szCs w:val="18"/>
          <w:lang w:eastAsia="en-AU"/>
        </w:rPr>
        <w:t>2008</w:t>
      </w:r>
    </w:p>
    <w:p w:rsidR="003E6989" w:rsidRDefault="003E6989" w:rsidP="003E6989">
      <w:pPr>
        <w:spacing w:line="240" w:lineRule="atLeast"/>
        <w:rPr>
          <w:rFonts w:cs="Arial"/>
          <w:iCs/>
          <w:szCs w:val="18"/>
          <w:lang w:eastAsia="en-AU"/>
        </w:rPr>
      </w:pPr>
      <w:r>
        <w:rPr>
          <w:rFonts w:cs="Arial"/>
          <w:iCs/>
          <w:szCs w:val="18"/>
          <w:lang w:eastAsia="en-AU"/>
        </w:rPr>
        <w:t xml:space="preserve">Purpose:  To make grants of financial assistance to eligible higher education institutions in relation to capital expenditure and research facilities. </w:t>
      </w:r>
    </w:p>
    <w:p w:rsidR="003E6989" w:rsidRDefault="003E6989" w:rsidP="003E6989">
      <w:pPr>
        <w:spacing w:line="240" w:lineRule="atLeast"/>
        <w:rPr>
          <w:rFonts w:cs="Arial"/>
          <w:iCs/>
          <w:szCs w:val="18"/>
          <w:lang w:eastAsia="en-AU"/>
        </w:rPr>
      </w:pPr>
    </w:p>
    <w:p w:rsidR="003E6989" w:rsidRPr="00FE2684" w:rsidRDefault="003E6989" w:rsidP="003E6989">
      <w:pPr>
        <w:spacing w:line="240" w:lineRule="atLeast"/>
        <w:rPr>
          <w:rFonts w:cs="Arial"/>
          <w:szCs w:val="18"/>
          <w:u w:val="single"/>
          <w:lang w:eastAsia="en-AU"/>
        </w:rPr>
      </w:pPr>
      <w:r>
        <w:rPr>
          <w:rFonts w:cs="Arial"/>
          <w:szCs w:val="18"/>
          <w:vertAlign w:val="superscript"/>
          <w:lang w:eastAsia="en-AU"/>
        </w:rPr>
        <w:t>3</w:t>
      </w:r>
      <w:r w:rsidRPr="004C7426">
        <w:rPr>
          <w:rFonts w:cs="Arial"/>
          <w:szCs w:val="18"/>
          <w:vertAlign w:val="superscript"/>
          <w:lang w:eastAsia="en-AU"/>
        </w:rPr>
        <w:t xml:space="preserve"> </w:t>
      </w:r>
      <w:r w:rsidRPr="00FE2684">
        <w:rPr>
          <w:rFonts w:cs="Arial"/>
          <w:szCs w:val="18"/>
          <w:u w:val="single"/>
          <w:lang w:eastAsia="en-AU"/>
        </w:rPr>
        <w:t xml:space="preserve">National Youth Affairs Scheme Special Account </w:t>
      </w:r>
    </w:p>
    <w:p w:rsidR="003E6989" w:rsidRDefault="003E6989" w:rsidP="003E6989">
      <w:pPr>
        <w:spacing w:line="240" w:lineRule="atLeast"/>
        <w:rPr>
          <w:rFonts w:cs="Arial"/>
          <w:i/>
          <w:iCs/>
          <w:szCs w:val="18"/>
          <w:lang w:eastAsia="en-AU"/>
        </w:rPr>
      </w:pPr>
      <w:r>
        <w:rPr>
          <w:rFonts w:cs="Arial"/>
          <w:szCs w:val="18"/>
          <w:vertAlign w:val="superscript"/>
          <w:lang w:eastAsia="en-AU"/>
        </w:rPr>
        <w:t xml:space="preserve"> </w:t>
      </w:r>
      <w:r>
        <w:rPr>
          <w:rFonts w:cs="Arial"/>
          <w:szCs w:val="18"/>
          <w:lang w:eastAsia="en-AU"/>
        </w:rPr>
        <w:t xml:space="preserve">Appropriation: </w:t>
      </w:r>
      <w:r>
        <w:rPr>
          <w:i/>
        </w:rPr>
        <w:t>Public Governance, Performance and Accountability Act 2013</w:t>
      </w:r>
      <w:r>
        <w:rPr>
          <w:rFonts w:cs="Arial"/>
          <w:i/>
          <w:iCs/>
          <w:szCs w:val="18"/>
          <w:lang w:eastAsia="en-AU"/>
        </w:rPr>
        <w:t>; section 78</w:t>
      </w:r>
    </w:p>
    <w:p w:rsidR="003E6989" w:rsidRDefault="003E6989" w:rsidP="003E6989">
      <w:pPr>
        <w:spacing w:line="240" w:lineRule="atLeast"/>
        <w:rPr>
          <w:rFonts w:cs="Arial"/>
          <w:iCs/>
          <w:szCs w:val="18"/>
          <w:lang w:eastAsia="en-AU"/>
        </w:rPr>
      </w:pPr>
      <w:r>
        <w:rPr>
          <w:rFonts w:cs="Arial"/>
          <w:szCs w:val="18"/>
          <w:lang w:eastAsia="en-AU"/>
        </w:rPr>
        <w:t>Establishing Instrument:</w:t>
      </w:r>
      <w:r>
        <w:rPr>
          <w:rFonts w:cs="Arial"/>
          <w:iCs/>
          <w:szCs w:val="18"/>
          <w:lang w:eastAsia="en-AU"/>
        </w:rPr>
        <w:t xml:space="preserve"> </w:t>
      </w:r>
      <w:r>
        <w:rPr>
          <w:rFonts w:cs="Arial"/>
          <w:i/>
          <w:iCs/>
          <w:szCs w:val="18"/>
          <w:lang w:eastAsia="en-AU"/>
        </w:rPr>
        <w:t xml:space="preserve">Financial Management and Accountability Determination 2006/45 </w:t>
      </w:r>
      <w:r>
        <w:rPr>
          <w:rFonts w:cs="Arial"/>
          <w:iCs/>
          <w:szCs w:val="18"/>
          <w:lang w:eastAsia="en-AU"/>
        </w:rPr>
        <w:t>on 17 August 2006.</w:t>
      </w:r>
    </w:p>
    <w:p w:rsidR="003E6989" w:rsidRDefault="003E6989" w:rsidP="003E6989">
      <w:pPr>
        <w:spacing w:line="240" w:lineRule="auto"/>
        <w:rPr>
          <w:rFonts w:cs="Arial"/>
          <w:iCs/>
          <w:szCs w:val="18"/>
          <w:lang w:eastAsia="en-AU"/>
        </w:rPr>
      </w:pPr>
      <w:r>
        <w:rPr>
          <w:rFonts w:cs="Arial"/>
          <w:iCs/>
          <w:szCs w:val="18"/>
          <w:lang w:eastAsia="en-AU"/>
        </w:rPr>
        <w:t>Purpose: For the receipt of monies from State Governments to meet expenditure in respect of the National Youth Affairs Research Scheme.</w:t>
      </w:r>
    </w:p>
    <w:p w:rsidR="003E6989" w:rsidRPr="00CF0B82" w:rsidRDefault="003E6989" w:rsidP="003E6989">
      <w:pPr>
        <w:spacing w:line="240" w:lineRule="auto"/>
        <w:rPr>
          <w:rFonts w:cs="Arial"/>
          <w:iCs/>
          <w:szCs w:val="18"/>
          <w:lang w:eastAsia="en-AU"/>
        </w:rPr>
      </w:pPr>
    </w:p>
    <w:p w:rsidR="003E6989" w:rsidRPr="00FE2684" w:rsidRDefault="003E6989" w:rsidP="003E6989">
      <w:pPr>
        <w:spacing w:line="240" w:lineRule="atLeast"/>
        <w:rPr>
          <w:rFonts w:cs="Arial"/>
          <w:szCs w:val="18"/>
          <w:u w:val="single"/>
          <w:lang w:eastAsia="en-AU"/>
        </w:rPr>
      </w:pPr>
      <w:r>
        <w:rPr>
          <w:rFonts w:cs="Arial"/>
          <w:szCs w:val="18"/>
          <w:vertAlign w:val="superscript"/>
          <w:lang w:eastAsia="en-AU"/>
        </w:rPr>
        <w:t>4</w:t>
      </w:r>
      <w:r w:rsidRPr="004C7426">
        <w:rPr>
          <w:rFonts w:cs="Arial"/>
          <w:szCs w:val="18"/>
          <w:vertAlign w:val="superscript"/>
          <w:lang w:eastAsia="en-AU"/>
        </w:rPr>
        <w:t xml:space="preserve"> </w:t>
      </w:r>
      <w:r>
        <w:rPr>
          <w:rFonts w:cs="Arial"/>
          <w:szCs w:val="18"/>
          <w:u w:val="single"/>
          <w:lang w:eastAsia="en-AU"/>
        </w:rPr>
        <w:t xml:space="preserve">Growth Fund Skills and Training </w:t>
      </w:r>
      <w:r w:rsidRPr="00FE2684">
        <w:rPr>
          <w:rFonts w:cs="Arial"/>
          <w:szCs w:val="18"/>
          <w:u w:val="single"/>
          <w:lang w:eastAsia="en-AU"/>
        </w:rPr>
        <w:t xml:space="preserve">Special Account </w:t>
      </w:r>
    </w:p>
    <w:p w:rsidR="003E6989" w:rsidRPr="00F86A40" w:rsidRDefault="003E6989" w:rsidP="003E6989">
      <w:pPr>
        <w:spacing w:line="240" w:lineRule="atLeast"/>
        <w:rPr>
          <w:rFonts w:cs="Arial"/>
          <w:i/>
          <w:iCs/>
          <w:szCs w:val="18"/>
          <w:highlight w:val="yellow"/>
          <w:lang w:eastAsia="en-AU"/>
        </w:rPr>
      </w:pPr>
      <w:r>
        <w:rPr>
          <w:rFonts w:cs="Arial"/>
          <w:szCs w:val="18"/>
          <w:vertAlign w:val="superscript"/>
          <w:lang w:eastAsia="en-AU"/>
        </w:rPr>
        <w:t xml:space="preserve"> </w:t>
      </w:r>
      <w:r w:rsidRPr="0094457D">
        <w:rPr>
          <w:rFonts w:cs="Arial"/>
          <w:szCs w:val="18"/>
          <w:lang w:eastAsia="en-AU"/>
        </w:rPr>
        <w:t xml:space="preserve">Appropriation: </w:t>
      </w:r>
      <w:r w:rsidRPr="0094457D">
        <w:rPr>
          <w:i/>
        </w:rPr>
        <w:t>Public Governance, Performance and Accountability Act 2013</w:t>
      </w:r>
      <w:r w:rsidRPr="0094457D">
        <w:rPr>
          <w:rFonts w:cs="Arial"/>
          <w:i/>
          <w:iCs/>
          <w:szCs w:val="18"/>
          <w:lang w:eastAsia="en-AU"/>
        </w:rPr>
        <w:t>; section 78</w:t>
      </w:r>
    </w:p>
    <w:p w:rsidR="003E6989" w:rsidRDefault="003E6989" w:rsidP="003E6989">
      <w:pPr>
        <w:spacing w:line="240" w:lineRule="atLeast"/>
        <w:rPr>
          <w:rFonts w:cs="Arial"/>
          <w:iCs/>
          <w:szCs w:val="18"/>
          <w:lang w:eastAsia="en-AU"/>
        </w:rPr>
      </w:pPr>
      <w:r w:rsidRPr="00524AF5">
        <w:rPr>
          <w:rFonts w:cs="Arial"/>
          <w:szCs w:val="18"/>
          <w:lang w:eastAsia="en-AU"/>
        </w:rPr>
        <w:t>Establishing Instrument:</w:t>
      </w:r>
      <w:r w:rsidRPr="00524AF5">
        <w:rPr>
          <w:rFonts w:cs="Arial"/>
          <w:iCs/>
          <w:szCs w:val="18"/>
          <w:lang w:eastAsia="en-AU"/>
        </w:rPr>
        <w:t xml:space="preserve"> </w:t>
      </w:r>
      <w:r w:rsidRPr="00524AF5">
        <w:rPr>
          <w:rFonts w:cs="Arial"/>
          <w:i/>
          <w:iCs/>
          <w:szCs w:val="18"/>
          <w:lang w:eastAsia="en-AU"/>
        </w:rPr>
        <w:t xml:space="preserve">Growth Fund Skills and Training Special Account 2015 – Establishment Determination 2015/04 </w:t>
      </w:r>
      <w:r w:rsidRPr="00524AF5">
        <w:rPr>
          <w:rFonts w:cs="Arial"/>
          <w:iCs/>
          <w:szCs w:val="18"/>
          <w:lang w:eastAsia="en-AU"/>
        </w:rPr>
        <w:t xml:space="preserve">on </w:t>
      </w:r>
    </w:p>
    <w:p w:rsidR="003E6989" w:rsidRPr="00524AF5" w:rsidRDefault="003E6989" w:rsidP="003E6989">
      <w:pPr>
        <w:spacing w:line="240" w:lineRule="atLeast"/>
        <w:rPr>
          <w:rFonts w:cs="Arial"/>
          <w:iCs/>
          <w:szCs w:val="18"/>
          <w:lang w:eastAsia="en-AU"/>
        </w:rPr>
      </w:pPr>
      <w:r w:rsidRPr="00524AF5">
        <w:rPr>
          <w:rFonts w:cs="Arial"/>
          <w:iCs/>
          <w:szCs w:val="18"/>
          <w:lang w:eastAsia="en-AU"/>
        </w:rPr>
        <w:t>15 July 2015.</w:t>
      </w:r>
    </w:p>
    <w:p w:rsidR="003E6989" w:rsidRDefault="003E6989" w:rsidP="003E6989">
      <w:pPr>
        <w:spacing w:line="240" w:lineRule="auto"/>
        <w:rPr>
          <w:rFonts w:cs="Arial"/>
          <w:iCs/>
          <w:szCs w:val="18"/>
          <w:lang w:eastAsia="en-AU"/>
        </w:rPr>
      </w:pPr>
      <w:r w:rsidRPr="00524AF5">
        <w:rPr>
          <w:rFonts w:cs="Arial"/>
          <w:iCs/>
          <w:szCs w:val="18"/>
          <w:lang w:eastAsia="en-AU"/>
        </w:rPr>
        <w:t>Purpose: For paying amounts to enable Australian workers and former workers in the Australian automotive industry to obtain career advice, education, training and re-skilling support to exit the industry and obtain new forms of employment.</w:t>
      </w:r>
    </w:p>
    <w:p w:rsidR="003E6989" w:rsidRDefault="003E6989" w:rsidP="003E6989">
      <w:pPr>
        <w:spacing w:line="240" w:lineRule="atLeast"/>
        <w:rPr>
          <w:rFonts w:cs="Arial"/>
          <w:iCs/>
          <w:szCs w:val="18"/>
          <w:vertAlign w:val="superscript"/>
          <w:lang w:eastAsia="en-AU"/>
        </w:rPr>
      </w:pPr>
    </w:p>
    <w:p w:rsidR="003E6989" w:rsidRDefault="003E6989" w:rsidP="003E6989">
      <w:pPr>
        <w:spacing w:line="240" w:lineRule="atLeast"/>
        <w:rPr>
          <w:rFonts w:cs="Arial"/>
          <w:iCs/>
          <w:szCs w:val="18"/>
          <w:lang w:eastAsia="en-AU"/>
        </w:rPr>
      </w:pPr>
      <w:r>
        <w:rPr>
          <w:rFonts w:cs="Arial"/>
          <w:iCs/>
          <w:szCs w:val="18"/>
          <w:vertAlign w:val="superscript"/>
          <w:lang w:eastAsia="en-AU"/>
        </w:rPr>
        <w:t xml:space="preserve">5 </w:t>
      </w:r>
      <w:r w:rsidRPr="00FE2684">
        <w:rPr>
          <w:rFonts w:cs="Arial"/>
          <w:iCs/>
          <w:szCs w:val="18"/>
          <w:u w:val="single"/>
          <w:lang w:eastAsia="en-AU"/>
        </w:rPr>
        <w:t>Early Years Quality Fund Special Account</w:t>
      </w:r>
      <w:r>
        <w:rPr>
          <w:rFonts w:cs="Arial"/>
          <w:iCs/>
          <w:szCs w:val="18"/>
          <w:lang w:eastAsia="en-AU"/>
        </w:rPr>
        <w:t xml:space="preserve"> </w:t>
      </w:r>
    </w:p>
    <w:p w:rsidR="003E6989" w:rsidRDefault="003E6989" w:rsidP="003E6989">
      <w:pPr>
        <w:spacing w:line="240" w:lineRule="atLeast"/>
        <w:rPr>
          <w:rFonts w:cs="Arial"/>
          <w:iCs/>
          <w:szCs w:val="18"/>
          <w:lang w:eastAsia="en-AU"/>
        </w:rPr>
      </w:pPr>
      <w:r>
        <w:rPr>
          <w:rFonts w:cs="Arial"/>
          <w:iCs/>
          <w:szCs w:val="18"/>
          <w:lang w:eastAsia="en-AU"/>
        </w:rPr>
        <w:t>Appropriation:</w:t>
      </w:r>
      <w:r>
        <w:rPr>
          <w:rFonts w:cs="Arial"/>
          <w:i/>
          <w:iCs/>
          <w:szCs w:val="18"/>
          <w:lang w:eastAsia="en-AU"/>
        </w:rPr>
        <w:t xml:space="preserve"> Public Governance, Performance and Accountability Act 2013; </w:t>
      </w:r>
      <w:r>
        <w:rPr>
          <w:rFonts w:cs="Arial"/>
          <w:iCs/>
          <w:szCs w:val="18"/>
          <w:lang w:eastAsia="en-AU"/>
        </w:rPr>
        <w:t>section 80</w:t>
      </w:r>
    </w:p>
    <w:p w:rsidR="003E6989" w:rsidRDefault="003E6989" w:rsidP="003E6989">
      <w:pPr>
        <w:spacing w:line="240" w:lineRule="atLeast"/>
        <w:rPr>
          <w:b/>
        </w:rPr>
      </w:pPr>
      <w:r>
        <w:rPr>
          <w:rFonts w:cs="Arial"/>
          <w:iCs/>
          <w:szCs w:val="18"/>
          <w:lang w:eastAsia="en-AU"/>
        </w:rPr>
        <w:t>Establishing Instrument:</w:t>
      </w:r>
      <w:r>
        <w:rPr>
          <w:rFonts w:cs="Arial"/>
          <w:szCs w:val="18"/>
          <w:lang w:eastAsia="en-AU"/>
        </w:rPr>
        <w:t xml:space="preserve"> </w:t>
      </w:r>
      <w:r>
        <w:rPr>
          <w:rFonts w:cs="Arial"/>
          <w:i/>
          <w:iCs/>
          <w:szCs w:val="18"/>
          <w:lang w:eastAsia="en-AU"/>
        </w:rPr>
        <w:t xml:space="preserve"> Early Years Quality Fund Special Account Act 2013</w:t>
      </w:r>
    </w:p>
    <w:p w:rsidR="003E6989" w:rsidRDefault="003E6989" w:rsidP="003E6989">
      <w:pPr>
        <w:spacing w:line="240" w:lineRule="atLeast"/>
        <w:rPr>
          <w:rFonts w:cs="Arial"/>
          <w:szCs w:val="18"/>
          <w:lang w:eastAsia="en-AU"/>
        </w:rPr>
      </w:pPr>
      <w:r>
        <w:rPr>
          <w:rFonts w:cs="Arial"/>
          <w:iCs/>
          <w:szCs w:val="18"/>
          <w:lang w:eastAsia="en-AU"/>
        </w:rPr>
        <w:t>Purpose</w:t>
      </w:r>
      <w:r>
        <w:rPr>
          <w:rFonts w:cs="Arial"/>
          <w:i/>
          <w:iCs/>
          <w:szCs w:val="18"/>
          <w:lang w:eastAsia="en-AU"/>
        </w:rPr>
        <w:t>:</w:t>
      </w:r>
      <w:r>
        <w:rPr>
          <w:rFonts w:cs="Arial"/>
          <w:szCs w:val="18"/>
          <w:lang w:eastAsia="en-AU"/>
        </w:rPr>
        <w:t xml:space="preserve">  For the administration of the Early Years Quality Fund (EYQF). The EYQF will provide $300 million over two years to assist long day care services to offset the costs of employing higher qualified staff who are required as part of the National Quality Framework for Early Childhood Education and Care from 1 January 2014. The Department of Finance quarantined an amount of $30 million from this account while the program was with DSS. The restructuring shown above was the total dollar value transferred, however in ACM the balance was $30 million less. </w:t>
      </w:r>
    </w:p>
    <w:p w:rsidR="003E6989" w:rsidRDefault="003E6989" w:rsidP="003E6989">
      <w:pPr>
        <w:spacing w:line="240" w:lineRule="atLeast"/>
        <w:rPr>
          <w:rFonts w:cs="Arial"/>
          <w:szCs w:val="18"/>
          <w:lang w:eastAsia="en-AU"/>
        </w:rPr>
      </w:pPr>
    </w:p>
    <w:p w:rsidR="003E6989" w:rsidRDefault="003E6989" w:rsidP="003E6989">
      <w:pPr>
        <w:spacing w:line="240" w:lineRule="atLeast"/>
        <w:rPr>
          <w:rFonts w:cs="Arial"/>
          <w:iCs/>
          <w:szCs w:val="18"/>
          <w:lang w:eastAsia="en-AU"/>
        </w:rPr>
      </w:pPr>
      <w:r>
        <w:rPr>
          <w:rFonts w:cs="Arial"/>
          <w:iCs/>
          <w:szCs w:val="18"/>
          <w:vertAlign w:val="superscript"/>
          <w:lang w:eastAsia="en-AU"/>
        </w:rPr>
        <w:t xml:space="preserve">6 </w:t>
      </w:r>
      <w:r w:rsidRPr="00FE2684">
        <w:rPr>
          <w:rFonts w:cs="Arial"/>
          <w:iCs/>
          <w:szCs w:val="18"/>
          <w:u w:val="single"/>
          <w:lang w:eastAsia="en-AU"/>
        </w:rPr>
        <w:t xml:space="preserve">Overseas Student Tuition Fund Special Account </w:t>
      </w:r>
    </w:p>
    <w:p w:rsidR="003E6989" w:rsidRDefault="003E6989" w:rsidP="003E6989">
      <w:pPr>
        <w:spacing w:line="240" w:lineRule="atLeast"/>
        <w:rPr>
          <w:rFonts w:cs="Arial"/>
          <w:iCs/>
          <w:szCs w:val="18"/>
          <w:lang w:eastAsia="en-AU"/>
        </w:rPr>
      </w:pPr>
      <w:r>
        <w:rPr>
          <w:rFonts w:cs="Arial"/>
          <w:iCs/>
          <w:szCs w:val="18"/>
          <w:lang w:eastAsia="en-AU"/>
        </w:rPr>
        <w:t>Appropriation:</w:t>
      </w:r>
      <w:r>
        <w:rPr>
          <w:rFonts w:cs="Arial"/>
          <w:szCs w:val="18"/>
          <w:lang w:eastAsia="en-AU"/>
        </w:rPr>
        <w:t xml:space="preserve"> </w:t>
      </w:r>
      <w:r>
        <w:rPr>
          <w:rFonts w:cs="Arial"/>
          <w:i/>
          <w:iCs/>
          <w:szCs w:val="18"/>
          <w:lang w:eastAsia="en-AU"/>
        </w:rPr>
        <w:t xml:space="preserve">Public Governance, Performance and Accountability Act 2013; </w:t>
      </w:r>
      <w:r>
        <w:rPr>
          <w:rFonts w:cs="Arial"/>
          <w:iCs/>
          <w:szCs w:val="18"/>
          <w:lang w:eastAsia="en-AU"/>
        </w:rPr>
        <w:t>section 80</w:t>
      </w:r>
    </w:p>
    <w:p w:rsidR="003E6989" w:rsidRDefault="003E6989" w:rsidP="003E6989">
      <w:pPr>
        <w:spacing w:line="240" w:lineRule="atLeast"/>
        <w:rPr>
          <w:rFonts w:cs="Arial"/>
          <w:iCs/>
          <w:szCs w:val="18"/>
          <w:lang w:eastAsia="en-AU"/>
        </w:rPr>
      </w:pPr>
      <w:r>
        <w:rPr>
          <w:rFonts w:cs="Arial"/>
          <w:iCs/>
          <w:szCs w:val="18"/>
          <w:lang w:eastAsia="en-AU"/>
        </w:rPr>
        <w:t xml:space="preserve">Establishing Instrument: </w:t>
      </w:r>
      <w:r w:rsidRPr="00470280">
        <w:rPr>
          <w:rFonts w:cs="Arial"/>
          <w:i/>
          <w:iCs/>
          <w:szCs w:val="18"/>
          <w:lang w:eastAsia="en-AU"/>
        </w:rPr>
        <w:t>Education</w:t>
      </w:r>
      <w:r>
        <w:rPr>
          <w:rFonts w:cs="Arial"/>
          <w:i/>
          <w:iCs/>
          <w:szCs w:val="18"/>
          <w:lang w:eastAsia="en-AU"/>
        </w:rPr>
        <w:t xml:space="preserve"> Services for Overseas Students Act 2000 Act No. 164 of 2000, </w:t>
      </w:r>
      <w:r>
        <w:rPr>
          <w:rFonts w:cs="Arial"/>
          <w:iCs/>
          <w:szCs w:val="18"/>
          <w:lang w:eastAsia="en-AU"/>
        </w:rPr>
        <w:t xml:space="preserve">taking into account amendments up </w:t>
      </w:r>
      <w:r>
        <w:rPr>
          <w:rFonts w:cs="Arial"/>
          <w:i/>
          <w:iCs/>
          <w:szCs w:val="18"/>
          <w:lang w:eastAsia="en-AU"/>
        </w:rPr>
        <w:t>Education Services for Overseas Students Legislation Amendment (Tuition Protection Services and Other Measures) Act 2012,</w:t>
      </w:r>
      <w:r>
        <w:rPr>
          <w:rFonts w:cs="Arial"/>
          <w:iCs/>
          <w:szCs w:val="18"/>
          <w:lang w:eastAsia="en-AU"/>
        </w:rPr>
        <w:t xml:space="preserve"> section 52A</w:t>
      </w:r>
    </w:p>
    <w:p w:rsidR="003E6989" w:rsidRDefault="003E6989" w:rsidP="003E6989">
      <w:pPr>
        <w:spacing w:line="240" w:lineRule="atLeast"/>
        <w:rPr>
          <w:rFonts w:cs="Arial"/>
          <w:szCs w:val="18"/>
          <w:lang w:eastAsia="en-AU"/>
        </w:rPr>
      </w:pPr>
      <w:r>
        <w:rPr>
          <w:rFonts w:cs="Arial"/>
          <w:iCs/>
          <w:szCs w:val="18"/>
          <w:lang w:eastAsia="en-AU"/>
        </w:rPr>
        <w:t>Purpose</w:t>
      </w:r>
      <w:r>
        <w:rPr>
          <w:rFonts w:cs="Arial"/>
          <w:i/>
          <w:iCs/>
          <w:szCs w:val="18"/>
          <w:lang w:eastAsia="en-AU"/>
        </w:rPr>
        <w:t>:</w:t>
      </w:r>
      <w:r>
        <w:rPr>
          <w:rFonts w:cs="Arial"/>
          <w:szCs w:val="18"/>
          <w:lang w:eastAsia="en-AU"/>
        </w:rPr>
        <w:t xml:space="preserve">  For expenditure in connection with assisting international students whose education providers are unable to deliver their course of study in full.</w:t>
      </w:r>
    </w:p>
    <w:p w:rsidR="003E6989" w:rsidRDefault="003E6989" w:rsidP="003E6989">
      <w:pPr>
        <w:spacing w:line="240" w:lineRule="atLeast"/>
        <w:rPr>
          <w:rFonts w:cs="Arial"/>
          <w:szCs w:val="18"/>
          <w:lang w:eastAsia="en-AU"/>
        </w:rPr>
      </w:pPr>
    </w:p>
    <w:p w:rsidR="003E6989" w:rsidRDefault="003E6989" w:rsidP="003E6989">
      <w:pPr>
        <w:spacing w:line="240" w:lineRule="atLeast"/>
      </w:pPr>
      <w:r>
        <w:rPr>
          <w:vertAlign w:val="superscript"/>
        </w:rPr>
        <w:t>7</w:t>
      </w:r>
      <w:r>
        <w:t xml:space="preserve"> </w:t>
      </w:r>
      <w:r w:rsidRPr="00FE2684">
        <w:rPr>
          <w:u w:val="single"/>
        </w:rPr>
        <w:t>Unique Student Identifiers Special Account</w:t>
      </w:r>
    </w:p>
    <w:p w:rsidR="003E6989" w:rsidRPr="00D22D60" w:rsidRDefault="003E6989" w:rsidP="003E6989">
      <w:pPr>
        <w:spacing w:line="240" w:lineRule="atLeast"/>
      </w:pPr>
      <w:r>
        <w:t xml:space="preserve">Appropriation: </w:t>
      </w:r>
      <w:r>
        <w:rPr>
          <w:i/>
        </w:rPr>
        <w:t>Public Governance, Performance and Accountability Act 2013</w:t>
      </w:r>
      <w:r>
        <w:t>; section 80</w:t>
      </w:r>
    </w:p>
    <w:p w:rsidR="003E6989" w:rsidRDefault="003E6989" w:rsidP="003E6989">
      <w:pPr>
        <w:spacing w:line="240" w:lineRule="atLeast"/>
      </w:pPr>
      <w:r>
        <w:t xml:space="preserve">Establishing Instrument: </w:t>
      </w:r>
      <w:r>
        <w:rPr>
          <w:i/>
        </w:rPr>
        <w:t xml:space="preserve">Student Identifiers Act 2014; </w:t>
      </w:r>
      <w:r>
        <w:t>section 48</w:t>
      </w:r>
    </w:p>
    <w:p w:rsidR="003E6989" w:rsidRDefault="003E6989" w:rsidP="003E6989">
      <w:pPr>
        <w:spacing w:line="240" w:lineRule="atLeast"/>
      </w:pPr>
      <w:r>
        <w:t xml:space="preserve">Purpose: For paying or discharging the costs, expenses and other obligations incurred by the Commonwealth in the performance of the Registrar’s functions, paying any remuneration and allowances payable to any person under the Act and meeting the expenses of administering the Account. </w:t>
      </w:r>
    </w:p>
    <w:p w:rsidR="003E6989" w:rsidRPr="008A2256" w:rsidRDefault="003E6989" w:rsidP="003E6989">
      <w:pPr>
        <w:spacing w:line="240" w:lineRule="atLeast"/>
      </w:pPr>
    </w:p>
    <w:p w:rsidR="003E6989" w:rsidRPr="00FE2684" w:rsidRDefault="003E6989" w:rsidP="003E6989">
      <w:pPr>
        <w:spacing w:line="240" w:lineRule="atLeast"/>
        <w:rPr>
          <w:rFonts w:cs="Arial"/>
          <w:iCs/>
          <w:szCs w:val="18"/>
          <w:u w:val="single"/>
          <w:vertAlign w:val="superscript"/>
          <w:lang w:eastAsia="en-AU"/>
        </w:rPr>
      </w:pPr>
      <w:r>
        <w:rPr>
          <w:vertAlign w:val="superscript"/>
        </w:rPr>
        <w:t>8</w:t>
      </w:r>
      <w:r w:rsidRPr="004C7426">
        <w:rPr>
          <w:vertAlign w:val="superscript"/>
        </w:rPr>
        <w:t xml:space="preserve"> </w:t>
      </w:r>
      <w:r w:rsidRPr="00FE2684">
        <w:rPr>
          <w:rFonts w:cs="Arial"/>
          <w:iCs/>
          <w:szCs w:val="18"/>
          <w:u w:val="single"/>
          <w:lang w:eastAsia="en-AU"/>
        </w:rPr>
        <w:t>Services for Other</w:t>
      </w:r>
      <w:r w:rsidRPr="00FE2684">
        <w:rPr>
          <w:rFonts w:cs="Arial"/>
          <w:iCs/>
          <w:szCs w:val="18"/>
          <w:u w:val="single"/>
          <w:vertAlign w:val="superscript"/>
          <w:lang w:eastAsia="en-AU"/>
        </w:rPr>
        <w:t xml:space="preserve"> </w:t>
      </w:r>
      <w:r w:rsidRPr="00FE2684">
        <w:rPr>
          <w:rFonts w:cs="Arial"/>
          <w:iCs/>
          <w:szCs w:val="18"/>
          <w:u w:val="single"/>
          <w:lang w:eastAsia="en-AU"/>
        </w:rPr>
        <w:t>Entities and Trust Moneys Special Account</w:t>
      </w:r>
    </w:p>
    <w:p w:rsidR="003E6989" w:rsidRDefault="003E6989" w:rsidP="003E6989">
      <w:pPr>
        <w:spacing w:line="240" w:lineRule="atLeast"/>
        <w:rPr>
          <w:rFonts w:cs="Arial"/>
          <w:szCs w:val="18"/>
          <w:lang w:eastAsia="en-AU"/>
        </w:rPr>
      </w:pPr>
      <w:r>
        <w:rPr>
          <w:rFonts w:cs="Arial"/>
          <w:iCs/>
          <w:szCs w:val="18"/>
          <w:lang w:eastAsia="en-AU"/>
        </w:rPr>
        <w:t>Appropriation:</w:t>
      </w:r>
      <w:r>
        <w:rPr>
          <w:rFonts w:cs="Arial"/>
          <w:szCs w:val="18"/>
          <w:lang w:eastAsia="en-AU"/>
        </w:rPr>
        <w:t xml:space="preserve"> </w:t>
      </w:r>
      <w:r>
        <w:rPr>
          <w:i/>
        </w:rPr>
        <w:t>Public Governance, Performance and Accountability Act 2013</w:t>
      </w:r>
      <w:r>
        <w:rPr>
          <w:rFonts w:cs="Arial"/>
          <w:szCs w:val="18"/>
          <w:lang w:eastAsia="en-AU"/>
        </w:rPr>
        <w:t>; section 78</w:t>
      </w:r>
    </w:p>
    <w:p w:rsidR="003E6989" w:rsidRDefault="003E6989" w:rsidP="003E6989">
      <w:pPr>
        <w:spacing w:line="240" w:lineRule="atLeast"/>
        <w:rPr>
          <w:rFonts w:cs="Arial"/>
          <w:iCs/>
          <w:szCs w:val="18"/>
          <w:lang w:eastAsia="en-AU"/>
        </w:rPr>
      </w:pPr>
      <w:r>
        <w:rPr>
          <w:rFonts w:cs="Arial"/>
          <w:iCs/>
          <w:szCs w:val="18"/>
          <w:lang w:eastAsia="en-AU"/>
        </w:rPr>
        <w:t>Establishing Instrument:</w:t>
      </w:r>
      <w:r>
        <w:rPr>
          <w:rFonts w:cs="Arial"/>
          <w:szCs w:val="18"/>
          <w:lang w:eastAsia="en-AU"/>
        </w:rPr>
        <w:t xml:space="preserve"> </w:t>
      </w:r>
      <w:r>
        <w:rPr>
          <w:rFonts w:cs="Arial"/>
          <w:i/>
          <w:iCs/>
          <w:szCs w:val="18"/>
          <w:lang w:eastAsia="en-AU"/>
        </w:rPr>
        <w:t xml:space="preserve"> Financial Management and Accountability Determination 2008/14 </w:t>
      </w:r>
      <w:r>
        <w:rPr>
          <w:rFonts w:cs="Arial"/>
          <w:iCs/>
          <w:szCs w:val="18"/>
          <w:lang w:eastAsia="en-AU"/>
        </w:rPr>
        <w:t>on 3 June 2008.</w:t>
      </w:r>
    </w:p>
    <w:p w:rsidR="003E6989" w:rsidRPr="004C7426" w:rsidRDefault="003E6989" w:rsidP="003E6989">
      <w:pPr>
        <w:spacing w:line="240" w:lineRule="atLeast"/>
      </w:pPr>
      <w:r>
        <w:rPr>
          <w:rFonts w:cs="Arial"/>
          <w:iCs/>
          <w:szCs w:val="18"/>
          <w:lang w:eastAsia="en-AU"/>
        </w:rPr>
        <w:t>Purpose</w:t>
      </w:r>
      <w:r>
        <w:rPr>
          <w:rFonts w:cs="Arial"/>
          <w:i/>
          <w:iCs/>
          <w:szCs w:val="18"/>
          <w:lang w:eastAsia="en-AU"/>
        </w:rPr>
        <w:t>:</w:t>
      </w:r>
      <w:r>
        <w:rPr>
          <w:rFonts w:cs="Arial"/>
          <w:szCs w:val="18"/>
          <w:lang w:eastAsia="en-AU"/>
        </w:rPr>
        <w:t xml:space="preserve">  To disburse amounts:  held on trust or otherwise for the benefit of a person other than the Commonwealth; in connection with services performed on behalf of other governments and bodies that are not </w:t>
      </w:r>
      <w:r>
        <w:t>non-corporate Commonwealth entities</w:t>
      </w:r>
      <w:r>
        <w:rPr>
          <w:rFonts w:cs="Arial"/>
          <w:szCs w:val="18"/>
          <w:lang w:eastAsia="en-AU"/>
        </w:rPr>
        <w:t>; and to repay amounts where an Act or other law requires or permits the repayment of an amount received.</w:t>
      </w:r>
      <w:r w:rsidRPr="004C7426">
        <w:br w:type="page"/>
      </w:r>
    </w:p>
    <w:p w:rsidR="003E6989" w:rsidRDefault="003E6989" w:rsidP="003E6989">
      <w:pPr>
        <w:spacing w:line="240" w:lineRule="auto"/>
        <w:sectPr w:rsidR="003E6989" w:rsidSect="006A5410">
          <w:pgSz w:w="11906" w:h="16838"/>
          <w:pgMar w:top="1134" w:right="1134" w:bottom="1134" w:left="1134" w:header="958" w:footer="737" w:gutter="0"/>
          <w:cols w:space="720"/>
          <w:docGrid w:linePitch="245"/>
        </w:sectPr>
      </w:pPr>
      <w:bookmarkStart w:id="509" w:name="RANGE!D31:J56"/>
      <w:bookmarkEnd w:id="509"/>
    </w:p>
    <w:p w:rsidR="003E6989" w:rsidRDefault="003E6989" w:rsidP="003E6989">
      <w:pPr>
        <w:pStyle w:val="SubHeading"/>
      </w:pPr>
      <w:r>
        <w:t xml:space="preserve"> </w:t>
      </w:r>
      <w:bookmarkStart w:id="510" w:name="_Toc455416747"/>
      <w:bookmarkStart w:id="511" w:name="_Toc464726638"/>
      <w:r>
        <w:t>Regulatory Charging Summary</w:t>
      </w:r>
      <w:bookmarkEnd w:id="510"/>
      <w:bookmarkEnd w:id="511"/>
    </w:p>
    <w:tbl>
      <w:tblPr>
        <w:tblW w:w="9087" w:type="dxa"/>
        <w:tblInd w:w="80" w:type="dxa"/>
        <w:tblLayout w:type="fixed"/>
        <w:tblLook w:val="04A0" w:firstRow="1" w:lastRow="0" w:firstColumn="1" w:lastColumn="0" w:noHBand="0" w:noVBand="1"/>
      </w:tblPr>
      <w:tblGrid>
        <w:gridCol w:w="6767"/>
        <w:gridCol w:w="1041"/>
        <w:gridCol w:w="239"/>
        <w:gridCol w:w="1040"/>
      </w:tblGrid>
      <w:tr w:rsidR="003E6989" w:rsidTr="006A5410">
        <w:trPr>
          <w:trHeight w:val="255"/>
        </w:trPr>
        <w:tc>
          <w:tcPr>
            <w:tcW w:w="6688" w:type="dxa"/>
            <w:tcBorders>
              <w:top w:val="nil"/>
              <w:left w:val="nil"/>
              <w:bottom w:val="nil"/>
              <w:right w:val="nil"/>
            </w:tcBorders>
            <w:shd w:val="clear" w:color="FFFFFF" w:fill="FFFFFF"/>
            <w:noWrap/>
            <w:vAlign w:val="bottom"/>
            <w:hideMark/>
          </w:tcPr>
          <w:p w:rsidR="003E6989" w:rsidRDefault="003E6989" w:rsidP="006A5410">
            <w:pPr>
              <w:rPr>
                <w:rFonts w:cs="Calibri"/>
                <w:sz w:val="16"/>
                <w:szCs w:val="16"/>
              </w:rPr>
            </w:pPr>
            <w:bookmarkStart w:id="512" w:name="Note_DCNTABLE1" w:colFirst="0" w:colLast="0"/>
            <w:r>
              <w:rPr>
                <w:rFonts w:cs="Calibri"/>
                <w:sz w:val="16"/>
                <w:szCs w:val="16"/>
              </w:rPr>
              <w:t> </w:t>
            </w:r>
          </w:p>
        </w:tc>
        <w:tc>
          <w:tcPr>
            <w:tcW w:w="1029"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2016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28"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2015</w:t>
            </w:r>
          </w:p>
        </w:tc>
      </w:tr>
      <w:bookmarkEnd w:id="512"/>
      <w:tr w:rsidR="003E6989" w:rsidTr="006A5410">
        <w:trPr>
          <w:trHeight w:val="255"/>
        </w:trPr>
        <w:tc>
          <w:tcPr>
            <w:tcW w:w="6688" w:type="dxa"/>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r>
              <w:rPr>
                <w:rFonts w:cs="Calibri"/>
                <w:b/>
                <w:bCs/>
                <w:szCs w:val="18"/>
                <w:u w:val="single"/>
              </w:rPr>
              <w:t>5.3A: Regulatory charging summary</w:t>
            </w:r>
          </w:p>
        </w:tc>
        <w:tc>
          <w:tcPr>
            <w:tcW w:w="1029"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28"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6688" w:type="dxa"/>
            <w:tcBorders>
              <w:top w:val="nil"/>
              <w:left w:val="nil"/>
              <w:bottom w:val="nil"/>
              <w:right w:val="nil"/>
            </w:tcBorders>
            <w:shd w:val="clear" w:color="FFFFFF" w:fill="FFFFFF"/>
            <w:noWrap/>
            <w:vAlign w:val="bottom"/>
            <w:hideMark/>
          </w:tcPr>
          <w:p w:rsidR="003E6989" w:rsidRDefault="003E6989" w:rsidP="006A5410">
            <w:pPr>
              <w:rPr>
                <w:rFonts w:cs="Calibri"/>
                <w:sz w:val="16"/>
                <w:szCs w:val="16"/>
              </w:rPr>
            </w:pPr>
            <w:r>
              <w:rPr>
                <w:rFonts w:cs="Calibri"/>
                <w:sz w:val="16"/>
                <w:szCs w:val="16"/>
              </w:rPr>
              <w:t> </w:t>
            </w:r>
          </w:p>
        </w:tc>
        <w:tc>
          <w:tcPr>
            <w:tcW w:w="1029" w:type="dxa"/>
            <w:tcBorders>
              <w:top w:val="nil"/>
              <w:left w:val="nil"/>
              <w:bottom w:val="nil"/>
              <w:right w:val="nil"/>
            </w:tcBorders>
            <w:shd w:val="clear" w:color="FFFFFF" w:fill="FFFFFF"/>
            <w:noWrap/>
            <w:vAlign w:val="bottom"/>
            <w:hideMark/>
          </w:tcPr>
          <w:p w:rsidR="003E6989" w:rsidRDefault="003E6989" w:rsidP="006A5410">
            <w:pPr>
              <w:rPr>
                <w:rFonts w:cs="Calibri"/>
                <w:sz w:val="16"/>
                <w:szCs w:val="16"/>
              </w:rPr>
            </w:pPr>
            <w:r>
              <w:rPr>
                <w:rFonts w:cs="Calibri"/>
                <w:sz w:val="16"/>
                <w:szCs w:val="16"/>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 w:val="16"/>
                <w:szCs w:val="16"/>
              </w:rPr>
            </w:pPr>
            <w:r>
              <w:rPr>
                <w:rFonts w:cs="Calibri"/>
                <w:sz w:val="16"/>
                <w:szCs w:val="16"/>
              </w:rPr>
              <w:t> </w:t>
            </w:r>
          </w:p>
        </w:tc>
        <w:tc>
          <w:tcPr>
            <w:tcW w:w="1028" w:type="dxa"/>
            <w:tcBorders>
              <w:top w:val="nil"/>
              <w:left w:val="nil"/>
              <w:bottom w:val="nil"/>
              <w:right w:val="nil"/>
            </w:tcBorders>
            <w:shd w:val="clear" w:color="FFFFFF" w:fill="FFFFFF"/>
            <w:noWrap/>
            <w:vAlign w:val="bottom"/>
            <w:hideMark/>
          </w:tcPr>
          <w:p w:rsidR="003E6989" w:rsidRDefault="003E6989" w:rsidP="006A5410">
            <w:pPr>
              <w:rPr>
                <w:rFonts w:cs="Calibri"/>
                <w:sz w:val="16"/>
                <w:szCs w:val="16"/>
              </w:rPr>
            </w:pPr>
            <w:r>
              <w:rPr>
                <w:rFonts w:cs="Calibri"/>
                <w:sz w:val="16"/>
                <w:szCs w:val="16"/>
              </w:rPr>
              <w:t> </w:t>
            </w:r>
          </w:p>
        </w:tc>
      </w:tr>
      <w:tr w:rsidR="003E6989" w:rsidTr="006A5410">
        <w:trPr>
          <w:trHeight w:val="255"/>
        </w:trPr>
        <w:tc>
          <w:tcPr>
            <w:tcW w:w="6688"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Amounts applied</w:t>
            </w:r>
          </w:p>
        </w:tc>
        <w:tc>
          <w:tcPr>
            <w:tcW w:w="1029" w:type="dxa"/>
            <w:tcBorders>
              <w:top w:val="nil"/>
              <w:left w:val="nil"/>
              <w:bottom w:val="nil"/>
              <w:right w:val="nil"/>
            </w:tcBorders>
            <w:shd w:val="clear" w:color="FFFFFF" w:fill="FFFFFF"/>
            <w:noWrap/>
            <w:vAlign w:val="bottom"/>
            <w:hideMark/>
          </w:tcPr>
          <w:p w:rsidR="003E6989" w:rsidRDefault="003E6989" w:rsidP="006A5410">
            <w:pPr>
              <w:rPr>
                <w:rFonts w:cs="Calibri"/>
                <w:sz w:val="16"/>
                <w:szCs w:val="16"/>
              </w:rPr>
            </w:pPr>
            <w:r>
              <w:rPr>
                <w:rFonts w:cs="Calibri"/>
                <w:sz w:val="16"/>
                <w:szCs w:val="16"/>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 w:val="16"/>
                <w:szCs w:val="16"/>
              </w:rPr>
            </w:pPr>
            <w:r>
              <w:rPr>
                <w:rFonts w:cs="Calibri"/>
                <w:sz w:val="16"/>
                <w:szCs w:val="16"/>
              </w:rPr>
              <w:t> </w:t>
            </w:r>
          </w:p>
        </w:tc>
        <w:tc>
          <w:tcPr>
            <w:tcW w:w="1028" w:type="dxa"/>
            <w:tcBorders>
              <w:top w:val="nil"/>
              <w:left w:val="nil"/>
              <w:bottom w:val="nil"/>
              <w:right w:val="nil"/>
            </w:tcBorders>
            <w:shd w:val="clear" w:color="FFFFFF" w:fill="FFFFFF"/>
            <w:noWrap/>
            <w:vAlign w:val="bottom"/>
            <w:hideMark/>
          </w:tcPr>
          <w:p w:rsidR="003E6989" w:rsidRDefault="003E6989" w:rsidP="006A5410">
            <w:pPr>
              <w:rPr>
                <w:rFonts w:cs="Calibri"/>
                <w:sz w:val="16"/>
                <w:szCs w:val="16"/>
              </w:rPr>
            </w:pPr>
            <w:r>
              <w:rPr>
                <w:rFonts w:cs="Calibri"/>
                <w:sz w:val="16"/>
                <w:szCs w:val="16"/>
              </w:rPr>
              <w:t> </w:t>
            </w:r>
          </w:p>
        </w:tc>
      </w:tr>
      <w:tr w:rsidR="003E6989" w:rsidTr="006A5410">
        <w:trPr>
          <w:trHeight w:val="255"/>
        </w:trPr>
        <w:tc>
          <w:tcPr>
            <w:tcW w:w="6688"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Departmental</w:t>
            </w:r>
          </w:p>
        </w:tc>
        <w:tc>
          <w:tcPr>
            <w:tcW w:w="1029" w:type="dxa"/>
            <w:tcBorders>
              <w:top w:val="nil"/>
              <w:left w:val="nil"/>
              <w:bottom w:val="nil"/>
              <w:right w:val="nil"/>
            </w:tcBorders>
            <w:shd w:val="clear" w:color="FFFFFF" w:fill="FFFFFF"/>
            <w:noWrap/>
            <w:vAlign w:val="bottom"/>
            <w:hideMark/>
          </w:tcPr>
          <w:p w:rsidR="003E6989" w:rsidRDefault="003E6989" w:rsidP="006A5410">
            <w:pPr>
              <w:rPr>
                <w:rFonts w:cs="Calibri"/>
                <w:sz w:val="16"/>
                <w:szCs w:val="16"/>
              </w:rPr>
            </w:pPr>
            <w:r>
              <w:rPr>
                <w:rFonts w:cs="Calibri"/>
                <w:sz w:val="16"/>
                <w:szCs w:val="16"/>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 w:val="16"/>
                <w:szCs w:val="16"/>
              </w:rPr>
            </w:pPr>
            <w:r>
              <w:rPr>
                <w:rFonts w:cs="Calibri"/>
                <w:sz w:val="16"/>
                <w:szCs w:val="16"/>
              </w:rPr>
              <w:t> </w:t>
            </w:r>
          </w:p>
        </w:tc>
        <w:tc>
          <w:tcPr>
            <w:tcW w:w="1028" w:type="dxa"/>
            <w:tcBorders>
              <w:top w:val="nil"/>
              <w:left w:val="nil"/>
              <w:bottom w:val="nil"/>
              <w:right w:val="nil"/>
            </w:tcBorders>
            <w:shd w:val="clear" w:color="FFFFFF" w:fill="FFFFFF"/>
            <w:noWrap/>
            <w:vAlign w:val="bottom"/>
            <w:hideMark/>
          </w:tcPr>
          <w:p w:rsidR="003E6989" w:rsidRDefault="003E6989" w:rsidP="006A5410">
            <w:pPr>
              <w:rPr>
                <w:rFonts w:cs="Calibri"/>
                <w:sz w:val="16"/>
                <w:szCs w:val="16"/>
              </w:rPr>
            </w:pPr>
            <w:r>
              <w:rPr>
                <w:rFonts w:cs="Calibri"/>
                <w:sz w:val="16"/>
                <w:szCs w:val="16"/>
              </w:rPr>
              <w:t> </w:t>
            </w:r>
          </w:p>
        </w:tc>
      </w:tr>
      <w:tr w:rsidR="003E6989" w:rsidTr="006A5410">
        <w:trPr>
          <w:trHeight w:val="255"/>
        </w:trPr>
        <w:tc>
          <w:tcPr>
            <w:tcW w:w="6688" w:type="dxa"/>
            <w:tcBorders>
              <w:top w:val="nil"/>
              <w:left w:val="nil"/>
              <w:bottom w:val="nil"/>
              <w:right w:val="nil"/>
            </w:tcBorders>
            <w:shd w:val="clear" w:color="FFFFFF" w:fill="FFFFFF"/>
            <w:vAlign w:val="bottom"/>
            <w:hideMark/>
          </w:tcPr>
          <w:p w:rsidR="003E6989" w:rsidRDefault="003E6989" w:rsidP="003E6989">
            <w:pPr>
              <w:ind w:firstLineChars="100" w:firstLine="180"/>
              <w:rPr>
                <w:rFonts w:cs="Calibri"/>
                <w:szCs w:val="18"/>
              </w:rPr>
            </w:pPr>
            <w:r>
              <w:rPr>
                <w:rFonts w:cs="Calibri"/>
                <w:szCs w:val="18"/>
              </w:rPr>
              <w:t>Annual appropriations</w:t>
            </w:r>
          </w:p>
        </w:tc>
        <w:tc>
          <w:tcPr>
            <w:tcW w:w="1029"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4,545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028"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4,830 </w:t>
            </w:r>
          </w:p>
        </w:tc>
      </w:tr>
      <w:tr w:rsidR="003E6989" w:rsidTr="006A5410">
        <w:trPr>
          <w:trHeight w:val="255"/>
        </w:trPr>
        <w:tc>
          <w:tcPr>
            <w:tcW w:w="6688"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 xml:space="preserve">Total amounts applied </w:t>
            </w:r>
          </w:p>
        </w:tc>
        <w:tc>
          <w:tcPr>
            <w:tcW w:w="1029"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4,545</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02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4,830</w:t>
            </w:r>
          </w:p>
        </w:tc>
      </w:tr>
      <w:tr w:rsidR="003E6989" w:rsidTr="006A5410">
        <w:trPr>
          <w:trHeight w:val="255"/>
        </w:trPr>
        <w:tc>
          <w:tcPr>
            <w:tcW w:w="6688" w:type="dxa"/>
            <w:tcBorders>
              <w:top w:val="nil"/>
              <w:left w:val="nil"/>
              <w:bottom w:val="nil"/>
              <w:right w:val="nil"/>
            </w:tcBorders>
            <w:shd w:val="clear" w:color="FFFFFF" w:fill="FFFFFF"/>
            <w:noWrap/>
            <w:vAlign w:val="bottom"/>
            <w:hideMark/>
          </w:tcPr>
          <w:p w:rsidR="003E6989" w:rsidRDefault="003E6989" w:rsidP="006A5410">
            <w:pPr>
              <w:rPr>
                <w:rFonts w:cs="Calibri"/>
                <w:sz w:val="16"/>
                <w:szCs w:val="16"/>
              </w:rPr>
            </w:pPr>
            <w:r>
              <w:rPr>
                <w:rFonts w:cs="Calibri"/>
                <w:sz w:val="16"/>
                <w:szCs w:val="16"/>
              </w:rPr>
              <w:t> </w:t>
            </w:r>
          </w:p>
        </w:tc>
        <w:tc>
          <w:tcPr>
            <w:tcW w:w="1029" w:type="dxa"/>
            <w:tcBorders>
              <w:top w:val="nil"/>
              <w:left w:val="nil"/>
              <w:bottom w:val="nil"/>
              <w:right w:val="nil"/>
            </w:tcBorders>
            <w:shd w:val="clear" w:color="FFFFFF" w:fill="FFFFFF"/>
            <w:noWrap/>
            <w:vAlign w:val="bottom"/>
            <w:hideMark/>
          </w:tcPr>
          <w:p w:rsidR="003E6989" w:rsidRDefault="003E6989" w:rsidP="006A5410">
            <w:pPr>
              <w:rPr>
                <w:rFonts w:cs="Calibri"/>
                <w:sz w:val="16"/>
                <w:szCs w:val="16"/>
              </w:rPr>
            </w:pPr>
            <w:r>
              <w:rPr>
                <w:rFonts w:cs="Calibri"/>
                <w:sz w:val="16"/>
                <w:szCs w:val="16"/>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 w:val="16"/>
                <w:szCs w:val="16"/>
              </w:rPr>
            </w:pPr>
            <w:r>
              <w:rPr>
                <w:rFonts w:cs="Calibri"/>
                <w:sz w:val="16"/>
                <w:szCs w:val="16"/>
              </w:rPr>
              <w:t> </w:t>
            </w:r>
          </w:p>
        </w:tc>
        <w:tc>
          <w:tcPr>
            <w:tcW w:w="1028" w:type="dxa"/>
            <w:tcBorders>
              <w:top w:val="nil"/>
              <w:left w:val="nil"/>
              <w:bottom w:val="nil"/>
              <w:right w:val="nil"/>
            </w:tcBorders>
            <w:shd w:val="clear" w:color="FFFFFF" w:fill="FFFFFF"/>
            <w:noWrap/>
            <w:vAlign w:val="bottom"/>
            <w:hideMark/>
          </w:tcPr>
          <w:p w:rsidR="003E6989" w:rsidRDefault="003E6989" w:rsidP="006A5410">
            <w:pPr>
              <w:rPr>
                <w:rFonts w:cs="Calibri"/>
                <w:sz w:val="16"/>
                <w:szCs w:val="16"/>
              </w:rPr>
            </w:pPr>
            <w:r>
              <w:rPr>
                <w:rFonts w:cs="Calibri"/>
                <w:sz w:val="16"/>
                <w:szCs w:val="16"/>
              </w:rPr>
              <w:t> </w:t>
            </w:r>
          </w:p>
        </w:tc>
      </w:tr>
      <w:tr w:rsidR="003E6989" w:rsidTr="006A5410">
        <w:trPr>
          <w:trHeight w:val="255"/>
        </w:trPr>
        <w:tc>
          <w:tcPr>
            <w:tcW w:w="6688"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Expenses</w:t>
            </w:r>
          </w:p>
        </w:tc>
        <w:tc>
          <w:tcPr>
            <w:tcW w:w="1029" w:type="dxa"/>
            <w:tcBorders>
              <w:top w:val="nil"/>
              <w:left w:val="nil"/>
              <w:bottom w:val="nil"/>
              <w:right w:val="nil"/>
            </w:tcBorders>
            <w:shd w:val="clear" w:color="FFFFFF" w:fill="FFFFFF"/>
            <w:noWrap/>
            <w:vAlign w:val="bottom"/>
            <w:hideMark/>
          </w:tcPr>
          <w:p w:rsidR="003E6989" w:rsidRDefault="003E6989" w:rsidP="006A5410">
            <w:pPr>
              <w:rPr>
                <w:rFonts w:cs="Calibri"/>
                <w:sz w:val="16"/>
                <w:szCs w:val="16"/>
              </w:rPr>
            </w:pPr>
            <w:r>
              <w:rPr>
                <w:rFonts w:cs="Calibri"/>
                <w:sz w:val="16"/>
                <w:szCs w:val="16"/>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 w:val="16"/>
                <w:szCs w:val="16"/>
              </w:rPr>
            </w:pPr>
            <w:r>
              <w:rPr>
                <w:rFonts w:cs="Calibri"/>
                <w:sz w:val="16"/>
                <w:szCs w:val="16"/>
              </w:rPr>
              <w:t> </w:t>
            </w:r>
          </w:p>
        </w:tc>
        <w:tc>
          <w:tcPr>
            <w:tcW w:w="1028" w:type="dxa"/>
            <w:tcBorders>
              <w:top w:val="nil"/>
              <w:left w:val="nil"/>
              <w:bottom w:val="nil"/>
              <w:right w:val="nil"/>
            </w:tcBorders>
            <w:shd w:val="clear" w:color="FFFFFF" w:fill="FFFFFF"/>
            <w:noWrap/>
            <w:vAlign w:val="bottom"/>
            <w:hideMark/>
          </w:tcPr>
          <w:p w:rsidR="003E6989" w:rsidRDefault="003E6989" w:rsidP="006A5410">
            <w:pPr>
              <w:rPr>
                <w:rFonts w:cs="Calibri"/>
                <w:sz w:val="16"/>
                <w:szCs w:val="16"/>
              </w:rPr>
            </w:pPr>
            <w:r>
              <w:rPr>
                <w:rFonts w:cs="Calibri"/>
                <w:sz w:val="16"/>
                <w:szCs w:val="16"/>
              </w:rPr>
              <w:t> </w:t>
            </w:r>
          </w:p>
        </w:tc>
      </w:tr>
      <w:tr w:rsidR="003E6989" w:rsidTr="006A5410">
        <w:trPr>
          <w:trHeight w:val="255"/>
        </w:trPr>
        <w:tc>
          <w:tcPr>
            <w:tcW w:w="6688" w:type="dxa"/>
            <w:tcBorders>
              <w:top w:val="nil"/>
              <w:left w:val="nil"/>
              <w:bottom w:val="nil"/>
              <w:right w:val="nil"/>
            </w:tcBorders>
            <w:shd w:val="clear" w:color="FFFFFF" w:fill="FFFFFF"/>
            <w:vAlign w:val="bottom"/>
            <w:hideMark/>
          </w:tcPr>
          <w:p w:rsidR="003E6989" w:rsidRDefault="003E6989" w:rsidP="003E6989">
            <w:pPr>
              <w:ind w:firstLineChars="100" w:firstLine="180"/>
              <w:rPr>
                <w:rFonts w:cs="Calibri"/>
                <w:szCs w:val="18"/>
              </w:rPr>
            </w:pPr>
            <w:r>
              <w:rPr>
                <w:rFonts w:cs="Calibri"/>
                <w:szCs w:val="18"/>
              </w:rPr>
              <w:t>Departmental</w:t>
            </w:r>
          </w:p>
        </w:tc>
        <w:tc>
          <w:tcPr>
            <w:tcW w:w="1029"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4,545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028"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4,830 </w:t>
            </w:r>
          </w:p>
        </w:tc>
      </w:tr>
      <w:tr w:rsidR="003E6989" w:rsidTr="006A5410">
        <w:trPr>
          <w:trHeight w:val="270"/>
        </w:trPr>
        <w:tc>
          <w:tcPr>
            <w:tcW w:w="6688"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Total expenses</w:t>
            </w:r>
          </w:p>
        </w:tc>
        <w:tc>
          <w:tcPr>
            <w:tcW w:w="1029"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4,545</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028"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4,830</w:t>
            </w:r>
          </w:p>
        </w:tc>
      </w:tr>
      <w:tr w:rsidR="003E6989" w:rsidTr="006A5410">
        <w:trPr>
          <w:trHeight w:val="270"/>
        </w:trPr>
        <w:tc>
          <w:tcPr>
            <w:tcW w:w="6688" w:type="dxa"/>
            <w:tcBorders>
              <w:top w:val="nil"/>
              <w:left w:val="nil"/>
              <w:bottom w:val="nil"/>
              <w:right w:val="nil"/>
            </w:tcBorders>
            <w:shd w:val="clear" w:color="FFFFFF" w:fill="FFFFFF"/>
            <w:noWrap/>
            <w:vAlign w:val="bottom"/>
            <w:hideMark/>
          </w:tcPr>
          <w:p w:rsidR="003E6989" w:rsidRDefault="003E6989" w:rsidP="006A5410">
            <w:pPr>
              <w:rPr>
                <w:rFonts w:cs="Calibri"/>
                <w:sz w:val="16"/>
                <w:szCs w:val="16"/>
              </w:rPr>
            </w:pPr>
            <w:r>
              <w:rPr>
                <w:rFonts w:cs="Calibri"/>
                <w:sz w:val="16"/>
                <w:szCs w:val="16"/>
              </w:rPr>
              <w:t> </w:t>
            </w:r>
          </w:p>
        </w:tc>
        <w:tc>
          <w:tcPr>
            <w:tcW w:w="1029" w:type="dxa"/>
            <w:tcBorders>
              <w:top w:val="nil"/>
              <w:left w:val="nil"/>
              <w:bottom w:val="nil"/>
              <w:right w:val="nil"/>
            </w:tcBorders>
            <w:shd w:val="clear" w:color="FFFFFF" w:fill="FFFFFF"/>
            <w:noWrap/>
            <w:vAlign w:val="bottom"/>
            <w:hideMark/>
          </w:tcPr>
          <w:p w:rsidR="003E6989" w:rsidRDefault="003E6989" w:rsidP="006A5410">
            <w:pPr>
              <w:rPr>
                <w:rFonts w:cs="Calibri"/>
                <w:sz w:val="16"/>
                <w:szCs w:val="16"/>
              </w:rPr>
            </w:pPr>
            <w:r>
              <w:rPr>
                <w:rFonts w:cs="Calibri"/>
                <w:sz w:val="16"/>
                <w:szCs w:val="16"/>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 w:val="16"/>
                <w:szCs w:val="16"/>
              </w:rPr>
            </w:pPr>
            <w:r>
              <w:rPr>
                <w:rFonts w:cs="Calibri"/>
                <w:sz w:val="16"/>
                <w:szCs w:val="16"/>
              </w:rPr>
              <w:t> </w:t>
            </w:r>
          </w:p>
        </w:tc>
        <w:tc>
          <w:tcPr>
            <w:tcW w:w="1028" w:type="dxa"/>
            <w:tcBorders>
              <w:top w:val="nil"/>
              <w:left w:val="nil"/>
              <w:bottom w:val="nil"/>
              <w:right w:val="nil"/>
            </w:tcBorders>
            <w:shd w:val="clear" w:color="FFFFFF" w:fill="FFFFFF"/>
            <w:noWrap/>
            <w:vAlign w:val="bottom"/>
            <w:hideMark/>
          </w:tcPr>
          <w:p w:rsidR="003E6989" w:rsidRDefault="003E6989" w:rsidP="006A5410">
            <w:pPr>
              <w:rPr>
                <w:rFonts w:cs="Calibri"/>
                <w:sz w:val="16"/>
                <w:szCs w:val="16"/>
              </w:rPr>
            </w:pPr>
            <w:r>
              <w:rPr>
                <w:rFonts w:cs="Calibri"/>
                <w:sz w:val="16"/>
                <w:szCs w:val="16"/>
              </w:rPr>
              <w:t> </w:t>
            </w:r>
          </w:p>
        </w:tc>
      </w:tr>
      <w:tr w:rsidR="003E6989" w:rsidTr="006A5410">
        <w:trPr>
          <w:trHeight w:val="255"/>
        </w:trPr>
        <w:tc>
          <w:tcPr>
            <w:tcW w:w="6688" w:type="dxa"/>
            <w:tcBorders>
              <w:top w:val="nil"/>
              <w:left w:val="nil"/>
              <w:bottom w:val="nil"/>
              <w:right w:val="nil"/>
            </w:tcBorders>
            <w:shd w:val="clear" w:color="000000" w:fill="D9D9D9"/>
            <w:noWrap/>
            <w:vAlign w:val="bottom"/>
            <w:hideMark/>
          </w:tcPr>
          <w:p w:rsidR="003E6989" w:rsidRDefault="003E6989" w:rsidP="006A5410">
            <w:pPr>
              <w:rPr>
                <w:rFonts w:cs="Calibri"/>
                <w:b/>
                <w:bCs/>
                <w:color w:val="000000"/>
                <w:szCs w:val="18"/>
              </w:rPr>
            </w:pPr>
            <w:r>
              <w:rPr>
                <w:rFonts w:cs="Calibri"/>
                <w:b/>
                <w:bCs/>
                <w:color w:val="000000"/>
                <w:szCs w:val="18"/>
              </w:rPr>
              <w:t>Revenue</w:t>
            </w:r>
          </w:p>
        </w:tc>
        <w:tc>
          <w:tcPr>
            <w:tcW w:w="1029" w:type="dxa"/>
            <w:tcBorders>
              <w:top w:val="nil"/>
              <w:left w:val="nil"/>
              <w:bottom w:val="nil"/>
              <w:right w:val="nil"/>
            </w:tcBorders>
            <w:shd w:val="clear" w:color="000000" w:fill="D9D9D9"/>
            <w:noWrap/>
            <w:vAlign w:val="bottom"/>
            <w:hideMark/>
          </w:tcPr>
          <w:p w:rsidR="003E6989" w:rsidRDefault="003E6989" w:rsidP="006A5410">
            <w:pPr>
              <w:rPr>
                <w:rFonts w:cs="Calibri"/>
                <w:b/>
                <w:bCs/>
                <w:color w:val="000000"/>
                <w:szCs w:val="18"/>
              </w:rPr>
            </w:pPr>
            <w:r>
              <w:rPr>
                <w:rFonts w:cs="Calibri"/>
                <w:b/>
                <w:bCs/>
                <w:color w:val="000000"/>
                <w:szCs w:val="18"/>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28" w:type="dxa"/>
            <w:tcBorders>
              <w:top w:val="nil"/>
              <w:left w:val="nil"/>
              <w:bottom w:val="nil"/>
              <w:right w:val="nil"/>
            </w:tcBorders>
            <w:shd w:val="clear" w:color="000000" w:fill="D9D9D9"/>
            <w:noWrap/>
            <w:vAlign w:val="bottom"/>
            <w:hideMark/>
          </w:tcPr>
          <w:p w:rsidR="003E6989" w:rsidRDefault="003E6989" w:rsidP="006A5410">
            <w:pPr>
              <w:rPr>
                <w:rFonts w:cs="Calibri"/>
                <w:color w:val="000000"/>
                <w:szCs w:val="18"/>
              </w:rPr>
            </w:pPr>
            <w:r>
              <w:rPr>
                <w:rFonts w:cs="Calibri"/>
                <w:color w:val="000000"/>
                <w:szCs w:val="18"/>
              </w:rPr>
              <w:t> </w:t>
            </w:r>
          </w:p>
        </w:tc>
      </w:tr>
      <w:tr w:rsidR="003E6989" w:rsidTr="006A5410">
        <w:trPr>
          <w:trHeight w:val="255"/>
        </w:trPr>
        <w:tc>
          <w:tcPr>
            <w:tcW w:w="6688"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color w:val="000000"/>
                <w:szCs w:val="18"/>
              </w:rPr>
            </w:pPr>
            <w:r>
              <w:rPr>
                <w:rFonts w:cs="Calibri"/>
                <w:color w:val="000000"/>
                <w:szCs w:val="18"/>
              </w:rPr>
              <w:t>Administered</w:t>
            </w:r>
          </w:p>
        </w:tc>
        <w:tc>
          <w:tcPr>
            <w:tcW w:w="1029"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7,927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28"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7,119 </w:t>
            </w:r>
          </w:p>
        </w:tc>
      </w:tr>
      <w:tr w:rsidR="003E6989" w:rsidTr="006A5410">
        <w:trPr>
          <w:trHeight w:val="255"/>
        </w:trPr>
        <w:tc>
          <w:tcPr>
            <w:tcW w:w="6688" w:type="dxa"/>
            <w:tcBorders>
              <w:top w:val="nil"/>
              <w:left w:val="nil"/>
              <w:bottom w:val="nil"/>
              <w:right w:val="nil"/>
            </w:tcBorders>
            <w:shd w:val="clear" w:color="000000" w:fill="D9D9D9"/>
            <w:noWrap/>
            <w:vAlign w:val="bottom"/>
            <w:hideMark/>
          </w:tcPr>
          <w:p w:rsidR="003E6989" w:rsidRDefault="003E6989" w:rsidP="006A5410">
            <w:pPr>
              <w:rPr>
                <w:rFonts w:cs="Calibri"/>
                <w:b/>
                <w:bCs/>
                <w:color w:val="000000"/>
                <w:szCs w:val="18"/>
              </w:rPr>
            </w:pPr>
            <w:r>
              <w:rPr>
                <w:rFonts w:cs="Calibri"/>
                <w:b/>
                <w:bCs/>
                <w:color w:val="000000"/>
                <w:szCs w:val="18"/>
              </w:rPr>
              <w:t xml:space="preserve">Total revenue </w:t>
            </w:r>
          </w:p>
        </w:tc>
        <w:tc>
          <w:tcPr>
            <w:tcW w:w="1029"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7,927</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28"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7,119</w:t>
            </w:r>
          </w:p>
        </w:tc>
      </w:tr>
      <w:tr w:rsidR="003E6989" w:rsidTr="006A5410">
        <w:trPr>
          <w:trHeight w:val="255"/>
        </w:trPr>
        <w:tc>
          <w:tcPr>
            <w:tcW w:w="6688" w:type="dxa"/>
            <w:tcBorders>
              <w:top w:val="nil"/>
              <w:left w:val="nil"/>
              <w:bottom w:val="nil"/>
              <w:right w:val="nil"/>
            </w:tcBorders>
            <w:shd w:val="clear" w:color="000000" w:fill="D9D9D9"/>
            <w:noWrap/>
            <w:vAlign w:val="bottom"/>
            <w:hideMark/>
          </w:tcPr>
          <w:p w:rsidR="003E6989" w:rsidRDefault="003E6989" w:rsidP="006A5410">
            <w:pPr>
              <w:rPr>
                <w:rFonts w:cs="Calibri"/>
                <w:color w:val="000000"/>
                <w:szCs w:val="18"/>
              </w:rPr>
            </w:pPr>
            <w:r>
              <w:rPr>
                <w:rFonts w:cs="Calibri"/>
                <w:color w:val="000000"/>
                <w:szCs w:val="18"/>
              </w:rPr>
              <w:t> </w:t>
            </w:r>
          </w:p>
        </w:tc>
        <w:tc>
          <w:tcPr>
            <w:tcW w:w="1029" w:type="dxa"/>
            <w:tcBorders>
              <w:top w:val="nil"/>
              <w:left w:val="nil"/>
              <w:bottom w:val="nil"/>
              <w:right w:val="nil"/>
            </w:tcBorders>
            <w:shd w:val="clear" w:color="000000" w:fill="D9D9D9"/>
            <w:noWrap/>
            <w:vAlign w:val="bottom"/>
            <w:hideMark/>
          </w:tcPr>
          <w:p w:rsidR="003E6989" w:rsidRDefault="003E6989" w:rsidP="006A5410">
            <w:pPr>
              <w:rPr>
                <w:rFonts w:cs="Calibri"/>
                <w:b/>
                <w:bCs/>
                <w:color w:val="000000"/>
                <w:szCs w:val="18"/>
              </w:rPr>
            </w:pPr>
            <w:r>
              <w:rPr>
                <w:rFonts w:cs="Calibri"/>
                <w:b/>
                <w:bCs/>
                <w:color w:val="000000"/>
                <w:szCs w:val="18"/>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28" w:type="dxa"/>
            <w:tcBorders>
              <w:top w:val="nil"/>
              <w:left w:val="nil"/>
              <w:bottom w:val="nil"/>
              <w:right w:val="nil"/>
            </w:tcBorders>
            <w:shd w:val="clear" w:color="000000" w:fill="D9D9D9"/>
            <w:noWrap/>
            <w:vAlign w:val="bottom"/>
            <w:hideMark/>
          </w:tcPr>
          <w:p w:rsidR="003E6989" w:rsidRDefault="003E6989" w:rsidP="006A5410">
            <w:pPr>
              <w:rPr>
                <w:rFonts w:cs="Calibri"/>
                <w:color w:val="000000"/>
                <w:szCs w:val="18"/>
              </w:rPr>
            </w:pPr>
            <w:r>
              <w:rPr>
                <w:rFonts w:cs="Calibri"/>
                <w:color w:val="000000"/>
                <w:szCs w:val="18"/>
              </w:rPr>
              <w:t> </w:t>
            </w:r>
          </w:p>
        </w:tc>
      </w:tr>
      <w:tr w:rsidR="003E6989" w:rsidTr="006A5410">
        <w:trPr>
          <w:trHeight w:val="255"/>
        </w:trPr>
        <w:tc>
          <w:tcPr>
            <w:tcW w:w="6688" w:type="dxa"/>
            <w:tcBorders>
              <w:top w:val="nil"/>
              <w:left w:val="nil"/>
              <w:bottom w:val="nil"/>
              <w:right w:val="nil"/>
            </w:tcBorders>
            <w:shd w:val="clear" w:color="000000" w:fill="D9D9D9"/>
            <w:noWrap/>
            <w:vAlign w:val="bottom"/>
            <w:hideMark/>
          </w:tcPr>
          <w:p w:rsidR="003E6989" w:rsidRDefault="003E6989" w:rsidP="006A5410">
            <w:pPr>
              <w:rPr>
                <w:rFonts w:cs="Calibri"/>
                <w:b/>
                <w:bCs/>
                <w:color w:val="000000"/>
                <w:szCs w:val="18"/>
              </w:rPr>
            </w:pPr>
            <w:r>
              <w:rPr>
                <w:rFonts w:cs="Calibri"/>
                <w:b/>
                <w:bCs/>
                <w:color w:val="000000"/>
                <w:szCs w:val="18"/>
              </w:rPr>
              <w:t>Receivables</w:t>
            </w:r>
          </w:p>
        </w:tc>
        <w:tc>
          <w:tcPr>
            <w:tcW w:w="1029" w:type="dxa"/>
            <w:tcBorders>
              <w:top w:val="nil"/>
              <w:left w:val="nil"/>
              <w:bottom w:val="nil"/>
              <w:right w:val="nil"/>
            </w:tcBorders>
            <w:shd w:val="clear" w:color="000000" w:fill="D9D9D9"/>
            <w:noWrap/>
            <w:vAlign w:val="bottom"/>
            <w:hideMark/>
          </w:tcPr>
          <w:p w:rsidR="003E6989" w:rsidRDefault="003E6989" w:rsidP="006A5410">
            <w:pPr>
              <w:rPr>
                <w:rFonts w:cs="Calibri"/>
                <w:b/>
                <w:bCs/>
                <w:color w:val="000000"/>
                <w:szCs w:val="18"/>
              </w:rPr>
            </w:pPr>
            <w:r>
              <w:rPr>
                <w:rFonts w:cs="Calibri"/>
                <w:b/>
                <w:bCs/>
                <w:color w:val="000000"/>
                <w:szCs w:val="18"/>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28" w:type="dxa"/>
            <w:tcBorders>
              <w:top w:val="nil"/>
              <w:left w:val="nil"/>
              <w:bottom w:val="nil"/>
              <w:right w:val="nil"/>
            </w:tcBorders>
            <w:shd w:val="clear" w:color="000000" w:fill="D9D9D9"/>
            <w:noWrap/>
            <w:vAlign w:val="bottom"/>
            <w:hideMark/>
          </w:tcPr>
          <w:p w:rsidR="003E6989" w:rsidRDefault="003E6989" w:rsidP="006A5410">
            <w:pPr>
              <w:rPr>
                <w:rFonts w:cs="Calibri"/>
                <w:color w:val="000000"/>
                <w:szCs w:val="18"/>
              </w:rPr>
            </w:pPr>
            <w:r>
              <w:rPr>
                <w:rFonts w:cs="Calibri"/>
                <w:color w:val="000000"/>
                <w:szCs w:val="18"/>
              </w:rPr>
              <w:t> </w:t>
            </w:r>
          </w:p>
        </w:tc>
      </w:tr>
      <w:tr w:rsidR="003E6989" w:rsidTr="006A5410">
        <w:trPr>
          <w:trHeight w:val="255"/>
        </w:trPr>
        <w:tc>
          <w:tcPr>
            <w:tcW w:w="6688" w:type="dxa"/>
            <w:tcBorders>
              <w:top w:val="nil"/>
              <w:left w:val="nil"/>
              <w:bottom w:val="nil"/>
              <w:right w:val="nil"/>
            </w:tcBorders>
            <w:shd w:val="clear" w:color="000000" w:fill="D9D9D9"/>
            <w:noWrap/>
            <w:vAlign w:val="bottom"/>
            <w:hideMark/>
          </w:tcPr>
          <w:p w:rsidR="003E6989" w:rsidRDefault="003E6989" w:rsidP="006A5410">
            <w:pPr>
              <w:rPr>
                <w:rFonts w:cs="Calibri"/>
                <w:color w:val="000000"/>
                <w:szCs w:val="18"/>
              </w:rPr>
            </w:pPr>
            <w:r>
              <w:rPr>
                <w:rFonts w:cs="Calibri"/>
                <w:color w:val="000000"/>
                <w:szCs w:val="18"/>
              </w:rPr>
              <w:t>Not overdue</w:t>
            </w:r>
          </w:p>
        </w:tc>
        <w:tc>
          <w:tcPr>
            <w:tcW w:w="1029"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47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28"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16 </w:t>
            </w:r>
          </w:p>
        </w:tc>
      </w:tr>
      <w:tr w:rsidR="003E6989" w:rsidTr="006A5410">
        <w:trPr>
          <w:trHeight w:val="255"/>
        </w:trPr>
        <w:tc>
          <w:tcPr>
            <w:tcW w:w="6688" w:type="dxa"/>
            <w:tcBorders>
              <w:top w:val="nil"/>
              <w:left w:val="nil"/>
              <w:bottom w:val="nil"/>
              <w:right w:val="nil"/>
            </w:tcBorders>
            <w:shd w:val="clear" w:color="000000" w:fill="D9D9D9"/>
            <w:noWrap/>
            <w:vAlign w:val="bottom"/>
            <w:hideMark/>
          </w:tcPr>
          <w:p w:rsidR="003E6989" w:rsidRDefault="003E6989" w:rsidP="006A5410">
            <w:pPr>
              <w:rPr>
                <w:rFonts w:cs="Calibri"/>
                <w:color w:val="000000"/>
                <w:szCs w:val="18"/>
              </w:rPr>
            </w:pPr>
            <w:r>
              <w:rPr>
                <w:rFonts w:cs="Calibri"/>
                <w:color w:val="000000"/>
                <w:szCs w:val="18"/>
              </w:rPr>
              <w:t>Overdue by</w:t>
            </w:r>
          </w:p>
        </w:tc>
        <w:tc>
          <w:tcPr>
            <w:tcW w:w="1029"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28"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6688" w:type="dxa"/>
            <w:tcBorders>
              <w:top w:val="nil"/>
              <w:left w:val="nil"/>
              <w:bottom w:val="nil"/>
              <w:right w:val="nil"/>
            </w:tcBorders>
            <w:shd w:val="clear" w:color="000000" w:fill="D9D9D9"/>
            <w:noWrap/>
            <w:vAlign w:val="bottom"/>
            <w:hideMark/>
          </w:tcPr>
          <w:p w:rsidR="003E6989" w:rsidRDefault="003E6989" w:rsidP="001F2C80">
            <w:pPr>
              <w:ind w:left="204"/>
              <w:rPr>
                <w:rFonts w:cs="Calibri"/>
                <w:color w:val="000000"/>
                <w:szCs w:val="18"/>
              </w:rPr>
            </w:pPr>
            <w:r>
              <w:rPr>
                <w:rFonts w:cs="Calibri"/>
                <w:color w:val="000000"/>
                <w:szCs w:val="18"/>
              </w:rPr>
              <w:t>0 to 30 days</w:t>
            </w:r>
          </w:p>
        </w:tc>
        <w:tc>
          <w:tcPr>
            <w:tcW w:w="1029"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8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28"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6 </w:t>
            </w:r>
          </w:p>
        </w:tc>
      </w:tr>
      <w:tr w:rsidR="003E6989" w:rsidTr="006A5410">
        <w:trPr>
          <w:trHeight w:val="255"/>
        </w:trPr>
        <w:tc>
          <w:tcPr>
            <w:tcW w:w="6688" w:type="dxa"/>
            <w:tcBorders>
              <w:top w:val="nil"/>
              <w:left w:val="nil"/>
              <w:bottom w:val="nil"/>
              <w:right w:val="nil"/>
            </w:tcBorders>
            <w:shd w:val="clear" w:color="000000" w:fill="D9D9D9"/>
            <w:noWrap/>
            <w:vAlign w:val="bottom"/>
            <w:hideMark/>
          </w:tcPr>
          <w:p w:rsidR="003E6989" w:rsidRDefault="003E6989" w:rsidP="001F2C80">
            <w:pPr>
              <w:ind w:left="204"/>
              <w:rPr>
                <w:rFonts w:cs="Calibri"/>
                <w:color w:val="000000"/>
                <w:szCs w:val="18"/>
              </w:rPr>
            </w:pPr>
            <w:r>
              <w:rPr>
                <w:rFonts w:cs="Calibri"/>
                <w:color w:val="000000"/>
                <w:szCs w:val="18"/>
              </w:rPr>
              <w:t>31 to 60 days</w:t>
            </w:r>
          </w:p>
        </w:tc>
        <w:tc>
          <w:tcPr>
            <w:tcW w:w="1029"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6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28"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6688" w:type="dxa"/>
            <w:tcBorders>
              <w:top w:val="nil"/>
              <w:left w:val="nil"/>
              <w:bottom w:val="nil"/>
              <w:right w:val="nil"/>
            </w:tcBorders>
            <w:shd w:val="clear" w:color="000000" w:fill="D9D9D9"/>
            <w:noWrap/>
            <w:vAlign w:val="bottom"/>
            <w:hideMark/>
          </w:tcPr>
          <w:p w:rsidR="003E6989" w:rsidRDefault="003E6989" w:rsidP="001F2C80">
            <w:pPr>
              <w:ind w:left="204"/>
              <w:rPr>
                <w:rFonts w:cs="Calibri"/>
                <w:color w:val="000000"/>
                <w:szCs w:val="18"/>
              </w:rPr>
            </w:pPr>
            <w:r>
              <w:rPr>
                <w:rFonts w:cs="Calibri"/>
                <w:color w:val="000000"/>
                <w:szCs w:val="18"/>
              </w:rPr>
              <w:t>61 to 90 days</w:t>
            </w:r>
          </w:p>
        </w:tc>
        <w:tc>
          <w:tcPr>
            <w:tcW w:w="1029"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10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28"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6688" w:type="dxa"/>
            <w:tcBorders>
              <w:top w:val="nil"/>
              <w:left w:val="nil"/>
              <w:bottom w:val="nil"/>
              <w:right w:val="nil"/>
            </w:tcBorders>
            <w:shd w:val="clear" w:color="000000" w:fill="D9D9D9"/>
            <w:noWrap/>
            <w:vAlign w:val="bottom"/>
            <w:hideMark/>
          </w:tcPr>
          <w:p w:rsidR="003E6989" w:rsidRDefault="003E6989" w:rsidP="001F2C80">
            <w:pPr>
              <w:ind w:left="204"/>
              <w:rPr>
                <w:rFonts w:cs="Calibri"/>
                <w:color w:val="000000"/>
                <w:szCs w:val="18"/>
              </w:rPr>
            </w:pPr>
            <w:r>
              <w:rPr>
                <w:rFonts w:cs="Calibri"/>
                <w:color w:val="000000"/>
                <w:szCs w:val="18"/>
              </w:rPr>
              <w:t>More than 90 days</w:t>
            </w:r>
          </w:p>
        </w:tc>
        <w:tc>
          <w:tcPr>
            <w:tcW w:w="1029"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120 </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28"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75 </w:t>
            </w:r>
          </w:p>
        </w:tc>
      </w:tr>
      <w:tr w:rsidR="003E6989" w:rsidTr="006A5410">
        <w:trPr>
          <w:trHeight w:val="270"/>
        </w:trPr>
        <w:tc>
          <w:tcPr>
            <w:tcW w:w="6688" w:type="dxa"/>
            <w:tcBorders>
              <w:top w:val="nil"/>
              <w:left w:val="nil"/>
              <w:bottom w:val="nil"/>
              <w:right w:val="nil"/>
            </w:tcBorders>
            <w:shd w:val="clear" w:color="000000" w:fill="D9D9D9"/>
            <w:noWrap/>
            <w:vAlign w:val="bottom"/>
            <w:hideMark/>
          </w:tcPr>
          <w:p w:rsidR="003E6989" w:rsidRDefault="003E6989" w:rsidP="006A5410">
            <w:pPr>
              <w:rPr>
                <w:rFonts w:cs="Calibri"/>
                <w:b/>
                <w:bCs/>
                <w:color w:val="000000"/>
                <w:szCs w:val="18"/>
              </w:rPr>
            </w:pPr>
            <w:r>
              <w:rPr>
                <w:rFonts w:cs="Calibri"/>
                <w:b/>
                <w:bCs/>
                <w:color w:val="000000"/>
                <w:szCs w:val="18"/>
              </w:rPr>
              <w:t>Total receivables</w:t>
            </w:r>
          </w:p>
        </w:tc>
        <w:tc>
          <w:tcPr>
            <w:tcW w:w="1029"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191</w:t>
            </w:r>
          </w:p>
        </w:tc>
        <w:tc>
          <w:tcPr>
            <w:tcW w:w="23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28"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97</w:t>
            </w:r>
          </w:p>
        </w:tc>
      </w:tr>
      <w:tr w:rsidR="003E6989" w:rsidTr="006A5410">
        <w:trPr>
          <w:trHeight w:val="270"/>
        </w:trPr>
        <w:tc>
          <w:tcPr>
            <w:tcW w:w="668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29"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2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68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Cost recovered activities:</w:t>
            </w:r>
          </w:p>
        </w:tc>
        <w:tc>
          <w:tcPr>
            <w:tcW w:w="1029"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2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1320"/>
        </w:trPr>
        <w:tc>
          <w:tcPr>
            <w:tcW w:w="8981" w:type="dxa"/>
            <w:gridSpan w:val="4"/>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xml:space="preserve">The Commonwealth recovers the costs of administering its functions under the Education Services for Overseas Students Act 2000 (the ESOS Act) and the National Code of Practice for Providers of Education and Training to Overseas Students (National Code) through compulsory registration fees charged to all providers wishing to be registered on the Commonwealth Register of Institutions and Courses for Overseas Students (CRICOS), which allows them to offer courses to overseas students.  </w:t>
            </w:r>
          </w:p>
        </w:tc>
      </w:tr>
      <w:tr w:rsidR="003E6989" w:rsidTr="006A5410">
        <w:trPr>
          <w:trHeight w:val="72"/>
        </w:trPr>
        <w:tc>
          <w:tcPr>
            <w:tcW w:w="8981" w:type="dxa"/>
            <w:gridSpan w:val="4"/>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960"/>
        </w:trPr>
        <w:tc>
          <w:tcPr>
            <w:tcW w:w="8981" w:type="dxa"/>
            <w:gridSpan w:val="4"/>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xml:space="preserve">The following entities are involved in the delivery of these activities:  Department of Education, Australian Skills Quality Authority and the Tertiary Education Quality and Standards Agency. The Commonwealth also recovers the cost of administering the functions of the Overseas Students Ombudsman under the Ombudsman Act 1976.  </w:t>
            </w:r>
          </w:p>
        </w:tc>
      </w:tr>
      <w:tr w:rsidR="003E6989" w:rsidTr="006A5410">
        <w:trPr>
          <w:trHeight w:val="132"/>
        </w:trPr>
        <w:tc>
          <w:tcPr>
            <w:tcW w:w="8981" w:type="dxa"/>
            <w:gridSpan w:val="4"/>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78"/>
        </w:trPr>
        <w:tc>
          <w:tcPr>
            <w:tcW w:w="8981" w:type="dxa"/>
            <w:gridSpan w:val="4"/>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xml:space="preserve">Documentation (Cost Recovery Impact Statement) for the above activity is available at www.education.gov.au. </w:t>
            </w:r>
          </w:p>
        </w:tc>
      </w:tr>
      <w:tr w:rsidR="003E6989" w:rsidTr="006A5410">
        <w:trPr>
          <w:trHeight w:val="255"/>
        </w:trPr>
        <w:tc>
          <w:tcPr>
            <w:tcW w:w="8981" w:type="dxa"/>
            <w:gridSpan w:val="4"/>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bl>
    <w:p w:rsidR="003E6989" w:rsidRDefault="003E6989" w:rsidP="003E6989">
      <w:bookmarkStart w:id="513" w:name="RANGE!D7:G38"/>
      <w:bookmarkEnd w:id="513"/>
    </w:p>
    <w:p w:rsidR="003E6989" w:rsidRDefault="003E6989" w:rsidP="003E6989">
      <w:r>
        <w:br w:type="page"/>
      </w:r>
    </w:p>
    <w:p w:rsidR="003E6989" w:rsidRDefault="003E6989" w:rsidP="003E6989">
      <w:pPr>
        <w:pStyle w:val="SubHeading"/>
      </w:pPr>
      <w:bookmarkStart w:id="514" w:name="_Toc455416748"/>
      <w:bookmarkStart w:id="515" w:name="_Toc464726639"/>
      <w:r>
        <w:t>Net Cash Appropriation Arrangements</w:t>
      </w:r>
      <w:bookmarkEnd w:id="514"/>
      <w:bookmarkEnd w:id="515"/>
    </w:p>
    <w:tbl>
      <w:tblPr>
        <w:tblW w:w="9087" w:type="dxa"/>
        <w:tblInd w:w="80" w:type="dxa"/>
        <w:tblLayout w:type="fixed"/>
        <w:tblLook w:val="04A0" w:firstRow="1" w:lastRow="0" w:firstColumn="1" w:lastColumn="0" w:noHBand="0" w:noVBand="1"/>
      </w:tblPr>
      <w:tblGrid>
        <w:gridCol w:w="6723"/>
        <w:gridCol w:w="1047"/>
        <w:gridCol w:w="270"/>
        <w:gridCol w:w="1047"/>
      </w:tblGrid>
      <w:tr w:rsidR="003E6989" w:rsidTr="006A5410">
        <w:trPr>
          <w:trHeight w:val="240"/>
        </w:trPr>
        <w:tc>
          <w:tcPr>
            <w:tcW w:w="665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bookmarkStart w:id="516" w:name="RANGE!D7:G8"/>
            <w:bookmarkStart w:id="517" w:name="Note_NCATABLE1" w:colFirst="0" w:colLast="0"/>
            <w:r>
              <w:rPr>
                <w:rFonts w:ascii="Arial" w:hAnsi="Arial" w:cs="Arial"/>
                <w:szCs w:val="18"/>
              </w:rPr>
              <w:t> </w:t>
            </w:r>
            <w:bookmarkEnd w:id="516"/>
          </w:p>
        </w:tc>
        <w:tc>
          <w:tcPr>
            <w:tcW w:w="1036"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2016</w:t>
            </w:r>
          </w:p>
        </w:tc>
        <w:tc>
          <w:tcPr>
            <w:tcW w:w="267"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036"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2015</w:t>
            </w:r>
          </w:p>
        </w:tc>
      </w:tr>
      <w:bookmarkEnd w:id="517"/>
      <w:tr w:rsidR="003E6989" w:rsidTr="006A5410">
        <w:trPr>
          <w:trHeight w:val="240"/>
        </w:trPr>
        <w:tc>
          <w:tcPr>
            <w:tcW w:w="6656" w:type="dxa"/>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r>
              <w:rPr>
                <w:rFonts w:cs="Calibri"/>
                <w:b/>
                <w:bCs/>
                <w:szCs w:val="18"/>
                <w:u w:val="single"/>
              </w:rPr>
              <w:t>5.4A: Net cash appropriation arrangements</w:t>
            </w:r>
          </w:p>
        </w:tc>
        <w:tc>
          <w:tcPr>
            <w:tcW w:w="1036"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267"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036"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40"/>
        </w:trPr>
        <w:tc>
          <w:tcPr>
            <w:tcW w:w="665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36"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 </w:t>
            </w:r>
          </w:p>
        </w:tc>
        <w:tc>
          <w:tcPr>
            <w:tcW w:w="267"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036"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 </w:t>
            </w:r>
          </w:p>
        </w:tc>
      </w:tr>
      <w:tr w:rsidR="003E6989" w:rsidTr="006A5410">
        <w:trPr>
          <w:trHeight w:val="510"/>
        </w:trPr>
        <w:tc>
          <w:tcPr>
            <w:tcW w:w="6656"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comprehensive income (loss) less depreciation/amortisation expenses previously funded through revenue appropriations</w:t>
            </w:r>
            <w:r>
              <w:rPr>
                <w:rFonts w:ascii="Arial" w:hAnsi="Arial" w:cs="Arial"/>
                <w:b/>
                <w:bCs/>
                <w:szCs w:val="18"/>
                <w:vertAlign w:val="superscript"/>
              </w:rPr>
              <w:t>1</w:t>
            </w:r>
          </w:p>
        </w:tc>
        <w:tc>
          <w:tcPr>
            <w:tcW w:w="1036"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3,734</w:t>
            </w:r>
          </w:p>
        </w:tc>
        <w:tc>
          <w:tcPr>
            <w:tcW w:w="267"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0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3,328</w:t>
            </w:r>
          </w:p>
        </w:tc>
      </w:tr>
      <w:tr w:rsidR="003E6989" w:rsidTr="006A5410">
        <w:trPr>
          <w:trHeight w:val="480"/>
        </w:trPr>
        <w:tc>
          <w:tcPr>
            <w:tcW w:w="6656"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Plus: depreciation/amortisation expenses previously funded through revenue appropriation</w:t>
            </w:r>
          </w:p>
        </w:tc>
        <w:tc>
          <w:tcPr>
            <w:tcW w:w="1036"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(25,168)</w:t>
            </w:r>
          </w:p>
        </w:tc>
        <w:tc>
          <w:tcPr>
            <w:tcW w:w="267"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0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(26,918)</w:t>
            </w:r>
          </w:p>
        </w:tc>
      </w:tr>
      <w:tr w:rsidR="003E6989" w:rsidTr="006A5410">
        <w:trPr>
          <w:trHeight w:val="270"/>
        </w:trPr>
        <w:tc>
          <w:tcPr>
            <w:tcW w:w="6656"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comprehensive income (loss) - as per the Statement of Comprehensive Income</w:t>
            </w:r>
          </w:p>
        </w:tc>
        <w:tc>
          <w:tcPr>
            <w:tcW w:w="1036"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(21,434)</w:t>
            </w:r>
          </w:p>
        </w:tc>
        <w:tc>
          <w:tcPr>
            <w:tcW w:w="267"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036"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(23,590)</w:t>
            </w:r>
          </w:p>
        </w:tc>
      </w:tr>
    </w:tbl>
    <w:p w:rsidR="003E6989" w:rsidRDefault="003E6989" w:rsidP="003E6989">
      <w:bookmarkStart w:id="518" w:name="RANGE!D7:G12"/>
      <w:bookmarkStart w:id="519" w:name="RANGE!D7:D11"/>
      <w:bookmarkStart w:id="520" w:name="RANGE!D6:D11"/>
      <w:bookmarkEnd w:id="518"/>
      <w:bookmarkEnd w:id="519"/>
      <w:bookmarkEnd w:id="520"/>
    </w:p>
    <w:p w:rsidR="003E6989" w:rsidRDefault="003E6989" w:rsidP="003E6989">
      <w:pPr>
        <w:pStyle w:val="AdminBlankGreyShade"/>
      </w:pPr>
      <w:r w:rsidRPr="00073531">
        <w:rPr>
          <w:vertAlign w:val="superscript"/>
        </w:rPr>
        <w:t>1</w:t>
      </w:r>
      <w:r>
        <w:t xml:space="preserve"> From 2010–11, the Government introduced net cash appropriation arrangements, where revenue appropriations for depreciation/amortisation expenses ceased. Entities now receive a separate capital budget provided through equity appropriations. Capital budgets are to be appropriated in the period when cash payment for capital expenditure is required.</w:t>
      </w:r>
    </w:p>
    <w:p w:rsidR="003E6989" w:rsidRDefault="003E6989" w:rsidP="003E6989">
      <w:pPr>
        <w:spacing w:line="240" w:lineRule="auto"/>
        <w:rPr>
          <w:rFonts w:asciiTheme="minorHAnsi" w:hAnsiTheme="minorHAnsi" w:cs="Arial"/>
          <w:szCs w:val="18"/>
          <w:lang w:eastAsia="en-AU"/>
        </w:rPr>
      </w:pPr>
      <w:r>
        <w:rPr>
          <w:rFonts w:asciiTheme="minorHAnsi" w:hAnsiTheme="minorHAnsi" w:cs="Arial"/>
          <w:szCs w:val="18"/>
          <w:lang w:eastAsia="en-AU"/>
        </w:rPr>
        <w:br w:type="page"/>
      </w:r>
    </w:p>
    <w:p w:rsidR="003E6989" w:rsidRPr="00543F5D" w:rsidRDefault="003E6989" w:rsidP="003E6989">
      <w:pPr>
        <w:pStyle w:val="SubHeading"/>
        <w:rPr>
          <w:lang w:eastAsia="en-AU"/>
        </w:rPr>
      </w:pPr>
      <w:bookmarkStart w:id="521" w:name="_Toc455416749"/>
      <w:bookmarkStart w:id="522" w:name="_Toc464726640"/>
      <w:r>
        <w:rPr>
          <w:lang w:eastAsia="en-AU"/>
        </w:rPr>
        <w:t>Cash Flow Reconciliation</w:t>
      </w:r>
      <w:bookmarkEnd w:id="521"/>
      <w:bookmarkEnd w:id="522"/>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bookmarkStart w:id="523" w:name="RANGE!E7:E42"/>
            <w:bookmarkStart w:id="524" w:name="Note_CFRTABLE1" w:colFirst="0" w:colLast="0"/>
            <w:r>
              <w:rPr>
                <w:rFonts w:cs="Calibri"/>
                <w:szCs w:val="18"/>
              </w:rPr>
              <w:t> </w:t>
            </w:r>
            <w:bookmarkEnd w:id="523"/>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2016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2015</w:t>
            </w:r>
          </w:p>
        </w:tc>
      </w:tr>
      <w:bookmarkEnd w:id="524"/>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r>
              <w:rPr>
                <w:rFonts w:cs="Calibri"/>
                <w:b/>
                <w:bCs/>
                <w:szCs w:val="18"/>
                <w:u w:val="single"/>
              </w:rPr>
              <w:t>5.5A: Cash flow reconciliation</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$'000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480"/>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Reconciliation of cash and cash equivalents as per statement of financial position to cash flow statement</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Cash and cash equivalents as per</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Cash flow statement</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6,132</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9,817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Statement of financial position</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6,132</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9,817 </w:t>
            </w:r>
          </w:p>
        </w:tc>
      </w:tr>
      <w:tr w:rsidR="003E6989" w:rsidTr="006A5410">
        <w:trPr>
          <w:trHeight w:val="270"/>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Discrepancy</w:t>
            </w:r>
          </w:p>
        </w:tc>
        <w:tc>
          <w:tcPr>
            <w:tcW w:w="1238"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w:t>
            </w:r>
          </w:p>
        </w:tc>
      </w:tr>
      <w:tr w:rsidR="003E6989" w:rsidTr="006A5410">
        <w:trPr>
          <w:trHeight w:val="270"/>
        </w:trPr>
        <w:tc>
          <w:tcPr>
            <w:tcW w:w="6272"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7510" w:type="dxa"/>
            <w:gridSpan w:val="2"/>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Reconciliation of net cost of services to net cash from (used by) operating activities</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Net (cost of) contribution by services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(334,182)</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(300,449)</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Revenue from Government</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313,127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276,854</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Adjustments for non-cash items</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First time recognition of non-financial assets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(50)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(881)</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Other gains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(2,144)</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(502)</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Write-down and impairment of goods and services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98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(17)</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Depreciation / amortisation</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25,168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26,918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Net write-down and impairment of assets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2,676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2,819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Net losses from sale of assets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234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(87)</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Movements in assets and liabilities</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Assets</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Decrease / (increase) in net receivables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(10,789)</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(9,416)</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Decrease / (increase) in accrued income</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1,280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6,837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Decrease / (increase) in prepayments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601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(2,126)</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Liabilities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Increase / (decrease) in employee provisions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2,540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(7,113)</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Increase / (decrease) in supplier payables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8,268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12,175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Increase / (decrease) in other provisions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(1,368)</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(404)</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Increase / (decrease) in other payables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(8,437)</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(5,460)</w:t>
            </w:r>
          </w:p>
        </w:tc>
      </w:tr>
      <w:tr w:rsidR="003E6989" w:rsidTr="006A5410">
        <w:trPr>
          <w:trHeight w:val="270"/>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Net cash from (used by) operating activities</w:t>
            </w:r>
          </w:p>
        </w:tc>
        <w:tc>
          <w:tcPr>
            <w:tcW w:w="1238"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(2,978)</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(852)</w:t>
            </w:r>
          </w:p>
        </w:tc>
      </w:tr>
    </w:tbl>
    <w:p w:rsidR="003E6989" w:rsidRDefault="003E6989" w:rsidP="003E6989">
      <w:pPr>
        <w:spacing w:line="240" w:lineRule="auto"/>
        <w:rPr>
          <w:rFonts w:asciiTheme="minorHAnsi" w:hAnsiTheme="minorHAnsi" w:cs="Arial"/>
          <w:szCs w:val="18"/>
          <w:lang w:eastAsia="en-AU"/>
        </w:rPr>
      </w:pPr>
      <w:bookmarkStart w:id="525" w:name="RANGE!E7:H42"/>
      <w:bookmarkEnd w:id="525"/>
      <w:r>
        <w:rPr>
          <w:rFonts w:asciiTheme="minorHAnsi" w:hAnsiTheme="minorHAnsi" w:cs="Arial"/>
          <w:szCs w:val="18"/>
          <w:lang w:eastAsia="en-AU"/>
        </w:rPr>
        <w:br w:type="page"/>
      </w:r>
    </w:p>
    <w:tbl>
      <w:tblPr>
        <w:tblW w:w="9087" w:type="dxa"/>
        <w:tblInd w:w="80" w:type="dxa"/>
        <w:tblLayout w:type="fixed"/>
        <w:tblLook w:val="04A0" w:firstRow="1" w:lastRow="0" w:firstColumn="1" w:lastColumn="0" w:noHBand="0" w:noVBand="1"/>
      </w:tblPr>
      <w:tblGrid>
        <w:gridCol w:w="6210"/>
        <w:gridCol w:w="1305"/>
        <w:gridCol w:w="267"/>
        <w:gridCol w:w="1305"/>
      </w:tblGrid>
      <w:tr w:rsidR="003E6989" w:rsidTr="006A5410">
        <w:trPr>
          <w:trHeight w:val="255"/>
        </w:trPr>
        <w:tc>
          <w:tcPr>
            <w:tcW w:w="597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Cs w:val="18"/>
              </w:rPr>
            </w:pPr>
            <w:bookmarkStart w:id="526" w:name="Note_AFRTABLE1" w:colFirst="0" w:colLast="0"/>
            <w:r>
              <w:rPr>
                <w:rFonts w:cs="Calibri"/>
                <w:szCs w:val="18"/>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2016</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2015</w:t>
            </w:r>
          </w:p>
        </w:tc>
      </w:tr>
      <w:bookmarkEnd w:id="526"/>
      <w:tr w:rsidR="003E6989" w:rsidTr="006A5410">
        <w:trPr>
          <w:trHeight w:val="255"/>
        </w:trPr>
        <w:tc>
          <w:tcPr>
            <w:tcW w:w="597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b/>
                <w:bCs/>
                <w:szCs w:val="18"/>
                <w:u w:val="single"/>
              </w:rPr>
            </w:pPr>
            <w:r>
              <w:rPr>
                <w:rFonts w:cs="Calibri"/>
                <w:b/>
                <w:bCs/>
                <w:szCs w:val="18"/>
                <w:u w:val="single"/>
              </w:rPr>
              <w:t>5.5B: Administered cash flow reconciliation</w:t>
            </w:r>
          </w:p>
        </w:tc>
        <w:tc>
          <w:tcPr>
            <w:tcW w:w="1256"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$'000</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597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480"/>
        </w:trPr>
        <w:tc>
          <w:tcPr>
            <w:tcW w:w="5976"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Reconciliation of cash and cash equivalents as per administered schedule of assets and liabilities to administered cash flow statement</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597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597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Cash and cash equivalents as per</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5976"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Schedule of administered cash flows</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w:t>
            </w:r>
          </w:p>
        </w:tc>
      </w:tr>
      <w:tr w:rsidR="003E6989" w:rsidTr="006A5410">
        <w:trPr>
          <w:trHeight w:val="255"/>
        </w:trPr>
        <w:tc>
          <w:tcPr>
            <w:tcW w:w="5976"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Schedule of administered assets and liabilities</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70"/>
        </w:trPr>
        <w:tc>
          <w:tcPr>
            <w:tcW w:w="597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Discrepancy</w:t>
            </w:r>
          </w:p>
        </w:tc>
        <w:tc>
          <w:tcPr>
            <w:tcW w:w="125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w:t>
            </w:r>
          </w:p>
        </w:tc>
      </w:tr>
      <w:tr w:rsidR="003E6989" w:rsidTr="006A5410">
        <w:trPr>
          <w:trHeight w:val="270"/>
        </w:trPr>
        <w:tc>
          <w:tcPr>
            <w:tcW w:w="597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7232" w:type="dxa"/>
            <w:gridSpan w:val="2"/>
            <w:tcBorders>
              <w:top w:val="single" w:sz="4" w:space="0" w:color="D9D9D9"/>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Reconciliation of net cost of services to net cash from (used by) operating activities</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597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Net (cost of) contribution by services</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(32,119,760)</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(27,889,199)</w:t>
            </w:r>
          </w:p>
        </w:tc>
      </w:tr>
      <w:tr w:rsidR="003E6989" w:rsidTr="006A5410">
        <w:trPr>
          <w:trHeight w:val="255"/>
        </w:trPr>
        <w:tc>
          <w:tcPr>
            <w:tcW w:w="597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597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Adjustments for non-cash items</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5976"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Net write down of non-financial assets</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18,596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26,237 </w:t>
            </w:r>
          </w:p>
        </w:tc>
      </w:tr>
      <w:tr w:rsidR="003E6989" w:rsidTr="006A5410">
        <w:trPr>
          <w:trHeight w:val="255"/>
        </w:trPr>
        <w:tc>
          <w:tcPr>
            <w:tcW w:w="5976"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Concessional loan discount</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636,237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801,980 </w:t>
            </w:r>
          </w:p>
        </w:tc>
      </w:tr>
      <w:tr w:rsidR="003E6989" w:rsidTr="006A5410">
        <w:trPr>
          <w:trHeight w:val="255"/>
        </w:trPr>
        <w:tc>
          <w:tcPr>
            <w:tcW w:w="5976"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Fair value losses</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1,058,194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702,638 </w:t>
            </w:r>
          </w:p>
        </w:tc>
      </w:tr>
      <w:tr w:rsidR="003E6989" w:rsidTr="006A5410">
        <w:trPr>
          <w:trHeight w:val="255"/>
        </w:trPr>
        <w:tc>
          <w:tcPr>
            <w:tcW w:w="5976"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Interest on loans</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(529,330)</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(567,434)</w:t>
            </w:r>
          </w:p>
        </w:tc>
      </w:tr>
      <w:tr w:rsidR="003E6989" w:rsidTr="006A5410">
        <w:trPr>
          <w:trHeight w:val="255"/>
        </w:trPr>
        <w:tc>
          <w:tcPr>
            <w:tcW w:w="5976"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Other revenues not providing cash</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(656,803)</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326,859 </w:t>
            </w:r>
          </w:p>
        </w:tc>
      </w:tr>
      <w:tr w:rsidR="003E6989" w:rsidTr="006A5410">
        <w:trPr>
          <w:trHeight w:val="255"/>
        </w:trPr>
        <w:tc>
          <w:tcPr>
            <w:tcW w:w="5976"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Unwinding of the discount</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(24,612)</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(15,363)</w:t>
            </w:r>
          </w:p>
        </w:tc>
      </w:tr>
      <w:tr w:rsidR="003E6989" w:rsidTr="006A5410">
        <w:trPr>
          <w:trHeight w:val="255"/>
        </w:trPr>
        <w:tc>
          <w:tcPr>
            <w:tcW w:w="597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597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Movements in assets and liabilities</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597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Assets</w:t>
            </w:r>
          </w:p>
        </w:tc>
        <w:tc>
          <w:tcPr>
            <w:tcW w:w="125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5976"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(Increase) / decrease in net receivables</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(70,978)</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(34,943)</w:t>
            </w:r>
          </w:p>
        </w:tc>
      </w:tr>
      <w:tr w:rsidR="003E6989" w:rsidTr="006A5410">
        <w:trPr>
          <w:trHeight w:val="255"/>
        </w:trPr>
        <w:tc>
          <w:tcPr>
            <w:tcW w:w="5976"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(Increase) / decrease in other non-financial assets</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(240)</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523 </w:t>
            </w:r>
          </w:p>
        </w:tc>
      </w:tr>
      <w:tr w:rsidR="003E6989" w:rsidTr="006A5410">
        <w:trPr>
          <w:trHeight w:val="255"/>
        </w:trPr>
        <w:tc>
          <w:tcPr>
            <w:tcW w:w="597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Liabilities</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5976"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Increase / (decrease) in supplier payables</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(18,853)</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39,401 </w:t>
            </w:r>
          </w:p>
        </w:tc>
      </w:tr>
      <w:tr w:rsidR="003E6989" w:rsidTr="006A5410">
        <w:trPr>
          <w:trHeight w:val="255"/>
        </w:trPr>
        <w:tc>
          <w:tcPr>
            <w:tcW w:w="5976"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Increase / (decrease) in grants payable</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11,471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(1,306,416)</w:t>
            </w:r>
          </w:p>
        </w:tc>
      </w:tr>
      <w:tr w:rsidR="003E6989" w:rsidTr="006A5410">
        <w:trPr>
          <w:trHeight w:val="255"/>
        </w:trPr>
        <w:tc>
          <w:tcPr>
            <w:tcW w:w="5976"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Increase / (decrease) in personal benefits payable</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(28,579)</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14,742 </w:t>
            </w:r>
          </w:p>
        </w:tc>
      </w:tr>
      <w:tr w:rsidR="003E6989" w:rsidTr="006A5410">
        <w:trPr>
          <w:trHeight w:val="255"/>
        </w:trPr>
        <w:tc>
          <w:tcPr>
            <w:tcW w:w="5976" w:type="dxa"/>
            <w:tcBorders>
              <w:top w:val="nil"/>
              <w:left w:val="nil"/>
              <w:right w:val="nil"/>
            </w:tcBorders>
            <w:shd w:val="clear" w:color="000000" w:fill="D9D9D9"/>
            <w:vAlign w:val="bottom"/>
            <w:hideMark/>
          </w:tcPr>
          <w:p w:rsidR="003E6989" w:rsidRDefault="003E6989" w:rsidP="006A5410">
            <w:pPr>
              <w:rPr>
                <w:rFonts w:cs="Calibri"/>
                <w:szCs w:val="18"/>
              </w:rPr>
            </w:pPr>
            <w:r>
              <w:rPr>
                <w:rFonts w:cs="Calibri"/>
                <w:szCs w:val="18"/>
              </w:rPr>
              <w:t>Increase / (decrease) in provisions</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126,042 </w:t>
            </w:r>
          </w:p>
        </w:tc>
        <w:tc>
          <w:tcPr>
            <w:tcW w:w="257"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(97,721)</w:t>
            </w:r>
          </w:p>
        </w:tc>
      </w:tr>
      <w:tr w:rsidR="003E6989" w:rsidTr="006A5410">
        <w:trPr>
          <w:trHeight w:val="270"/>
        </w:trPr>
        <w:tc>
          <w:tcPr>
            <w:tcW w:w="5976" w:type="dxa"/>
            <w:tcBorders>
              <w:top w:val="nil"/>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Net cash from (used by) operating activities</w:t>
            </w:r>
          </w:p>
        </w:tc>
        <w:tc>
          <w:tcPr>
            <w:tcW w:w="125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(31,598,615)</w:t>
            </w:r>
          </w:p>
        </w:tc>
        <w:tc>
          <w:tcPr>
            <w:tcW w:w="257"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 </w:t>
            </w:r>
          </w:p>
        </w:tc>
        <w:tc>
          <w:tcPr>
            <w:tcW w:w="125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(27,998,696)</w:t>
            </w:r>
          </w:p>
        </w:tc>
      </w:tr>
    </w:tbl>
    <w:p w:rsidR="003E6989" w:rsidRDefault="003E6989" w:rsidP="003E6989">
      <w:pPr>
        <w:pStyle w:val="GreyShadeTableBreak"/>
        <w:rPr>
          <w:lang w:eastAsia="en-AU"/>
        </w:rPr>
      </w:pPr>
      <w:bookmarkStart w:id="527" w:name="RANGE!E7:H40"/>
      <w:bookmarkEnd w:id="527"/>
    </w:p>
    <w:p w:rsidR="003E6989" w:rsidRDefault="003E6989" w:rsidP="003E6989">
      <w:pPr>
        <w:spacing w:line="240" w:lineRule="auto"/>
        <w:rPr>
          <w:rFonts w:asciiTheme="minorHAnsi" w:hAnsiTheme="minorHAnsi" w:cs="Arial"/>
          <w:szCs w:val="18"/>
          <w:lang w:eastAsia="en-AU"/>
        </w:rPr>
      </w:pPr>
      <w:r>
        <w:rPr>
          <w:rFonts w:asciiTheme="minorHAnsi" w:hAnsiTheme="minorHAnsi" w:cs="Arial"/>
          <w:szCs w:val="18"/>
          <w:lang w:eastAsia="en-AU"/>
        </w:rPr>
        <w:br w:type="page"/>
      </w:r>
    </w:p>
    <w:p w:rsidR="003E6989" w:rsidRDefault="003E6989" w:rsidP="003E6989">
      <w:pPr>
        <w:pStyle w:val="SectionHeading"/>
        <w:rPr>
          <w:lang w:eastAsia="en-AU"/>
        </w:rPr>
      </w:pPr>
      <w:bookmarkStart w:id="528" w:name="_Toc455416750"/>
      <w:bookmarkStart w:id="529" w:name="_Toc463440703"/>
      <w:bookmarkStart w:id="530" w:name="_Toc464726288"/>
      <w:bookmarkStart w:id="531" w:name="_Toc464726641"/>
      <w:r>
        <w:rPr>
          <w:lang w:eastAsia="en-AU"/>
        </w:rPr>
        <w:t>People and Relationships</w:t>
      </w:r>
      <w:bookmarkEnd w:id="528"/>
      <w:bookmarkEnd w:id="529"/>
      <w:bookmarkEnd w:id="530"/>
      <w:bookmarkEnd w:id="531"/>
    </w:p>
    <w:p w:rsidR="003E6989" w:rsidRDefault="003E6989" w:rsidP="003E6989">
      <w:pPr>
        <w:pStyle w:val="SubHeading"/>
        <w:rPr>
          <w:lang w:eastAsia="en-AU"/>
        </w:rPr>
      </w:pPr>
      <w:bookmarkStart w:id="532" w:name="_Toc443991934"/>
      <w:bookmarkStart w:id="533" w:name="_Toc443991978"/>
      <w:bookmarkStart w:id="534" w:name="_Toc443992040"/>
      <w:bookmarkStart w:id="535" w:name="_Toc443992085"/>
      <w:bookmarkStart w:id="536" w:name="_Toc443992565"/>
      <w:bookmarkStart w:id="537" w:name="_Toc444001438"/>
      <w:bookmarkStart w:id="538" w:name="_Toc444260034"/>
      <w:bookmarkStart w:id="539" w:name="_Toc445116341"/>
      <w:bookmarkStart w:id="540" w:name="_Toc447095797"/>
      <w:bookmarkStart w:id="541" w:name="_Toc447095844"/>
      <w:bookmarkStart w:id="542" w:name="_Toc447095887"/>
      <w:bookmarkStart w:id="543" w:name="_Toc447096083"/>
      <w:bookmarkStart w:id="544" w:name="_Toc447796077"/>
      <w:bookmarkStart w:id="545" w:name="_Toc455416751"/>
      <w:bookmarkStart w:id="546" w:name="_Toc464726642"/>
      <w:bookmarkEnd w:id="532"/>
      <w:bookmarkEnd w:id="533"/>
      <w:bookmarkEnd w:id="534"/>
      <w:bookmarkEnd w:id="535"/>
      <w:bookmarkEnd w:id="536"/>
      <w:bookmarkEnd w:id="537"/>
      <w:bookmarkEnd w:id="538"/>
      <w:bookmarkEnd w:id="539"/>
      <w:bookmarkEnd w:id="540"/>
      <w:bookmarkEnd w:id="541"/>
      <w:bookmarkEnd w:id="542"/>
      <w:bookmarkEnd w:id="543"/>
      <w:bookmarkEnd w:id="544"/>
      <w:r>
        <w:rPr>
          <w:lang w:eastAsia="en-AU"/>
        </w:rPr>
        <w:t>Employee Provisions</w:t>
      </w:r>
      <w:bookmarkEnd w:id="545"/>
      <w:bookmarkEnd w:id="546"/>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bookmarkStart w:id="547" w:name="Note_PROTABLE1" w:colFirst="0" w:colLast="0"/>
            <w:r>
              <w:rPr>
                <w:rFonts w:cs="Calibri"/>
                <w:szCs w:val="18"/>
              </w:rPr>
              <w:t> </w:t>
            </w:r>
          </w:p>
        </w:tc>
        <w:tc>
          <w:tcPr>
            <w:tcW w:w="1238"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2016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2015</w:t>
            </w:r>
          </w:p>
        </w:tc>
      </w:tr>
      <w:bookmarkEnd w:id="547"/>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r>
              <w:rPr>
                <w:rFonts w:cs="Calibri"/>
                <w:b/>
                <w:bCs/>
                <w:szCs w:val="18"/>
                <w:u w:val="single"/>
              </w:rPr>
              <w:t>6.1A: Employee provisions</w:t>
            </w:r>
          </w:p>
        </w:tc>
        <w:tc>
          <w:tcPr>
            <w:tcW w:w="1238"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Leave</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71,173</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54,778</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employee provisions</w:t>
            </w:r>
          </w:p>
        </w:tc>
        <w:tc>
          <w:tcPr>
            <w:tcW w:w="123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71,173</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54,778</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color w:val="FF0000"/>
                <w:szCs w:val="18"/>
              </w:rPr>
            </w:pPr>
            <w:r>
              <w:rPr>
                <w:rFonts w:ascii="Arial" w:hAnsi="Arial" w:cs="Arial"/>
                <w:color w:val="FF0000"/>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Employee provisions expected to be settled</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No more than 12 months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23,167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18,989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More than 12 months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48,006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35,789 </w:t>
            </w:r>
          </w:p>
        </w:tc>
      </w:tr>
      <w:tr w:rsidR="003E6989" w:rsidTr="006A5410">
        <w:trPr>
          <w:trHeight w:val="270"/>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employee provisions</w:t>
            </w:r>
          </w:p>
        </w:tc>
        <w:tc>
          <w:tcPr>
            <w:tcW w:w="1238"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71,173</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54,778</w:t>
            </w:r>
          </w:p>
        </w:tc>
      </w:tr>
    </w:tbl>
    <w:p w:rsidR="003E6989" w:rsidRPr="00475EE3" w:rsidRDefault="003E6989" w:rsidP="003E6989">
      <w:pPr>
        <w:spacing w:line="240" w:lineRule="auto"/>
        <w:rPr>
          <w:rFonts w:asciiTheme="minorHAnsi" w:hAnsiTheme="minorHAnsi" w:cs="Arial"/>
          <w:sz w:val="12"/>
          <w:szCs w:val="12"/>
          <w:lang w:eastAsia="en-AU"/>
        </w:rPr>
      </w:pPr>
    </w:p>
    <w:p w:rsidR="003E6989" w:rsidRDefault="003E6989" w:rsidP="003E6989">
      <w:pPr>
        <w:pStyle w:val="PolicyTextboxbold"/>
        <w:spacing w:after="80" w:line="240" w:lineRule="atLeast"/>
      </w:pPr>
      <w:r w:rsidRPr="004F6738">
        <w:t>Accounting Policy</w:t>
      </w:r>
    </w:p>
    <w:p w:rsidR="003E6989" w:rsidRPr="004F6738" w:rsidRDefault="003E6989" w:rsidP="003E6989">
      <w:pPr>
        <w:pStyle w:val="PolicyTextdeptunderline"/>
        <w:spacing w:after="80" w:line="240" w:lineRule="atLeast"/>
      </w:pPr>
      <w:r>
        <w:t>Employee Benefits</w:t>
      </w:r>
    </w:p>
    <w:p w:rsidR="003E6989" w:rsidRPr="00075D25" w:rsidRDefault="003E6989" w:rsidP="003E6989">
      <w:pPr>
        <w:pStyle w:val="PolicytextDept"/>
        <w:spacing w:after="80" w:line="240" w:lineRule="atLeast"/>
      </w:pPr>
      <w:r w:rsidRPr="00075D25">
        <w:t xml:space="preserve">Liabilities for ‘short-term employee benefits’ (as defined in </w:t>
      </w:r>
      <w:r w:rsidRPr="00BC79B6">
        <w:rPr>
          <w:i/>
        </w:rPr>
        <w:t>AASB 119</w:t>
      </w:r>
      <w:r w:rsidRPr="00BC79B6">
        <w:rPr>
          <w:bCs/>
          <w:i/>
        </w:rPr>
        <w:t xml:space="preserve"> </w:t>
      </w:r>
      <w:r w:rsidRPr="00BC79B6">
        <w:rPr>
          <w:i/>
        </w:rPr>
        <w:t>Employee Benefits</w:t>
      </w:r>
      <w:r w:rsidRPr="00075D25">
        <w:t>) and termination benefits due within twelve months of the end of reporting period are measured at their nominal amounts.</w:t>
      </w:r>
    </w:p>
    <w:p w:rsidR="003E6989" w:rsidRPr="00075D25" w:rsidRDefault="003E6989" w:rsidP="003E6989">
      <w:pPr>
        <w:pStyle w:val="PolicytextDept"/>
        <w:spacing w:after="80" w:line="240" w:lineRule="atLeast"/>
      </w:pPr>
      <w:r w:rsidRPr="00075D25">
        <w:t>The nominal amount is calculated with regard to the rates expected to be paid on settlement of the liability.</w:t>
      </w:r>
    </w:p>
    <w:p w:rsidR="003E6989" w:rsidRPr="00075D25" w:rsidRDefault="003E6989" w:rsidP="003E6989">
      <w:pPr>
        <w:pStyle w:val="PolicytextDept"/>
        <w:spacing w:after="80" w:line="240" w:lineRule="atLeast"/>
      </w:pPr>
      <w:r w:rsidRPr="00075D25">
        <w:t>Other long-term employee benefits are measured at net total of the present value of the defined benefit obligation at the end of the reporting period minus the fair value at the end of the reporting period of plan assets (if any) out of which the obligations are to be settled directly.</w:t>
      </w:r>
    </w:p>
    <w:p w:rsidR="003E6989" w:rsidRPr="00B932A1" w:rsidRDefault="003E6989" w:rsidP="003E6989">
      <w:pPr>
        <w:pStyle w:val="PolicyTextdeptunderline"/>
        <w:spacing w:after="80" w:line="240" w:lineRule="atLeast"/>
      </w:pPr>
      <w:r w:rsidRPr="00B932A1">
        <w:t>Leave</w:t>
      </w:r>
    </w:p>
    <w:p w:rsidR="003E6989" w:rsidRPr="00075D25" w:rsidRDefault="003E6989" w:rsidP="003E6989">
      <w:pPr>
        <w:pStyle w:val="PolicytextDept"/>
        <w:spacing w:after="80" w:line="240" w:lineRule="atLeast"/>
      </w:pPr>
      <w:r w:rsidRPr="00075D25">
        <w:t>The liability for employee benefits includes provision for annual</w:t>
      </w:r>
      <w:r>
        <w:t xml:space="preserve"> leave and long service leave. </w:t>
      </w:r>
      <w:r w:rsidRPr="00075D25">
        <w:t>No provision has been made for sick leave as all sick leave is non-vesting and the average sick leave taken in future years by employees of the department is estimated to be less than the annual entitlement for sick leave.</w:t>
      </w:r>
    </w:p>
    <w:p w:rsidR="003E6989" w:rsidRPr="00075D25" w:rsidRDefault="003E6989" w:rsidP="003E6989">
      <w:pPr>
        <w:pStyle w:val="PolicytextDept"/>
        <w:spacing w:after="80" w:line="240" w:lineRule="atLeast"/>
      </w:pPr>
      <w:r w:rsidRPr="00075D25">
        <w:t>The leave liabilities are calculated on the basis of employees’ remuneration at the estimated salary rates that will be applied at the time the leave is taken, including the department’s employer superannuation contribution rates, to the extent that the leave is likely to be taken during service rather than paid out on termination.</w:t>
      </w:r>
    </w:p>
    <w:p w:rsidR="003E6989" w:rsidRPr="00075D25" w:rsidRDefault="003E6989" w:rsidP="003E6989">
      <w:pPr>
        <w:pStyle w:val="PolicytextDept"/>
        <w:spacing w:after="80" w:line="240" w:lineRule="atLeast"/>
      </w:pPr>
      <w:r w:rsidRPr="00075D25">
        <w:t xml:space="preserve">The liability for long service leave has been determined by reference to work conducted by an </w:t>
      </w:r>
      <w:r>
        <w:t>actuary as at</w:t>
      </w:r>
      <w:r w:rsidRPr="00075D25">
        <w:t xml:space="preserve"> 30 June 201</w:t>
      </w:r>
      <w:r>
        <w:t xml:space="preserve">6. </w:t>
      </w:r>
      <w:r w:rsidRPr="00075D25">
        <w:t>The estimate of the present value of the liability takes into account attrition rates and pay increases through promotion and inflation.</w:t>
      </w:r>
    </w:p>
    <w:p w:rsidR="003E6989" w:rsidRPr="00B932A1" w:rsidRDefault="003E6989" w:rsidP="003E6989">
      <w:pPr>
        <w:pStyle w:val="PolicyTextdeptunderline"/>
        <w:spacing w:after="80" w:line="240" w:lineRule="atLeast"/>
      </w:pPr>
      <w:r w:rsidRPr="00B932A1">
        <w:t>Separation and redundancy</w:t>
      </w:r>
    </w:p>
    <w:p w:rsidR="003E6989" w:rsidRPr="00075D25" w:rsidRDefault="003E6989" w:rsidP="003E6989">
      <w:pPr>
        <w:pStyle w:val="PolicytextDept"/>
        <w:spacing w:after="80" w:line="240" w:lineRule="atLeast"/>
      </w:pPr>
      <w:r w:rsidRPr="00075D25">
        <w:t>Provision is made for separation and redundancy benefit payments.</w:t>
      </w:r>
      <w:r>
        <w:t xml:space="preserve"> </w:t>
      </w:r>
      <w:r w:rsidRPr="00075D25">
        <w:t>The department recognises a provision for termination when it has developed a detailed formal plan for the terminations and has informed those employees affected that it will carry out the terminations.</w:t>
      </w:r>
    </w:p>
    <w:p w:rsidR="003E6989" w:rsidRPr="00B932A1" w:rsidRDefault="003E6989" w:rsidP="003E6989">
      <w:pPr>
        <w:pStyle w:val="PolicyTextdeptunderline"/>
        <w:spacing w:after="80" w:line="240" w:lineRule="atLeast"/>
      </w:pPr>
      <w:r w:rsidRPr="00B932A1">
        <w:t>Superannuation</w:t>
      </w:r>
    </w:p>
    <w:p w:rsidR="003E6989" w:rsidRPr="00075D25" w:rsidRDefault="003E6989" w:rsidP="003E6989">
      <w:pPr>
        <w:pStyle w:val="PolicytextDept"/>
        <w:spacing w:after="80" w:line="240" w:lineRule="atLeast"/>
      </w:pPr>
      <w:r w:rsidRPr="00075D25">
        <w:t>Staff of the department are members of the Commonwealth Superannuation Scheme (CSS), the Public Sector Superannuation Scheme (PSS), the PSS accumulation plan (PSSap)</w:t>
      </w:r>
      <w:r>
        <w:t>,</w:t>
      </w:r>
      <w:r w:rsidRPr="00075D25">
        <w:t xml:space="preserve"> the Australian Government Employees Superannuation Trust (AGEST)</w:t>
      </w:r>
      <w:r>
        <w:t xml:space="preserve"> or other elected defined contribution schemes.</w:t>
      </w:r>
    </w:p>
    <w:p w:rsidR="003E6989" w:rsidRPr="00075D25" w:rsidRDefault="003E6989" w:rsidP="003E6989">
      <w:pPr>
        <w:pStyle w:val="PolicytextDept"/>
        <w:spacing w:after="80" w:line="240" w:lineRule="atLeast"/>
      </w:pPr>
      <w:r w:rsidRPr="00075D25">
        <w:t xml:space="preserve">The CSS, PSS and AGEST are defined benefit schemes </w:t>
      </w:r>
      <w:r>
        <w:t xml:space="preserve">for the Australian Government. </w:t>
      </w:r>
      <w:r w:rsidRPr="00075D25">
        <w:t>The PSSap is a defined contribution scheme.</w:t>
      </w:r>
    </w:p>
    <w:p w:rsidR="003E6989" w:rsidRPr="00075D25" w:rsidRDefault="003E6989" w:rsidP="003E6989">
      <w:pPr>
        <w:pStyle w:val="PolicytextDept"/>
        <w:spacing w:after="80" w:line="240" w:lineRule="atLeast"/>
      </w:pPr>
      <w:r w:rsidRPr="00075D25">
        <w:t>The liability for defined benefits is recognised in the financial statements of the Australian Government and is settled by the Australian Government in due course.</w:t>
      </w:r>
      <w:r>
        <w:t xml:space="preserve"> </w:t>
      </w:r>
      <w:r w:rsidRPr="00075D25">
        <w:t>This liability is reported by the Department of Finance’s administered schedules and notes.</w:t>
      </w:r>
    </w:p>
    <w:p w:rsidR="003E6989" w:rsidRPr="00075D25" w:rsidRDefault="003E6989" w:rsidP="003E6989">
      <w:pPr>
        <w:pStyle w:val="PolicytextDept"/>
        <w:spacing w:after="80" w:line="240" w:lineRule="atLeast"/>
      </w:pPr>
      <w:r w:rsidRPr="00075D25">
        <w:t>The department makes employer contributions to the employee’s superannuation scheme at rates determined by an actuary to be sufficient to meet the c</w:t>
      </w:r>
      <w:r>
        <w:t xml:space="preserve">urrent cost to the Government. </w:t>
      </w:r>
      <w:r w:rsidRPr="00075D25">
        <w:t>The department accounts for the contributions as if they were contributions to defined contribution plans.</w:t>
      </w:r>
    </w:p>
    <w:p w:rsidR="003E6989" w:rsidRPr="00F12C7D" w:rsidRDefault="003E6989" w:rsidP="003E6989">
      <w:pPr>
        <w:pStyle w:val="PolicytextDept"/>
        <w:spacing w:after="80" w:line="240" w:lineRule="atLeast"/>
      </w:pPr>
      <w:r w:rsidRPr="00075D25">
        <w:t>The liability for superannuation recognised as at 30 June represents outstanding contributions for the final fortnight of the year.</w:t>
      </w:r>
      <w:r>
        <w:rPr>
          <w:rFonts w:asciiTheme="minorHAnsi" w:hAnsiTheme="minorHAnsi" w:cs="Arial"/>
          <w:szCs w:val="18"/>
          <w:lang w:eastAsia="en-AU"/>
        </w:rPr>
        <w:br w:type="page"/>
      </w:r>
    </w:p>
    <w:p w:rsidR="003E6989" w:rsidRDefault="003E6989" w:rsidP="003E6989">
      <w:pPr>
        <w:pStyle w:val="SubHeading"/>
        <w:rPr>
          <w:lang w:eastAsia="en-AU"/>
        </w:rPr>
      </w:pPr>
      <w:bookmarkStart w:id="548" w:name="_Toc455416752"/>
      <w:bookmarkStart w:id="549" w:name="_Toc464726643"/>
      <w:r>
        <w:rPr>
          <w:lang w:eastAsia="en-AU"/>
        </w:rPr>
        <w:t>Senior Management Personnel Remuneration</w:t>
      </w:r>
      <w:bookmarkEnd w:id="548"/>
      <w:bookmarkEnd w:id="549"/>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bookmarkStart w:id="550" w:name="Note_ERETABLE1" w:colFirst="0" w:colLast="0"/>
            <w:r>
              <w:rPr>
                <w:rFonts w:ascii="Arial" w:hAnsi="Arial" w:cs="Arial"/>
                <w:b/>
                <w:bCs/>
                <w:szCs w:val="18"/>
              </w:rPr>
              <w:t> </w:t>
            </w:r>
          </w:p>
        </w:tc>
        <w:tc>
          <w:tcPr>
            <w:tcW w:w="1238"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2016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2015</w:t>
            </w:r>
          </w:p>
        </w:tc>
      </w:tr>
      <w:bookmarkEnd w:id="550"/>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r>
              <w:rPr>
                <w:rFonts w:cs="Calibri"/>
                <w:b/>
                <w:bCs/>
                <w:szCs w:val="18"/>
                <w:u w:val="single"/>
              </w:rPr>
              <w:t>6.2A: Senior management personnel remuneration</w:t>
            </w:r>
          </w:p>
        </w:tc>
        <w:tc>
          <w:tcPr>
            <w:tcW w:w="1238"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Short-term employee benefits</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 xml:space="preserve">Salary </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13,251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12,551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Other</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2,088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2,638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short-term employee benefits</w:t>
            </w:r>
          </w:p>
        </w:tc>
        <w:tc>
          <w:tcPr>
            <w:tcW w:w="123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15,339</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15,189</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Post-employment benefits</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Superannuation</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2,567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2,354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post-employment benefits</w:t>
            </w:r>
          </w:p>
        </w:tc>
        <w:tc>
          <w:tcPr>
            <w:tcW w:w="123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2,567</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2,354</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Other long-term employee benefits</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Annual leave accrued</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1,190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943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Long-service leave</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947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253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other long-term benefits</w:t>
            </w:r>
          </w:p>
        </w:tc>
        <w:tc>
          <w:tcPr>
            <w:tcW w:w="123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2,137</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1,196</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Termination benefits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904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1,632 </w:t>
            </w:r>
          </w:p>
        </w:tc>
      </w:tr>
      <w:tr w:rsidR="003E6989" w:rsidTr="006A5410">
        <w:trPr>
          <w:trHeight w:val="270"/>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senior executive remuneration expenses</w:t>
            </w:r>
          </w:p>
        </w:tc>
        <w:tc>
          <w:tcPr>
            <w:tcW w:w="1238"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20,947</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20,371</w:t>
            </w:r>
          </w:p>
        </w:tc>
      </w:tr>
    </w:tbl>
    <w:p w:rsidR="003E6989" w:rsidRDefault="003E6989" w:rsidP="003E6989">
      <w:pPr>
        <w:spacing w:line="240" w:lineRule="auto"/>
        <w:rPr>
          <w:rFonts w:asciiTheme="minorHAnsi" w:hAnsiTheme="minorHAnsi" w:cs="Arial"/>
          <w:szCs w:val="18"/>
          <w:lang w:eastAsia="en-AU"/>
        </w:rPr>
      </w:pPr>
    </w:p>
    <w:p w:rsidR="003E6989" w:rsidRDefault="003E6989" w:rsidP="003E6989">
      <w:pPr>
        <w:pStyle w:val="AdminBlankGreyShade"/>
      </w:pPr>
      <w:r>
        <w:t>The total number of senior management personnel that are included in the above table are 97 individuals (2015: 93 individuals).</w:t>
      </w:r>
    </w:p>
    <w:p w:rsidR="003E6989" w:rsidRDefault="003E6989" w:rsidP="003E6989">
      <w:pPr>
        <w:spacing w:line="240" w:lineRule="auto"/>
        <w:rPr>
          <w:rFonts w:asciiTheme="minorHAnsi" w:hAnsiTheme="minorHAnsi" w:cs="Arial"/>
          <w:szCs w:val="18"/>
          <w:lang w:eastAsia="en-AU"/>
        </w:rPr>
      </w:pPr>
    </w:p>
    <w:p w:rsidR="003E6989" w:rsidRDefault="003E6989" w:rsidP="003E6989">
      <w:pPr>
        <w:spacing w:line="240" w:lineRule="auto"/>
        <w:rPr>
          <w:rFonts w:asciiTheme="minorHAnsi" w:hAnsiTheme="minorHAnsi" w:cs="Arial"/>
          <w:szCs w:val="18"/>
          <w:lang w:eastAsia="en-AU"/>
        </w:rPr>
      </w:pPr>
      <w:r>
        <w:rPr>
          <w:rFonts w:asciiTheme="minorHAnsi" w:hAnsiTheme="minorHAnsi" w:cs="Arial"/>
          <w:szCs w:val="18"/>
          <w:lang w:eastAsia="en-AU"/>
        </w:rPr>
        <w:br w:type="page"/>
      </w:r>
    </w:p>
    <w:p w:rsidR="003E6989" w:rsidRDefault="003E6989" w:rsidP="003E6989">
      <w:pPr>
        <w:pStyle w:val="SectionHeading"/>
        <w:rPr>
          <w:lang w:eastAsia="en-AU"/>
        </w:rPr>
      </w:pPr>
      <w:bookmarkStart w:id="551" w:name="_Toc455416753"/>
      <w:bookmarkStart w:id="552" w:name="_Toc463440704"/>
      <w:bookmarkStart w:id="553" w:name="_Toc464726289"/>
      <w:bookmarkStart w:id="554" w:name="_Toc464726644"/>
      <w:r>
        <w:rPr>
          <w:lang w:eastAsia="en-AU"/>
        </w:rPr>
        <w:t>Managing Uncertainties</w:t>
      </w:r>
      <w:bookmarkEnd w:id="551"/>
      <w:bookmarkEnd w:id="552"/>
      <w:bookmarkEnd w:id="553"/>
      <w:bookmarkEnd w:id="554"/>
    </w:p>
    <w:p w:rsidR="003E6989" w:rsidRDefault="003E6989" w:rsidP="003E6989">
      <w:pPr>
        <w:pStyle w:val="SubHeading"/>
      </w:pPr>
      <w:bookmarkStart w:id="555" w:name="_Toc443991938"/>
      <w:bookmarkStart w:id="556" w:name="_Toc443991982"/>
      <w:bookmarkStart w:id="557" w:name="_Toc443992044"/>
      <w:bookmarkStart w:id="558" w:name="_Toc443992089"/>
      <w:bookmarkStart w:id="559" w:name="_Toc443992569"/>
      <w:bookmarkStart w:id="560" w:name="_Toc444001442"/>
      <w:bookmarkStart w:id="561" w:name="_Toc444260038"/>
      <w:bookmarkStart w:id="562" w:name="_Toc445116345"/>
      <w:bookmarkStart w:id="563" w:name="_Toc447095801"/>
      <w:bookmarkStart w:id="564" w:name="_Toc447095848"/>
      <w:bookmarkStart w:id="565" w:name="_Toc447095891"/>
      <w:bookmarkStart w:id="566" w:name="_Toc447096087"/>
      <w:bookmarkStart w:id="567" w:name="_Toc447796081"/>
      <w:bookmarkStart w:id="568" w:name="_Ref317489574"/>
      <w:bookmarkStart w:id="569" w:name="_Toc455416754"/>
      <w:bookmarkStart w:id="570" w:name="_Toc464726645"/>
      <w:bookmarkEnd w:id="555"/>
      <w:bookmarkEnd w:id="556"/>
      <w:bookmarkEnd w:id="557"/>
      <w:bookmarkEnd w:id="558"/>
      <w:bookmarkEnd w:id="559"/>
      <w:bookmarkEnd w:id="560"/>
      <w:bookmarkEnd w:id="561"/>
      <w:bookmarkEnd w:id="562"/>
      <w:bookmarkEnd w:id="563"/>
      <w:bookmarkEnd w:id="564"/>
      <w:bookmarkEnd w:id="565"/>
      <w:bookmarkEnd w:id="566"/>
      <w:bookmarkEnd w:id="567"/>
      <w:r>
        <w:t>Contingent Assets and Liabilities</w:t>
      </w:r>
      <w:bookmarkEnd w:id="568"/>
      <w:bookmarkEnd w:id="569"/>
      <w:bookmarkEnd w:id="570"/>
    </w:p>
    <w:tbl>
      <w:tblPr>
        <w:tblW w:w="9087" w:type="dxa"/>
        <w:tblInd w:w="80" w:type="dxa"/>
        <w:tblLayout w:type="fixed"/>
        <w:tblLook w:val="04A0" w:firstRow="1" w:lastRow="0" w:firstColumn="1" w:lastColumn="0" w:noHBand="0" w:noVBand="1"/>
      </w:tblPr>
      <w:tblGrid>
        <w:gridCol w:w="9087"/>
      </w:tblGrid>
      <w:tr w:rsidR="003E6989" w:rsidTr="006A5410">
        <w:trPr>
          <w:trHeight w:val="255"/>
        </w:trPr>
        <w:tc>
          <w:tcPr>
            <w:tcW w:w="7716"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bookmarkStart w:id="571" w:name="Note_CLATABLE1" w:colFirst="0" w:colLast="0"/>
            <w:r>
              <w:rPr>
                <w:rFonts w:cs="Calibri"/>
                <w:b/>
                <w:bCs/>
                <w:szCs w:val="18"/>
              </w:rPr>
              <w:t>7.1A: Contingent liabilities and assets</w:t>
            </w:r>
          </w:p>
        </w:tc>
      </w:tr>
    </w:tbl>
    <w:p w:rsidR="003E6989" w:rsidRPr="00F12C7D" w:rsidRDefault="003E6989" w:rsidP="003E6989">
      <w:pPr>
        <w:pStyle w:val="UnderlineItalics"/>
        <w:spacing w:before="120" w:after="60"/>
        <w:ind w:left="142" w:right="566"/>
        <w:rPr>
          <w:i w:val="0"/>
          <w:szCs w:val="18"/>
        </w:rPr>
      </w:pPr>
      <w:bookmarkStart w:id="572" w:name="RANGE!D7:K25"/>
      <w:bookmarkStart w:id="573" w:name="RANGE!D7:K24"/>
      <w:bookmarkStart w:id="574" w:name="RANGE!D7:K23"/>
      <w:bookmarkStart w:id="575" w:name="RANGE!D6:K22"/>
      <w:bookmarkStart w:id="576" w:name="RANGE!D6:K24"/>
      <w:bookmarkStart w:id="577" w:name="_Toc419266956"/>
      <w:bookmarkEnd w:id="571"/>
      <w:bookmarkEnd w:id="572"/>
      <w:bookmarkEnd w:id="573"/>
      <w:bookmarkEnd w:id="574"/>
      <w:bookmarkEnd w:id="575"/>
      <w:bookmarkEnd w:id="576"/>
      <w:r w:rsidRPr="00F12C7D">
        <w:rPr>
          <w:i w:val="0"/>
          <w:szCs w:val="18"/>
        </w:rPr>
        <w:t>Quantifiable Contingencies</w:t>
      </w:r>
      <w:bookmarkEnd w:id="577"/>
    </w:p>
    <w:p w:rsidR="003E6989" w:rsidRPr="00F12C7D" w:rsidRDefault="003E6989" w:rsidP="003E6989">
      <w:pPr>
        <w:pStyle w:val="AdminBlankGreyShade"/>
        <w:ind w:left="142"/>
      </w:pPr>
      <w:r w:rsidRPr="00F12C7D">
        <w:t xml:space="preserve">The department </w:t>
      </w:r>
      <w:r>
        <w:t>holds two</w:t>
      </w:r>
      <w:r w:rsidRPr="00F12C7D">
        <w:t xml:space="preserve"> </w:t>
      </w:r>
      <w:r>
        <w:t xml:space="preserve">legal </w:t>
      </w:r>
      <w:r w:rsidRPr="00F12C7D">
        <w:t>quantifiable contingent assets or liabilities as at 30 June 2016 (2015: nil).</w:t>
      </w:r>
      <w:r w:rsidR="001F2C80">
        <w:t xml:space="preserve"> </w:t>
      </w:r>
    </w:p>
    <w:p w:rsidR="003E6989" w:rsidRPr="00F12C7D" w:rsidRDefault="003E6989" w:rsidP="003E6989">
      <w:pPr>
        <w:pStyle w:val="UnderlineItalics"/>
        <w:spacing w:before="120" w:after="60"/>
        <w:ind w:left="142" w:right="566"/>
        <w:rPr>
          <w:i w:val="0"/>
          <w:szCs w:val="18"/>
        </w:rPr>
      </w:pPr>
      <w:bookmarkStart w:id="578" w:name="_Toc419266957"/>
      <w:r w:rsidRPr="00F12C7D">
        <w:rPr>
          <w:i w:val="0"/>
          <w:szCs w:val="18"/>
        </w:rPr>
        <w:t>Unquantifiable Contingencies</w:t>
      </w:r>
      <w:bookmarkEnd w:id="578"/>
    </w:p>
    <w:p w:rsidR="003E6989" w:rsidRDefault="003E6989" w:rsidP="003E6989">
      <w:pPr>
        <w:pStyle w:val="AdminBlankGreyShade"/>
        <w:ind w:left="142"/>
      </w:pPr>
      <w:r w:rsidRPr="00F12C7D">
        <w:t xml:space="preserve">As at </w:t>
      </w:r>
      <w:r w:rsidR="00403CAE">
        <w:t>30 June</w:t>
      </w:r>
      <w:r w:rsidRPr="00F12C7D">
        <w:t xml:space="preserve"> </w:t>
      </w:r>
      <w:r w:rsidR="00403CAE">
        <w:t>2016</w:t>
      </w:r>
      <w:r w:rsidRPr="00F12C7D">
        <w:t>, the department had contingent assets and liabilities likely to be paid in respect of damages and claims that are not quantifiable. The</w:t>
      </w:r>
      <w:r>
        <w:t>re were three open matters (2015</w:t>
      </w:r>
      <w:r w:rsidRPr="00F12C7D">
        <w:t xml:space="preserve">: </w:t>
      </w:r>
      <w:r>
        <w:t>three</w:t>
      </w:r>
      <w:r w:rsidRPr="00F12C7D">
        <w:t xml:space="preserve">) in the hands of the department’s legal representatives. These open matters relate to a wide range of legal issues (departmental and administered) with varying probabilities of success.  It is not possible to estimate the amounts of any eventual receipts or payments that may be received or made in relation to these claims. </w:t>
      </w:r>
    </w:p>
    <w:p w:rsidR="003E6989" w:rsidRPr="00EE21FB" w:rsidRDefault="003E6989" w:rsidP="003E6989">
      <w:pPr>
        <w:pStyle w:val="12line"/>
        <w:rPr>
          <w:lang w:eastAsia="en-AU"/>
        </w:rPr>
      </w:pPr>
    </w:p>
    <w:tbl>
      <w:tblPr>
        <w:tblW w:w="9087" w:type="dxa"/>
        <w:tblInd w:w="80" w:type="dxa"/>
        <w:tblLayout w:type="fixed"/>
        <w:tblLook w:val="04A0" w:firstRow="1" w:lastRow="0" w:firstColumn="1" w:lastColumn="0" w:noHBand="0" w:noVBand="1"/>
      </w:tblPr>
      <w:tblGrid>
        <w:gridCol w:w="9087"/>
      </w:tblGrid>
      <w:tr w:rsidR="003E6989" w:rsidTr="006A5410">
        <w:trPr>
          <w:trHeight w:val="255"/>
        </w:trPr>
        <w:tc>
          <w:tcPr>
            <w:tcW w:w="9024" w:type="dxa"/>
            <w:tcBorders>
              <w:top w:val="nil"/>
              <w:left w:val="nil"/>
              <w:bottom w:val="nil"/>
              <w:right w:val="nil"/>
            </w:tcBorders>
            <w:shd w:val="clear" w:color="000000" w:fill="D9D9D9"/>
            <w:noWrap/>
            <w:hideMark/>
          </w:tcPr>
          <w:p w:rsidR="003E6989" w:rsidRDefault="003E6989" w:rsidP="006A5410">
            <w:pPr>
              <w:rPr>
                <w:rFonts w:cs="Calibri"/>
                <w:b/>
                <w:bCs/>
                <w:szCs w:val="18"/>
                <w:u w:val="single"/>
              </w:rPr>
            </w:pPr>
            <w:bookmarkStart w:id="579" w:name="Note_ACLTABLE1" w:colFirst="0" w:colLast="0"/>
            <w:r>
              <w:rPr>
                <w:rFonts w:cs="Calibri"/>
                <w:b/>
                <w:bCs/>
                <w:szCs w:val="18"/>
                <w:u w:val="single"/>
              </w:rPr>
              <w:t>7.1B: Administered contingent assets and liabilities</w:t>
            </w:r>
          </w:p>
        </w:tc>
      </w:tr>
      <w:bookmarkEnd w:id="579"/>
      <w:tr w:rsidR="003E6989" w:rsidTr="006A5410">
        <w:trPr>
          <w:trHeight w:val="255"/>
        </w:trPr>
        <w:tc>
          <w:tcPr>
            <w:tcW w:w="9024"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9024"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Quantifiable Contingencies</w:t>
            </w:r>
          </w:p>
        </w:tc>
      </w:tr>
      <w:tr w:rsidR="003E6989" w:rsidTr="006A5410">
        <w:trPr>
          <w:trHeight w:val="263"/>
        </w:trPr>
        <w:tc>
          <w:tcPr>
            <w:tcW w:w="9024"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The department does not hold quantifiable contingent assets and liabilities (2015: nil).</w:t>
            </w:r>
          </w:p>
        </w:tc>
      </w:tr>
      <w:tr w:rsidR="003E6989" w:rsidTr="006A5410">
        <w:trPr>
          <w:trHeight w:val="255"/>
        </w:trPr>
        <w:tc>
          <w:tcPr>
            <w:tcW w:w="9024"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9024"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Unquantifiable Contingencies</w:t>
            </w:r>
          </w:p>
        </w:tc>
      </w:tr>
      <w:tr w:rsidR="003E6989" w:rsidTr="006A5410">
        <w:trPr>
          <w:trHeight w:val="263"/>
        </w:trPr>
        <w:tc>
          <w:tcPr>
            <w:tcW w:w="9024"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xml:space="preserve">At 30 June 2016, the department had nil legal claims against it (2015: nil). </w:t>
            </w:r>
          </w:p>
        </w:tc>
      </w:tr>
      <w:tr w:rsidR="003E6989" w:rsidTr="006A5410">
        <w:trPr>
          <w:trHeight w:val="263"/>
        </w:trPr>
        <w:tc>
          <w:tcPr>
            <w:tcW w:w="9024"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There are currently a number of cases before the Administrative Appeals Tribunal (AAT) for which the outcomes are not yet known or able to be quantified.</w:t>
            </w:r>
          </w:p>
        </w:tc>
      </w:tr>
      <w:tr w:rsidR="003E6989" w:rsidTr="006A5410">
        <w:trPr>
          <w:trHeight w:val="255"/>
        </w:trPr>
        <w:tc>
          <w:tcPr>
            <w:tcW w:w="9024"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bl>
    <w:p w:rsidR="003E6989" w:rsidRDefault="003E6989" w:rsidP="003E6989">
      <w:pPr>
        <w:pStyle w:val="GreyShadeTableBreak"/>
        <w:rPr>
          <w:lang w:eastAsia="en-AU"/>
        </w:rPr>
      </w:pPr>
      <w:bookmarkStart w:id="580" w:name="RANGE!D7:M38"/>
      <w:bookmarkStart w:id="581" w:name="RANGE!D7:M37"/>
      <w:bookmarkEnd w:id="580"/>
      <w:bookmarkEnd w:id="581"/>
    </w:p>
    <w:p w:rsidR="003E6989" w:rsidRDefault="003E6989" w:rsidP="003E6989">
      <w:pPr>
        <w:pStyle w:val="PolicyTextboxbold"/>
        <w:spacing w:before="100" w:after="100" w:line="240" w:lineRule="auto"/>
      </w:pPr>
      <w:r w:rsidRPr="0044472C">
        <w:t>Accounting Policy</w:t>
      </w:r>
    </w:p>
    <w:p w:rsidR="003E6989" w:rsidRPr="0044472C" w:rsidRDefault="003E6989" w:rsidP="003E6989">
      <w:pPr>
        <w:pStyle w:val="PolicyTextdeptunderline"/>
        <w:spacing w:before="100" w:after="100" w:line="240" w:lineRule="auto"/>
      </w:pPr>
      <w:r>
        <w:t>Contingent Liabilities and Contingent Assets</w:t>
      </w:r>
    </w:p>
    <w:p w:rsidR="003E6989" w:rsidRPr="00075D25" w:rsidRDefault="003E6989" w:rsidP="003E6989">
      <w:pPr>
        <w:pStyle w:val="PolicytextDept"/>
        <w:spacing w:before="100" w:after="100" w:line="240" w:lineRule="auto"/>
      </w:pPr>
      <w:r w:rsidRPr="00075D25">
        <w:t>Contingent liabilities and contingent assets are not recognised in the statement of financial position but are reported in the</w:t>
      </w:r>
      <w:r>
        <w:t xml:space="preserve"> notes. </w:t>
      </w:r>
      <w:r w:rsidRPr="00075D25">
        <w:t>They may arise from uncertainty as to the existence of a liability or asset or represent an asset or liability in respect of which the amount cannot be reliably measured. Contingent assets are disclosed when settlement is probable but not virtually certain and contingent liabilities are disclosed when settlement is greater than remote.</w:t>
      </w:r>
    </w:p>
    <w:p w:rsidR="003E6989" w:rsidRPr="0044472C" w:rsidRDefault="003E6989" w:rsidP="003E6989">
      <w:pPr>
        <w:pStyle w:val="PolicyTextdeptunderline"/>
        <w:spacing w:before="100" w:after="100" w:line="240" w:lineRule="auto"/>
      </w:pPr>
      <w:r w:rsidRPr="0044472C">
        <w:t>Indemnities</w:t>
      </w:r>
    </w:p>
    <w:p w:rsidR="003E6989" w:rsidRPr="00075D25" w:rsidRDefault="003E6989" w:rsidP="003E6989">
      <w:pPr>
        <w:pStyle w:val="PolicytextDept"/>
        <w:spacing w:before="100" w:after="100" w:line="240" w:lineRule="auto"/>
      </w:pPr>
      <w:r w:rsidRPr="00075D25">
        <w:t>The maximum amounts payable under the indemnities given is disclosed in the</w:t>
      </w:r>
      <w:r>
        <w:t xml:space="preserve"> notes</w:t>
      </w:r>
      <w:r w:rsidRPr="00075D25">
        <w:t>. At the time of completion of the financial statements, there was no reason to believe that the indemnities would be called upon, and no recognition of any liability was therefore required.</w:t>
      </w:r>
    </w:p>
    <w:p w:rsidR="003E6989" w:rsidRPr="005D373D" w:rsidRDefault="003E6989" w:rsidP="003E6989">
      <w:pPr>
        <w:rPr>
          <w:lang w:eastAsia="en-AU"/>
        </w:rPr>
        <w:sectPr w:rsidR="003E6989" w:rsidRPr="005D373D" w:rsidSect="006A5410">
          <w:pgSz w:w="11906" w:h="16838"/>
          <w:pgMar w:top="1134" w:right="1134" w:bottom="1134" w:left="1134" w:header="958" w:footer="737" w:gutter="0"/>
          <w:cols w:space="720"/>
        </w:sectPr>
      </w:pPr>
    </w:p>
    <w:p w:rsidR="003E6989" w:rsidRDefault="003E6989" w:rsidP="003E6989">
      <w:pPr>
        <w:pStyle w:val="SubHeading"/>
      </w:pPr>
      <w:bookmarkStart w:id="582" w:name="_Toc455416755"/>
      <w:bookmarkStart w:id="583" w:name="_Toc464726646"/>
      <w:r>
        <w:t>Financial Instruments</w:t>
      </w:r>
      <w:bookmarkEnd w:id="582"/>
      <w:bookmarkEnd w:id="583"/>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bookmarkStart w:id="584" w:name="Note_FIATABLE1" w:colFirst="0" w:colLast="0"/>
            <w:r>
              <w:rPr>
                <w:rFonts w:cs="Calibri"/>
                <w:szCs w:val="18"/>
              </w:rPr>
              <w:t> </w:t>
            </w:r>
          </w:p>
        </w:tc>
        <w:tc>
          <w:tcPr>
            <w:tcW w:w="1238"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2016</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2015</w:t>
            </w:r>
          </w:p>
        </w:tc>
      </w:tr>
      <w:bookmarkEnd w:id="584"/>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r>
              <w:rPr>
                <w:rFonts w:cs="Calibri"/>
                <w:b/>
                <w:bCs/>
                <w:szCs w:val="18"/>
                <w:u w:val="single"/>
              </w:rPr>
              <w:t>7.2A: Categories of financial instruments</w:t>
            </w:r>
          </w:p>
        </w:tc>
        <w:tc>
          <w:tcPr>
            <w:tcW w:w="1238"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Financial Assets</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Loans and receivables</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Cash and cash equivalents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6,132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9,817</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Goods and services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7,697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4,111</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Accrued revenue</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1,996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3,276</w:t>
            </w:r>
          </w:p>
        </w:tc>
      </w:tr>
      <w:tr w:rsidR="003E6989" w:rsidTr="006A5410">
        <w:trPr>
          <w:trHeight w:val="270"/>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financial assets</w:t>
            </w:r>
          </w:p>
        </w:tc>
        <w:tc>
          <w:tcPr>
            <w:tcW w:w="1238"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15,825</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17,204</w:t>
            </w:r>
          </w:p>
        </w:tc>
      </w:tr>
      <w:tr w:rsidR="003E6989" w:rsidTr="006A5410">
        <w:trPr>
          <w:trHeight w:val="270"/>
        </w:trPr>
        <w:tc>
          <w:tcPr>
            <w:tcW w:w="6272"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Financial Liabilities</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Measured at amortised cost</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Trade creditors and accruals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27,100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18,042</w:t>
            </w:r>
          </w:p>
        </w:tc>
      </w:tr>
      <w:tr w:rsidR="003E6989" w:rsidTr="006A5410">
        <w:trPr>
          <w:trHeight w:val="270"/>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Total financial liabilities</w:t>
            </w:r>
          </w:p>
        </w:tc>
        <w:tc>
          <w:tcPr>
            <w:tcW w:w="1238"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27,100</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18,042</w:t>
            </w:r>
          </w:p>
        </w:tc>
      </w:tr>
    </w:tbl>
    <w:p w:rsidR="003E6989" w:rsidRDefault="003E6989" w:rsidP="003E6989">
      <w:pPr>
        <w:pStyle w:val="NotesText0"/>
      </w:pPr>
      <w:bookmarkStart w:id="585" w:name="RANGE!D7:G20"/>
      <w:bookmarkStart w:id="586" w:name="RANGE!D7:G22"/>
      <w:bookmarkStart w:id="587" w:name="RANGE!D6:G44"/>
      <w:bookmarkStart w:id="588" w:name="RANGE!D6:D46"/>
      <w:bookmarkStart w:id="589" w:name="RANGE!D6:G46"/>
      <w:bookmarkEnd w:id="585"/>
      <w:bookmarkEnd w:id="586"/>
      <w:bookmarkEnd w:id="587"/>
      <w:bookmarkEnd w:id="588"/>
      <w:bookmarkEnd w:id="589"/>
    </w:p>
    <w:tbl>
      <w:tblPr>
        <w:tblW w:w="9087" w:type="dxa"/>
        <w:tblInd w:w="80" w:type="dxa"/>
        <w:tblLayout w:type="fixed"/>
        <w:tblLook w:val="04A0" w:firstRow="1" w:lastRow="0" w:firstColumn="1" w:lastColumn="0" w:noHBand="0" w:noVBand="1"/>
      </w:tblPr>
      <w:tblGrid>
        <w:gridCol w:w="6346"/>
        <w:gridCol w:w="1252"/>
        <w:gridCol w:w="239"/>
        <w:gridCol w:w="1250"/>
      </w:tblGrid>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bookmarkStart w:id="590" w:name="Note_FIBTABLE1" w:colFirst="0" w:colLast="0"/>
            <w:r>
              <w:rPr>
                <w:rFonts w:cs="Calibri"/>
                <w:b/>
                <w:bCs/>
                <w:szCs w:val="18"/>
                <w:u w:val="single"/>
              </w:rPr>
              <w:t>7.2B: Net gains or losses on financial assets</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bookmarkEnd w:id="590"/>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Loans and receivables</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Write off impairment - goods and services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47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Impairment of receivables - goods and services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98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Net gains (losses) on loans and receivables</w:t>
            </w:r>
          </w:p>
        </w:tc>
        <w:tc>
          <w:tcPr>
            <w:tcW w:w="123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98</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47</w:t>
            </w:r>
          </w:p>
        </w:tc>
      </w:tr>
      <w:tr w:rsidR="003E6989" w:rsidTr="006A5410">
        <w:trPr>
          <w:trHeight w:val="255"/>
        </w:trPr>
        <w:tc>
          <w:tcPr>
            <w:tcW w:w="6272"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70"/>
        </w:trPr>
        <w:tc>
          <w:tcPr>
            <w:tcW w:w="6272" w:type="dxa"/>
            <w:tcBorders>
              <w:top w:val="nil"/>
              <w:left w:val="nil"/>
              <w:bottom w:val="nil"/>
              <w:right w:val="nil"/>
            </w:tcBorders>
            <w:shd w:val="clear" w:color="FFFFFF" w:fill="FFFFFF"/>
            <w:vAlign w:val="bottom"/>
            <w:hideMark/>
          </w:tcPr>
          <w:p w:rsidR="003E6989" w:rsidRDefault="003E6989" w:rsidP="006A5410">
            <w:pPr>
              <w:rPr>
                <w:rFonts w:cs="Calibri"/>
                <w:b/>
                <w:bCs/>
                <w:i/>
                <w:iCs/>
                <w:szCs w:val="18"/>
              </w:rPr>
            </w:pPr>
            <w:r>
              <w:rPr>
                <w:rFonts w:cs="Calibri"/>
                <w:b/>
                <w:bCs/>
                <w:i/>
                <w:iCs/>
                <w:szCs w:val="18"/>
              </w:rPr>
              <w:t>Net gains (losses) on financial assets</w:t>
            </w:r>
          </w:p>
        </w:tc>
        <w:tc>
          <w:tcPr>
            <w:tcW w:w="1238"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98</w:t>
            </w:r>
          </w:p>
        </w:tc>
        <w:tc>
          <w:tcPr>
            <w:tcW w:w="23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36" w:type="dxa"/>
            <w:tcBorders>
              <w:top w:val="single" w:sz="4" w:space="0" w:color="auto"/>
              <w:left w:val="nil"/>
              <w:bottom w:val="double" w:sz="6"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47</w:t>
            </w:r>
          </w:p>
        </w:tc>
      </w:tr>
    </w:tbl>
    <w:p w:rsidR="003E6989" w:rsidRDefault="003E6989" w:rsidP="003E6989">
      <w:bookmarkStart w:id="591" w:name="RANGE!D6:G49"/>
      <w:bookmarkStart w:id="592" w:name="RANGE!D6:D50"/>
      <w:bookmarkStart w:id="593" w:name="RANGE!D6:G50"/>
      <w:bookmarkEnd w:id="591"/>
      <w:bookmarkEnd w:id="592"/>
      <w:bookmarkEnd w:id="593"/>
    </w:p>
    <w:p w:rsidR="003E6989" w:rsidRDefault="003E6989" w:rsidP="003E6989">
      <w:bookmarkStart w:id="594" w:name="_Toc419266964"/>
      <w:r>
        <w:t>The net income/expenses from financial assets not at fair value through profit or loss is $98,000 (2015:$47,000).</w:t>
      </w:r>
      <w:bookmarkEnd w:id="594"/>
      <w:r>
        <w:t xml:space="preserve"> </w:t>
      </w:r>
    </w:p>
    <w:p w:rsidR="003E6989" w:rsidRDefault="003E6989" w:rsidP="003E6989"/>
    <w:tbl>
      <w:tblPr>
        <w:tblW w:w="9087" w:type="dxa"/>
        <w:tblInd w:w="80" w:type="dxa"/>
        <w:tblLayout w:type="fixed"/>
        <w:tblLook w:val="04A0" w:firstRow="1" w:lastRow="0" w:firstColumn="1" w:lastColumn="0" w:noHBand="0" w:noVBand="1"/>
      </w:tblPr>
      <w:tblGrid>
        <w:gridCol w:w="4075"/>
        <w:gridCol w:w="1253"/>
        <w:gridCol w:w="1253"/>
        <w:gridCol w:w="1253"/>
        <w:gridCol w:w="1253"/>
      </w:tblGrid>
      <w:tr w:rsidR="003E6989" w:rsidTr="006A5410">
        <w:trPr>
          <w:trHeight w:val="255"/>
        </w:trPr>
        <w:tc>
          <w:tcPr>
            <w:tcW w:w="4028" w:type="dxa"/>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bookmarkStart w:id="595" w:name="Note_FIETABLE1" w:colFirst="0" w:colLast="0"/>
            <w:r>
              <w:rPr>
                <w:rFonts w:cs="Calibri"/>
                <w:b/>
                <w:bCs/>
                <w:szCs w:val="18"/>
                <w:u w:val="single"/>
              </w:rPr>
              <w:t>7.2C: Fair value of financial instruments</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color w:val="FF0000"/>
                <w:szCs w:val="18"/>
              </w:rPr>
            </w:pPr>
            <w:r>
              <w:rPr>
                <w:rFonts w:ascii="Arial" w:hAnsi="Arial" w:cs="Arial"/>
                <w:color w:val="FF0000"/>
                <w:szCs w:val="18"/>
              </w:rPr>
              <w:t> </w:t>
            </w:r>
          </w:p>
        </w:tc>
      </w:tr>
      <w:bookmarkEnd w:id="595"/>
      <w:tr w:rsidR="003E6989" w:rsidTr="006A5410">
        <w:trPr>
          <w:trHeight w:val="255"/>
        </w:trPr>
        <w:tc>
          <w:tcPr>
            <w:tcW w:w="402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color w:val="FF0000"/>
                <w:szCs w:val="18"/>
              </w:rPr>
            </w:pPr>
            <w:r>
              <w:rPr>
                <w:rFonts w:ascii="Arial" w:hAnsi="Arial" w:cs="Arial"/>
                <w:color w:val="FF0000"/>
                <w:szCs w:val="18"/>
              </w:rPr>
              <w:t> </w:t>
            </w:r>
          </w:p>
        </w:tc>
      </w:tr>
      <w:tr w:rsidR="003E6989" w:rsidTr="006A5410">
        <w:trPr>
          <w:trHeight w:val="255"/>
        </w:trPr>
        <w:tc>
          <w:tcPr>
            <w:tcW w:w="4028" w:type="dxa"/>
            <w:tcBorders>
              <w:top w:val="single" w:sz="4" w:space="0" w:color="auto"/>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single" w:sz="4" w:space="0" w:color="auto"/>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Carrying</w:t>
            </w:r>
          </w:p>
        </w:tc>
        <w:tc>
          <w:tcPr>
            <w:tcW w:w="1238" w:type="dxa"/>
            <w:tcBorders>
              <w:top w:val="single" w:sz="4" w:space="0" w:color="auto"/>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Fair</w:t>
            </w:r>
          </w:p>
        </w:tc>
        <w:tc>
          <w:tcPr>
            <w:tcW w:w="1238" w:type="dxa"/>
            <w:tcBorders>
              <w:top w:val="single" w:sz="4" w:space="0" w:color="auto"/>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Carrying</w:t>
            </w:r>
          </w:p>
        </w:tc>
        <w:tc>
          <w:tcPr>
            <w:tcW w:w="1238" w:type="dxa"/>
            <w:tcBorders>
              <w:top w:val="single" w:sz="4" w:space="0" w:color="auto"/>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Fair</w:t>
            </w:r>
          </w:p>
        </w:tc>
      </w:tr>
      <w:tr w:rsidR="003E6989" w:rsidTr="006A5410">
        <w:trPr>
          <w:trHeight w:val="255"/>
        </w:trPr>
        <w:tc>
          <w:tcPr>
            <w:tcW w:w="402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amount</w:t>
            </w:r>
          </w:p>
        </w:tc>
        <w:tc>
          <w:tcPr>
            <w:tcW w:w="1238"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value</w:t>
            </w:r>
          </w:p>
        </w:tc>
        <w:tc>
          <w:tcPr>
            <w:tcW w:w="1238"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amount</w:t>
            </w:r>
          </w:p>
        </w:tc>
        <w:tc>
          <w:tcPr>
            <w:tcW w:w="1238"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value</w:t>
            </w:r>
          </w:p>
        </w:tc>
      </w:tr>
      <w:tr w:rsidR="003E6989" w:rsidTr="006A5410">
        <w:trPr>
          <w:trHeight w:val="255"/>
        </w:trPr>
        <w:tc>
          <w:tcPr>
            <w:tcW w:w="402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2016</w:t>
            </w:r>
          </w:p>
        </w:tc>
        <w:tc>
          <w:tcPr>
            <w:tcW w:w="1238"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2016</w:t>
            </w:r>
          </w:p>
        </w:tc>
        <w:tc>
          <w:tcPr>
            <w:tcW w:w="1238"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2015</w:t>
            </w:r>
          </w:p>
        </w:tc>
        <w:tc>
          <w:tcPr>
            <w:tcW w:w="1238"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2015</w:t>
            </w:r>
          </w:p>
        </w:tc>
      </w:tr>
      <w:tr w:rsidR="003E6989" w:rsidTr="006A5410">
        <w:trPr>
          <w:trHeight w:val="255"/>
        </w:trPr>
        <w:tc>
          <w:tcPr>
            <w:tcW w:w="4028" w:type="dxa"/>
            <w:tcBorders>
              <w:top w:val="nil"/>
              <w:left w:val="nil"/>
              <w:bottom w:val="single" w:sz="4" w:space="0" w:color="auto"/>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1238" w:type="dxa"/>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1238" w:type="dxa"/>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szCs w:val="18"/>
              </w:rPr>
            </w:pPr>
            <w:r>
              <w:rPr>
                <w:rFonts w:cs="Calibri"/>
                <w:szCs w:val="18"/>
              </w:rPr>
              <w:t>$'000</w:t>
            </w:r>
          </w:p>
        </w:tc>
        <w:tc>
          <w:tcPr>
            <w:tcW w:w="1238" w:type="dxa"/>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4028"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Financial Assets</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4028"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Cash and cash equivalents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6,132 </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6,132 </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9,817</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9,817 </w:t>
            </w:r>
          </w:p>
        </w:tc>
      </w:tr>
      <w:tr w:rsidR="003E6989" w:rsidTr="006A5410">
        <w:trPr>
          <w:trHeight w:val="255"/>
        </w:trPr>
        <w:tc>
          <w:tcPr>
            <w:tcW w:w="4028"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Goods and services receivable</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7,697 </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7,697 </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4,111</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4,111 </w:t>
            </w:r>
          </w:p>
        </w:tc>
      </w:tr>
      <w:tr w:rsidR="003E6989" w:rsidTr="006A5410">
        <w:trPr>
          <w:trHeight w:val="255"/>
        </w:trPr>
        <w:tc>
          <w:tcPr>
            <w:tcW w:w="4028"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Accrued revenue</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1,996 </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1,996 </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3,276</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3,276 </w:t>
            </w:r>
          </w:p>
        </w:tc>
      </w:tr>
      <w:tr w:rsidR="003E6989" w:rsidTr="006A5410">
        <w:trPr>
          <w:trHeight w:val="255"/>
        </w:trPr>
        <w:tc>
          <w:tcPr>
            <w:tcW w:w="4028" w:type="dxa"/>
            <w:tcBorders>
              <w:top w:val="single" w:sz="4" w:space="0" w:color="auto"/>
              <w:left w:val="nil"/>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Total financial assets</w:t>
            </w:r>
          </w:p>
        </w:tc>
        <w:tc>
          <w:tcPr>
            <w:tcW w:w="123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15,167</w:t>
            </w:r>
          </w:p>
        </w:tc>
        <w:tc>
          <w:tcPr>
            <w:tcW w:w="123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15,167</w:t>
            </w:r>
          </w:p>
        </w:tc>
        <w:tc>
          <w:tcPr>
            <w:tcW w:w="123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17,204</w:t>
            </w:r>
          </w:p>
        </w:tc>
        <w:tc>
          <w:tcPr>
            <w:tcW w:w="123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17,204</w:t>
            </w:r>
          </w:p>
        </w:tc>
      </w:tr>
      <w:tr w:rsidR="003E6989" w:rsidTr="006A5410">
        <w:trPr>
          <w:trHeight w:val="255"/>
        </w:trPr>
        <w:tc>
          <w:tcPr>
            <w:tcW w:w="402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4028"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Financial Liabilities</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4028"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At amortised cost</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4028"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Trade creditors and accruals</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27,100 </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27,100 </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18,042</w:t>
            </w:r>
          </w:p>
        </w:tc>
        <w:tc>
          <w:tcPr>
            <w:tcW w:w="1238"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18,042 </w:t>
            </w:r>
          </w:p>
        </w:tc>
      </w:tr>
      <w:tr w:rsidR="003E6989" w:rsidTr="006A5410">
        <w:trPr>
          <w:trHeight w:val="255"/>
        </w:trPr>
        <w:tc>
          <w:tcPr>
            <w:tcW w:w="4028" w:type="dxa"/>
            <w:tcBorders>
              <w:top w:val="single" w:sz="4" w:space="0" w:color="auto"/>
              <w:left w:val="nil"/>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Total financial liabilities</w:t>
            </w:r>
          </w:p>
        </w:tc>
        <w:tc>
          <w:tcPr>
            <w:tcW w:w="123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27,107</w:t>
            </w:r>
          </w:p>
        </w:tc>
        <w:tc>
          <w:tcPr>
            <w:tcW w:w="123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27,107</w:t>
            </w:r>
          </w:p>
        </w:tc>
        <w:tc>
          <w:tcPr>
            <w:tcW w:w="123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18,042</w:t>
            </w:r>
          </w:p>
        </w:tc>
        <w:tc>
          <w:tcPr>
            <w:tcW w:w="123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18,042</w:t>
            </w:r>
          </w:p>
        </w:tc>
      </w:tr>
    </w:tbl>
    <w:p w:rsidR="003E6989" w:rsidRDefault="003E6989" w:rsidP="003E6989">
      <w:bookmarkStart w:id="596" w:name="RANGE!D8:H24"/>
      <w:bookmarkStart w:id="597" w:name="RANGE!D7:H23"/>
      <w:bookmarkStart w:id="598" w:name="RANGE!D6:H23"/>
      <w:bookmarkStart w:id="599" w:name="RANGE!D6:G28"/>
      <w:bookmarkStart w:id="600" w:name="RANGE!D6:D29"/>
      <w:bookmarkStart w:id="601" w:name="RANGE!D6:G29"/>
      <w:bookmarkStart w:id="602" w:name="RANGE!D6:H18"/>
      <w:bookmarkStart w:id="603" w:name="RANGE!D6:H19"/>
      <w:bookmarkEnd w:id="596"/>
      <w:bookmarkEnd w:id="597"/>
      <w:bookmarkEnd w:id="598"/>
      <w:bookmarkEnd w:id="599"/>
      <w:bookmarkEnd w:id="600"/>
      <w:bookmarkEnd w:id="601"/>
      <w:bookmarkEnd w:id="602"/>
      <w:bookmarkEnd w:id="603"/>
    </w:p>
    <w:p w:rsidR="003E6989" w:rsidRDefault="003E6989" w:rsidP="003E6989">
      <w:pPr>
        <w:spacing w:line="240" w:lineRule="auto"/>
      </w:pPr>
      <w:r>
        <w:br w:type="page"/>
      </w:r>
    </w:p>
    <w:tbl>
      <w:tblPr>
        <w:tblW w:w="9087" w:type="dxa"/>
        <w:tblInd w:w="80" w:type="dxa"/>
        <w:tblLayout w:type="fixed"/>
        <w:tblLook w:val="04A0" w:firstRow="1" w:lastRow="0" w:firstColumn="1" w:lastColumn="0" w:noHBand="0" w:noVBand="1"/>
      </w:tblPr>
      <w:tblGrid>
        <w:gridCol w:w="2836"/>
        <w:gridCol w:w="1250"/>
        <w:gridCol w:w="1251"/>
        <w:gridCol w:w="1250"/>
        <w:gridCol w:w="1250"/>
        <w:gridCol w:w="1250"/>
      </w:tblGrid>
      <w:tr w:rsidR="003E6989" w:rsidTr="006A5410">
        <w:trPr>
          <w:trHeight w:val="255"/>
        </w:trPr>
        <w:tc>
          <w:tcPr>
            <w:tcW w:w="2804" w:type="dxa"/>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bookmarkStart w:id="604" w:name="Note_FIHTABLE1" w:colFirst="0" w:colLast="0"/>
            <w:r>
              <w:rPr>
                <w:rFonts w:cs="Calibri"/>
                <w:b/>
                <w:bCs/>
                <w:szCs w:val="18"/>
                <w:u w:val="single"/>
              </w:rPr>
              <w:t>7.2D: Credit risk</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5"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5"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5"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bookmarkEnd w:id="604"/>
      <w:tr w:rsidR="003E6989" w:rsidTr="006A5410">
        <w:trPr>
          <w:trHeight w:val="255"/>
        </w:trPr>
        <w:tc>
          <w:tcPr>
            <w:tcW w:w="2804"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5"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5"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5"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1140"/>
        </w:trPr>
        <w:tc>
          <w:tcPr>
            <w:tcW w:w="8981" w:type="dxa"/>
            <w:gridSpan w:val="6"/>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The department is exposed to minimal credit risk as loans and receivables are cash, cash on deposit and trade receivables. The maximum exposure to credit risk is the risk that arises from potential default of a debtor. This amount is equal to the total amount of trade receivables in 2016: $7.697 million (2015: $4.111 million). The department has assessed the risk of the default on payment and has allocated an impairment allowance for doubtful debts of $97,602 (2015: nil).</w:t>
            </w:r>
          </w:p>
        </w:tc>
      </w:tr>
      <w:tr w:rsidR="003E6989" w:rsidTr="006A5410">
        <w:trPr>
          <w:trHeight w:val="255"/>
        </w:trPr>
        <w:tc>
          <w:tcPr>
            <w:tcW w:w="8981" w:type="dxa"/>
            <w:gridSpan w:val="6"/>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The department has no liabilities carried at amounts not best representing maximum exposure to credit risk.</w:t>
            </w:r>
          </w:p>
        </w:tc>
      </w:tr>
      <w:tr w:rsidR="003E6989" w:rsidTr="006A5410">
        <w:trPr>
          <w:trHeight w:val="525"/>
        </w:trPr>
        <w:tc>
          <w:tcPr>
            <w:tcW w:w="8981" w:type="dxa"/>
            <w:gridSpan w:val="6"/>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The department has no significant exposures to any concentrations of credit risk. All figures for credit risk referred to do not take into account the value of any collateral of other security.</w:t>
            </w:r>
          </w:p>
        </w:tc>
      </w:tr>
      <w:tr w:rsidR="003E6989" w:rsidTr="006A5410">
        <w:trPr>
          <w:trHeight w:val="255"/>
        </w:trPr>
        <w:tc>
          <w:tcPr>
            <w:tcW w:w="2804"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5"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5"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5"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570"/>
        </w:trPr>
        <w:tc>
          <w:tcPr>
            <w:tcW w:w="8981" w:type="dxa"/>
            <w:gridSpan w:val="6"/>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In relation to the department’s gross credit risk and the financial effect in respect of the amount that best represents the maximum exposure to credit risk there is no collateral held.</w:t>
            </w:r>
          </w:p>
        </w:tc>
      </w:tr>
      <w:tr w:rsidR="003E6989" w:rsidTr="006A5410">
        <w:trPr>
          <w:trHeight w:val="255"/>
        </w:trPr>
        <w:tc>
          <w:tcPr>
            <w:tcW w:w="2804"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5"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5"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5"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8981" w:type="dxa"/>
            <w:gridSpan w:val="6"/>
            <w:tcBorders>
              <w:top w:val="nil"/>
              <w:left w:val="nil"/>
              <w:bottom w:val="nil"/>
              <w:right w:val="nil"/>
            </w:tcBorders>
            <w:shd w:val="clear" w:color="FFFFFF" w:fill="FFFFFF"/>
            <w:noWrap/>
            <w:vAlign w:val="bottom"/>
            <w:hideMark/>
          </w:tcPr>
          <w:p w:rsidR="003E6989" w:rsidRDefault="003E6989" w:rsidP="006A5410">
            <w:pPr>
              <w:rPr>
                <w:rFonts w:cs="Calibri"/>
                <w:b/>
                <w:bCs/>
                <w:szCs w:val="18"/>
              </w:rPr>
            </w:pPr>
            <w:r>
              <w:rPr>
                <w:rFonts w:cs="Calibri"/>
                <w:b/>
                <w:bCs/>
                <w:szCs w:val="18"/>
              </w:rPr>
              <w:t>Credit quality of financial assets not past due or individually determined as impaired</w:t>
            </w:r>
          </w:p>
        </w:tc>
      </w:tr>
      <w:tr w:rsidR="003E6989" w:rsidTr="006A5410">
        <w:trPr>
          <w:trHeight w:val="480"/>
        </w:trPr>
        <w:tc>
          <w:tcPr>
            <w:tcW w:w="2804"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 w:val="20"/>
              </w:rPr>
            </w:pPr>
            <w:r>
              <w:rPr>
                <w:rFonts w:ascii="Arial" w:hAnsi="Arial" w:cs="Arial"/>
                <w:sz w:val="20"/>
              </w:rPr>
              <w:t> </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Not past due nor impaired</w:t>
            </w:r>
          </w:p>
        </w:tc>
        <w:tc>
          <w:tcPr>
            <w:tcW w:w="1235"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Past due or impaired</w:t>
            </w:r>
          </w:p>
        </w:tc>
        <w:tc>
          <w:tcPr>
            <w:tcW w:w="1235"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Not past due nor impaired</w:t>
            </w:r>
          </w:p>
        </w:tc>
        <w:tc>
          <w:tcPr>
            <w:tcW w:w="1235"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Past due or impaired</w:t>
            </w:r>
          </w:p>
        </w:tc>
      </w:tr>
      <w:tr w:rsidR="003E6989" w:rsidTr="006A5410">
        <w:trPr>
          <w:trHeight w:val="255"/>
        </w:trPr>
        <w:tc>
          <w:tcPr>
            <w:tcW w:w="2804"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 w:val="20"/>
              </w:rPr>
            </w:pPr>
            <w:r>
              <w:rPr>
                <w:rFonts w:ascii="Arial" w:hAnsi="Arial" w:cs="Arial"/>
                <w:sz w:val="20"/>
              </w:rPr>
              <w:t> </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2016</w:t>
            </w:r>
          </w:p>
        </w:tc>
        <w:tc>
          <w:tcPr>
            <w:tcW w:w="1235"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2016</w:t>
            </w:r>
          </w:p>
        </w:tc>
        <w:tc>
          <w:tcPr>
            <w:tcW w:w="1235"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2015</w:t>
            </w:r>
          </w:p>
        </w:tc>
        <w:tc>
          <w:tcPr>
            <w:tcW w:w="1235"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2015</w:t>
            </w:r>
          </w:p>
        </w:tc>
      </w:tr>
      <w:tr w:rsidR="003E6989" w:rsidTr="006A5410">
        <w:trPr>
          <w:trHeight w:val="255"/>
        </w:trPr>
        <w:tc>
          <w:tcPr>
            <w:tcW w:w="2804"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 w:val="20"/>
              </w:rPr>
            </w:pPr>
            <w:r>
              <w:rPr>
                <w:rFonts w:ascii="Arial" w:hAnsi="Arial" w:cs="Arial"/>
                <w:sz w:val="20"/>
              </w:rPr>
              <w:t> </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1235"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1235"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$'000</w:t>
            </w:r>
          </w:p>
        </w:tc>
        <w:tc>
          <w:tcPr>
            <w:tcW w:w="1235"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2804"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Cash and cash equivalents</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6,132 </w:t>
            </w:r>
          </w:p>
        </w:tc>
        <w:tc>
          <w:tcPr>
            <w:tcW w:w="1235"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1235"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9,817 </w:t>
            </w:r>
          </w:p>
        </w:tc>
        <w:tc>
          <w:tcPr>
            <w:tcW w:w="1235"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2804"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Goods and services receivable</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5,772 </w:t>
            </w:r>
          </w:p>
        </w:tc>
        <w:tc>
          <w:tcPr>
            <w:tcW w:w="1235"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1,925 </w:t>
            </w:r>
          </w:p>
        </w:tc>
        <w:tc>
          <w:tcPr>
            <w:tcW w:w="1235"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3,347 </w:t>
            </w:r>
          </w:p>
        </w:tc>
        <w:tc>
          <w:tcPr>
            <w:tcW w:w="1235"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764 </w:t>
            </w:r>
          </w:p>
        </w:tc>
      </w:tr>
      <w:tr w:rsidR="003E6989" w:rsidTr="006A5410">
        <w:trPr>
          <w:trHeight w:val="255"/>
        </w:trPr>
        <w:tc>
          <w:tcPr>
            <w:tcW w:w="2804"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Accrued revenue</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1,996 </w:t>
            </w:r>
          </w:p>
        </w:tc>
        <w:tc>
          <w:tcPr>
            <w:tcW w:w="1235"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1235"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3,276 </w:t>
            </w:r>
          </w:p>
        </w:tc>
        <w:tc>
          <w:tcPr>
            <w:tcW w:w="1235"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2804"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Total</w:t>
            </w:r>
          </w:p>
        </w:tc>
        <w:tc>
          <w:tcPr>
            <w:tcW w:w="1236"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 </w:t>
            </w:r>
          </w:p>
        </w:tc>
        <w:tc>
          <w:tcPr>
            <w:tcW w:w="123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13,900</w:t>
            </w:r>
          </w:p>
        </w:tc>
        <w:tc>
          <w:tcPr>
            <w:tcW w:w="1235"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1,925</w:t>
            </w:r>
          </w:p>
        </w:tc>
        <w:tc>
          <w:tcPr>
            <w:tcW w:w="1235"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16,440</w:t>
            </w:r>
          </w:p>
        </w:tc>
        <w:tc>
          <w:tcPr>
            <w:tcW w:w="1235"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764</w:t>
            </w:r>
          </w:p>
        </w:tc>
      </w:tr>
      <w:tr w:rsidR="003E6989" w:rsidTr="006A5410">
        <w:trPr>
          <w:trHeight w:val="255"/>
        </w:trPr>
        <w:tc>
          <w:tcPr>
            <w:tcW w:w="2804"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5"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5"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5"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8981" w:type="dxa"/>
            <w:gridSpan w:val="6"/>
            <w:tcBorders>
              <w:top w:val="nil"/>
              <w:left w:val="nil"/>
              <w:bottom w:val="nil"/>
              <w:right w:val="nil"/>
            </w:tcBorders>
            <w:shd w:val="clear" w:color="FFFFFF" w:fill="FFFFFF"/>
            <w:noWrap/>
            <w:vAlign w:val="bottom"/>
            <w:hideMark/>
          </w:tcPr>
          <w:p w:rsidR="003E6989" w:rsidRDefault="003E6989" w:rsidP="006A5410">
            <w:pPr>
              <w:rPr>
                <w:rFonts w:cs="Calibri"/>
                <w:b/>
                <w:bCs/>
                <w:szCs w:val="18"/>
              </w:rPr>
            </w:pPr>
            <w:r>
              <w:rPr>
                <w:rFonts w:cs="Calibri"/>
                <w:b/>
                <w:bCs/>
                <w:szCs w:val="18"/>
              </w:rPr>
              <w:t>Ageing of financial assets that were past due but not impaired for 2016</w:t>
            </w:r>
          </w:p>
        </w:tc>
      </w:tr>
      <w:tr w:rsidR="003E6989" w:rsidTr="006A5410">
        <w:trPr>
          <w:trHeight w:val="255"/>
        </w:trPr>
        <w:tc>
          <w:tcPr>
            <w:tcW w:w="2804"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 xml:space="preserve">0 to 30 </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31 to 60</w:t>
            </w:r>
          </w:p>
        </w:tc>
        <w:tc>
          <w:tcPr>
            <w:tcW w:w="1235"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61 to 90</w:t>
            </w:r>
          </w:p>
        </w:tc>
        <w:tc>
          <w:tcPr>
            <w:tcW w:w="1235"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90+</w:t>
            </w:r>
          </w:p>
        </w:tc>
        <w:tc>
          <w:tcPr>
            <w:tcW w:w="1235"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 </w:t>
            </w:r>
          </w:p>
        </w:tc>
      </w:tr>
      <w:tr w:rsidR="003E6989" w:rsidTr="006A5410">
        <w:trPr>
          <w:trHeight w:val="255"/>
        </w:trPr>
        <w:tc>
          <w:tcPr>
            <w:tcW w:w="2804"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days</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days</w:t>
            </w:r>
          </w:p>
        </w:tc>
        <w:tc>
          <w:tcPr>
            <w:tcW w:w="1235"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days</w:t>
            </w:r>
          </w:p>
        </w:tc>
        <w:tc>
          <w:tcPr>
            <w:tcW w:w="1235"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days</w:t>
            </w:r>
          </w:p>
        </w:tc>
        <w:tc>
          <w:tcPr>
            <w:tcW w:w="1235"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Total</w:t>
            </w:r>
          </w:p>
        </w:tc>
      </w:tr>
      <w:tr w:rsidR="003E6989" w:rsidTr="006A5410">
        <w:trPr>
          <w:trHeight w:val="255"/>
        </w:trPr>
        <w:tc>
          <w:tcPr>
            <w:tcW w:w="2804"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1235"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1235"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c>
          <w:tcPr>
            <w:tcW w:w="1235" w:type="dxa"/>
            <w:tcBorders>
              <w:top w:val="nil"/>
              <w:left w:val="nil"/>
              <w:bottom w:val="nil"/>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r>
      <w:tr w:rsidR="003E6989" w:rsidTr="006A5410">
        <w:trPr>
          <w:trHeight w:val="255"/>
        </w:trPr>
        <w:tc>
          <w:tcPr>
            <w:tcW w:w="2804"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Goods and services receivable</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518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1,192 </w:t>
            </w:r>
          </w:p>
        </w:tc>
        <w:tc>
          <w:tcPr>
            <w:tcW w:w="1235"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278 </w:t>
            </w:r>
          </w:p>
        </w:tc>
        <w:tc>
          <w:tcPr>
            <w:tcW w:w="1235"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455 </w:t>
            </w:r>
          </w:p>
        </w:tc>
        <w:tc>
          <w:tcPr>
            <w:tcW w:w="1235"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2,443 </w:t>
            </w:r>
          </w:p>
        </w:tc>
      </w:tr>
      <w:tr w:rsidR="003E6989" w:rsidTr="006A5410">
        <w:trPr>
          <w:trHeight w:val="255"/>
        </w:trPr>
        <w:tc>
          <w:tcPr>
            <w:tcW w:w="2804"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Total</w:t>
            </w:r>
          </w:p>
        </w:tc>
        <w:tc>
          <w:tcPr>
            <w:tcW w:w="123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518</w:t>
            </w:r>
          </w:p>
        </w:tc>
        <w:tc>
          <w:tcPr>
            <w:tcW w:w="123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1,192</w:t>
            </w:r>
          </w:p>
        </w:tc>
        <w:tc>
          <w:tcPr>
            <w:tcW w:w="1235"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278</w:t>
            </w:r>
          </w:p>
        </w:tc>
        <w:tc>
          <w:tcPr>
            <w:tcW w:w="1235"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455</w:t>
            </w:r>
          </w:p>
        </w:tc>
        <w:tc>
          <w:tcPr>
            <w:tcW w:w="1235"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2,443</w:t>
            </w:r>
          </w:p>
        </w:tc>
      </w:tr>
      <w:tr w:rsidR="003E6989" w:rsidTr="006A5410">
        <w:trPr>
          <w:trHeight w:val="255"/>
        </w:trPr>
        <w:tc>
          <w:tcPr>
            <w:tcW w:w="2804"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5"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5"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5"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55"/>
        </w:trPr>
        <w:tc>
          <w:tcPr>
            <w:tcW w:w="8981" w:type="dxa"/>
            <w:gridSpan w:val="6"/>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Ageing of financial assets that were past due but not impaired for 2015</w:t>
            </w:r>
          </w:p>
        </w:tc>
      </w:tr>
      <w:tr w:rsidR="003E6989" w:rsidTr="006A5410">
        <w:trPr>
          <w:trHeight w:val="255"/>
        </w:trPr>
        <w:tc>
          <w:tcPr>
            <w:tcW w:w="2804"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 xml:space="preserve">0 to 30 </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31 to 60</w:t>
            </w:r>
          </w:p>
        </w:tc>
        <w:tc>
          <w:tcPr>
            <w:tcW w:w="1235"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61 to 90</w:t>
            </w:r>
          </w:p>
        </w:tc>
        <w:tc>
          <w:tcPr>
            <w:tcW w:w="1235"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90+</w:t>
            </w:r>
          </w:p>
        </w:tc>
        <w:tc>
          <w:tcPr>
            <w:tcW w:w="1235"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2804"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days</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days</w:t>
            </w:r>
          </w:p>
        </w:tc>
        <w:tc>
          <w:tcPr>
            <w:tcW w:w="1235"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days</w:t>
            </w:r>
          </w:p>
        </w:tc>
        <w:tc>
          <w:tcPr>
            <w:tcW w:w="1235"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days</w:t>
            </w:r>
          </w:p>
        </w:tc>
        <w:tc>
          <w:tcPr>
            <w:tcW w:w="1235"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Total</w:t>
            </w:r>
          </w:p>
        </w:tc>
      </w:tr>
      <w:tr w:rsidR="003E6989" w:rsidTr="006A5410">
        <w:trPr>
          <w:trHeight w:val="255"/>
        </w:trPr>
        <w:tc>
          <w:tcPr>
            <w:tcW w:w="2804"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$'000</w:t>
            </w:r>
          </w:p>
        </w:tc>
        <w:tc>
          <w:tcPr>
            <w:tcW w:w="1236"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$'000</w:t>
            </w:r>
          </w:p>
        </w:tc>
        <w:tc>
          <w:tcPr>
            <w:tcW w:w="1235"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$'000</w:t>
            </w:r>
          </w:p>
        </w:tc>
        <w:tc>
          <w:tcPr>
            <w:tcW w:w="1235"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$'000</w:t>
            </w:r>
          </w:p>
        </w:tc>
        <w:tc>
          <w:tcPr>
            <w:tcW w:w="1235" w:type="dxa"/>
            <w:tcBorders>
              <w:top w:val="nil"/>
              <w:left w:val="nil"/>
              <w:bottom w:val="nil"/>
              <w:right w:val="nil"/>
            </w:tcBorders>
            <w:shd w:val="clear" w:color="FFFFFF" w:fill="FFFFFF"/>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2804"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Goods and services</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598 </w:t>
            </w:r>
          </w:p>
        </w:tc>
        <w:tc>
          <w:tcPr>
            <w:tcW w:w="123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193 </w:t>
            </w:r>
          </w:p>
        </w:tc>
        <w:tc>
          <w:tcPr>
            <w:tcW w:w="1235"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89 </w:t>
            </w:r>
          </w:p>
        </w:tc>
        <w:tc>
          <w:tcPr>
            <w:tcW w:w="1235"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482 </w:t>
            </w:r>
          </w:p>
        </w:tc>
        <w:tc>
          <w:tcPr>
            <w:tcW w:w="1235"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1,362 </w:t>
            </w:r>
          </w:p>
        </w:tc>
      </w:tr>
      <w:tr w:rsidR="003E6989" w:rsidTr="006A5410">
        <w:trPr>
          <w:trHeight w:val="255"/>
        </w:trPr>
        <w:tc>
          <w:tcPr>
            <w:tcW w:w="2804"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Total</w:t>
            </w:r>
          </w:p>
        </w:tc>
        <w:tc>
          <w:tcPr>
            <w:tcW w:w="123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598</w:t>
            </w:r>
          </w:p>
        </w:tc>
        <w:tc>
          <w:tcPr>
            <w:tcW w:w="123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193</w:t>
            </w:r>
          </w:p>
        </w:tc>
        <w:tc>
          <w:tcPr>
            <w:tcW w:w="1235"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89</w:t>
            </w:r>
          </w:p>
        </w:tc>
        <w:tc>
          <w:tcPr>
            <w:tcW w:w="1235"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482</w:t>
            </w:r>
          </w:p>
        </w:tc>
        <w:tc>
          <w:tcPr>
            <w:tcW w:w="1235"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1,362</w:t>
            </w:r>
          </w:p>
        </w:tc>
      </w:tr>
    </w:tbl>
    <w:p w:rsidR="003E6989" w:rsidRDefault="003E6989" w:rsidP="003E6989">
      <w:pPr>
        <w:rPr>
          <w:rFonts w:asciiTheme="minorHAnsi" w:hAnsiTheme="minorHAnsi" w:cstheme="minorHAnsi"/>
          <w:b/>
          <w:szCs w:val="18"/>
          <w:lang w:eastAsia="en-AU"/>
        </w:rPr>
      </w:pPr>
      <w:bookmarkStart w:id="605" w:name="RANGE!D7:I47"/>
      <w:bookmarkStart w:id="606" w:name="RANGE!D7:I46"/>
      <w:bookmarkStart w:id="607" w:name="RANGE!D7:I45"/>
      <w:bookmarkStart w:id="608" w:name="RANGE!D7:I44"/>
      <w:bookmarkStart w:id="609" w:name="RANGE!D7:I42"/>
      <w:bookmarkEnd w:id="605"/>
      <w:bookmarkEnd w:id="606"/>
      <w:bookmarkEnd w:id="607"/>
      <w:bookmarkEnd w:id="608"/>
      <w:bookmarkEnd w:id="609"/>
    </w:p>
    <w:p w:rsidR="003E6989" w:rsidRDefault="003E6989" w:rsidP="003E6989">
      <w:pPr>
        <w:rPr>
          <w:b/>
          <w:lang w:eastAsia="en-AU"/>
        </w:rPr>
      </w:pPr>
      <w:bookmarkStart w:id="610" w:name="RANGE!D6:I42"/>
      <w:bookmarkStart w:id="611" w:name="RANGE!D6:I47"/>
      <w:bookmarkStart w:id="612" w:name="RANGE!D21:H37"/>
      <w:bookmarkStart w:id="613" w:name="RANGE!D22:H38"/>
      <w:bookmarkStart w:id="614" w:name="RANGE!D40:H88"/>
      <w:bookmarkStart w:id="615" w:name="RANGE!D41:H89"/>
      <w:bookmarkStart w:id="616" w:name="RANGE!D6:G30"/>
      <w:bookmarkStart w:id="617" w:name="RANGE!D6:D31"/>
      <w:bookmarkStart w:id="618" w:name="RANGE!D6:G31"/>
      <w:bookmarkStart w:id="619" w:name="RANGE!D6:F17"/>
      <w:bookmarkStart w:id="620" w:name="RANGE!D6:I46"/>
      <w:bookmarkStart w:id="621" w:name="RANGE!D6:I44"/>
      <w:bookmarkStart w:id="622" w:name="RANGE!D6:D45"/>
      <w:bookmarkStart w:id="623" w:name="RANGE!D6:I45"/>
      <w:bookmarkStart w:id="624" w:name="_Toc419266965"/>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Pr>
          <w:b/>
          <w:lang w:eastAsia="en-AU"/>
        </w:rPr>
        <w:t>The following asset has been individually assessed as impaired</w:t>
      </w:r>
      <w:bookmarkEnd w:id="624"/>
    </w:p>
    <w:p w:rsidR="003E6989" w:rsidRDefault="003E6989" w:rsidP="003E6989">
      <w:pPr>
        <w:rPr>
          <w:lang w:eastAsia="en-AU"/>
        </w:rPr>
      </w:pPr>
      <w:bookmarkStart w:id="625" w:name="_Toc419266966"/>
      <w:r>
        <w:rPr>
          <w:lang w:eastAsia="en-AU"/>
        </w:rPr>
        <w:t>Trade receivables have been individually assessed for impairment including an assessment made on an historical basis.</w:t>
      </w:r>
      <w:bookmarkEnd w:id="625"/>
      <w:r>
        <w:rPr>
          <w:lang w:eastAsia="en-AU"/>
        </w:rPr>
        <w:t xml:space="preserve"> </w:t>
      </w:r>
    </w:p>
    <w:p w:rsidR="003E6989" w:rsidRDefault="003E6989" w:rsidP="003E6989">
      <w:pPr>
        <w:spacing w:line="240" w:lineRule="auto"/>
        <w:rPr>
          <w:rFonts w:asciiTheme="minorHAnsi" w:hAnsiTheme="minorHAnsi" w:cstheme="minorHAnsi"/>
          <w:szCs w:val="18"/>
          <w:lang w:eastAsia="en-AU"/>
        </w:rPr>
      </w:pPr>
    </w:p>
    <w:tbl>
      <w:tblPr>
        <w:tblW w:w="9087" w:type="dxa"/>
        <w:tblInd w:w="80" w:type="dxa"/>
        <w:tblLayout w:type="fixed"/>
        <w:tblLook w:val="04A0" w:firstRow="1" w:lastRow="0" w:firstColumn="1" w:lastColumn="0" w:noHBand="0" w:noVBand="1"/>
      </w:tblPr>
      <w:tblGrid>
        <w:gridCol w:w="2247"/>
        <w:gridCol w:w="1140"/>
        <w:gridCol w:w="1140"/>
        <w:gridCol w:w="1140"/>
        <w:gridCol w:w="1140"/>
        <w:gridCol w:w="1140"/>
        <w:gridCol w:w="1140"/>
      </w:tblGrid>
      <w:tr w:rsidR="003E6989" w:rsidTr="006A5410">
        <w:trPr>
          <w:trHeight w:val="255"/>
        </w:trPr>
        <w:tc>
          <w:tcPr>
            <w:tcW w:w="2223" w:type="dxa"/>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bookmarkStart w:id="626" w:name="Note_FIITABLE1" w:colFirst="0" w:colLast="0"/>
            <w:r>
              <w:rPr>
                <w:rFonts w:cs="Calibri"/>
                <w:b/>
                <w:bCs/>
                <w:szCs w:val="18"/>
                <w:u w:val="single"/>
              </w:rPr>
              <w:t>7.2E: Liquidity risk</w:t>
            </w:r>
          </w:p>
        </w:tc>
        <w:tc>
          <w:tcPr>
            <w:tcW w:w="112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127"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127"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127"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127"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127"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bookmarkEnd w:id="626"/>
      <w:tr w:rsidR="003E6989" w:rsidTr="006A5410">
        <w:trPr>
          <w:trHeight w:val="750"/>
        </w:trPr>
        <w:tc>
          <w:tcPr>
            <w:tcW w:w="8986" w:type="dxa"/>
            <w:gridSpan w:val="7"/>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The department is appropriated funding from the Australian Government. The department manages its budgeted funds to ensure it has adequate funds to meet payments as they fall due. In addition, the department has policies in place to ensure timely payments are made when due and has no past experience of default.</w:t>
            </w:r>
          </w:p>
        </w:tc>
      </w:tr>
      <w:tr w:rsidR="003E6989" w:rsidTr="006A5410">
        <w:trPr>
          <w:trHeight w:val="255"/>
        </w:trPr>
        <w:tc>
          <w:tcPr>
            <w:tcW w:w="2223"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12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127"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127"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127"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127"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127"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bl>
    <w:p w:rsidR="003E6989" w:rsidRDefault="003E6989" w:rsidP="003E6989">
      <w:pPr>
        <w:spacing w:line="240" w:lineRule="auto"/>
      </w:pPr>
    </w:p>
    <w:tbl>
      <w:tblPr>
        <w:tblW w:w="9087" w:type="dxa"/>
        <w:tblInd w:w="80" w:type="dxa"/>
        <w:tblLayout w:type="fixed"/>
        <w:tblLook w:val="04A0" w:firstRow="1" w:lastRow="0" w:firstColumn="1" w:lastColumn="0" w:noHBand="0" w:noVBand="1"/>
      </w:tblPr>
      <w:tblGrid>
        <w:gridCol w:w="5322"/>
        <w:gridCol w:w="1255"/>
        <w:gridCol w:w="1255"/>
        <w:gridCol w:w="1255"/>
      </w:tblGrid>
      <w:tr w:rsidR="003E6989" w:rsidTr="006A5410">
        <w:trPr>
          <w:trHeight w:val="255"/>
        </w:trPr>
        <w:tc>
          <w:tcPr>
            <w:tcW w:w="5260" w:type="dxa"/>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bookmarkStart w:id="627" w:name="RANGE!D7:D9"/>
            <w:bookmarkStart w:id="628" w:name="Note_FIJTABLE1" w:colFirst="0" w:colLast="0"/>
            <w:r>
              <w:rPr>
                <w:rFonts w:cs="Calibri"/>
                <w:b/>
                <w:bCs/>
                <w:szCs w:val="18"/>
                <w:u w:val="single"/>
              </w:rPr>
              <w:t>7.2F: Market risk</w:t>
            </w:r>
            <w:bookmarkEnd w:id="627"/>
          </w:p>
        </w:tc>
        <w:tc>
          <w:tcPr>
            <w:tcW w:w="1240"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40"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40"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bookmarkEnd w:id="628"/>
      <w:tr w:rsidR="003E6989" w:rsidTr="006A5410">
        <w:trPr>
          <w:trHeight w:val="165"/>
        </w:trPr>
        <w:tc>
          <w:tcPr>
            <w:tcW w:w="5260"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1240"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40"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240"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r>
      <w:tr w:rsidR="003E6989" w:rsidTr="006A5410">
        <w:trPr>
          <w:trHeight w:val="210"/>
        </w:trPr>
        <w:tc>
          <w:tcPr>
            <w:tcW w:w="8980" w:type="dxa"/>
            <w:gridSpan w:val="4"/>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The department holds basic financial instruments that do not expose the department to market risks.</w:t>
            </w:r>
          </w:p>
        </w:tc>
      </w:tr>
    </w:tbl>
    <w:p w:rsidR="003E6989" w:rsidRDefault="003E6989" w:rsidP="003E6989">
      <w:pPr>
        <w:spacing w:line="240" w:lineRule="auto"/>
      </w:pPr>
    </w:p>
    <w:p w:rsidR="003E6989" w:rsidRDefault="003E6989" w:rsidP="003E6989">
      <w:pPr>
        <w:spacing w:line="240" w:lineRule="auto"/>
      </w:pPr>
      <w:r>
        <w:br w:type="page"/>
      </w:r>
    </w:p>
    <w:p w:rsidR="003E6989" w:rsidRDefault="003E6989" w:rsidP="003E6989">
      <w:pPr>
        <w:pStyle w:val="SubHeading"/>
      </w:pPr>
      <w:bookmarkStart w:id="629" w:name="_Toc455416756"/>
      <w:bookmarkStart w:id="630" w:name="_Toc464726647"/>
      <w:r>
        <w:t>Administered – Financial Instruments</w:t>
      </w:r>
      <w:bookmarkEnd w:id="629"/>
      <w:bookmarkEnd w:id="630"/>
    </w:p>
    <w:tbl>
      <w:tblPr>
        <w:tblW w:w="9087" w:type="dxa"/>
        <w:tblInd w:w="80" w:type="dxa"/>
        <w:tblLayout w:type="fixed"/>
        <w:tblLook w:val="04A0" w:firstRow="1" w:lastRow="0" w:firstColumn="1" w:lastColumn="0" w:noHBand="0" w:noVBand="1"/>
      </w:tblPr>
      <w:tblGrid>
        <w:gridCol w:w="5868"/>
        <w:gridCol w:w="1458"/>
        <w:gridCol w:w="303"/>
        <w:gridCol w:w="1458"/>
      </w:tblGrid>
      <w:tr w:rsidR="003E6989" w:rsidTr="006A5410">
        <w:trPr>
          <w:trHeight w:val="255"/>
        </w:trPr>
        <w:tc>
          <w:tcPr>
            <w:tcW w:w="50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bookmarkStart w:id="631" w:name="Note_AFATABLE1" w:colFirst="0" w:colLast="0"/>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2016</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2015</w:t>
            </w:r>
          </w:p>
        </w:tc>
      </w:tr>
      <w:bookmarkEnd w:id="631"/>
      <w:tr w:rsidR="003E6989" w:rsidTr="006A5410">
        <w:trPr>
          <w:trHeight w:val="255"/>
        </w:trPr>
        <w:tc>
          <w:tcPr>
            <w:tcW w:w="5056" w:type="dxa"/>
            <w:tcBorders>
              <w:top w:val="nil"/>
              <w:left w:val="nil"/>
              <w:bottom w:val="nil"/>
              <w:right w:val="nil"/>
            </w:tcBorders>
            <w:shd w:val="clear" w:color="000000" w:fill="D9D9D9"/>
            <w:noWrap/>
            <w:hideMark/>
          </w:tcPr>
          <w:p w:rsidR="003E6989" w:rsidRDefault="003E6989" w:rsidP="006A5410">
            <w:pPr>
              <w:rPr>
                <w:rFonts w:cs="Calibri"/>
                <w:b/>
                <w:bCs/>
                <w:szCs w:val="18"/>
                <w:u w:val="single"/>
              </w:rPr>
            </w:pPr>
            <w:r>
              <w:rPr>
                <w:rFonts w:cs="Calibri"/>
                <w:b/>
                <w:bCs/>
                <w:szCs w:val="18"/>
                <w:u w:val="single"/>
              </w:rPr>
              <w:t>7.3A: Categories of financial instruments</w:t>
            </w:r>
          </w:p>
        </w:tc>
        <w:tc>
          <w:tcPr>
            <w:tcW w:w="1256"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$'000</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505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505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Financial assets</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505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Available for sale financial assets</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5056"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Investments</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2,118,337</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2,149,930</w:t>
            </w:r>
          </w:p>
        </w:tc>
      </w:tr>
      <w:tr w:rsidR="003E6989" w:rsidTr="006A5410">
        <w:trPr>
          <w:trHeight w:val="255"/>
        </w:trPr>
        <w:tc>
          <w:tcPr>
            <w:tcW w:w="505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Total available-for sale financial assets</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2,118,337</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2,149,930</w:t>
            </w:r>
          </w:p>
        </w:tc>
      </w:tr>
      <w:tr w:rsidR="003E6989" w:rsidTr="006A5410">
        <w:trPr>
          <w:trHeight w:val="255"/>
        </w:trPr>
        <w:tc>
          <w:tcPr>
            <w:tcW w:w="505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505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Loans and receivables</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b/>
                <w:bCs/>
                <w:sz w:val="16"/>
                <w:szCs w:val="16"/>
              </w:rPr>
            </w:pPr>
            <w:r>
              <w:rPr>
                <w:rFonts w:ascii="Arial" w:hAnsi="Arial" w:cs="Arial"/>
                <w:b/>
                <w:bCs/>
                <w:sz w:val="16"/>
                <w:szCs w:val="16"/>
              </w:rPr>
              <w:t> </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5056"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Goods and services receivable</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36,925</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31,620</w:t>
            </w:r>
          </w:p>
        </w:tc>
      </w:tr>
      <w:tr w:rsidR="003E6989" w:rsidTr="006A5410">
        <w:trPr>
          <w:trHeight w:val="255"/>
        </w:trPr>
        <w:tc>
          <w:tcPr>
            <w:tcW w:w="505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Total loans and receivables</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36,925</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31,620</w:t>
            </w:r>
          </w:p>
        </w:tc>
      </w:tr>
      <w:tr w:rsidR="003E6989" w:rsidTr="006A5410">
        <w:trPr>
          <w:trHeight w:val="255"/>
        </w:trPr>
        <w:tc>
          <w:tcPr>
            <w:tcW w:w="505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rPr>
                <w:rFonts w:cs="Calibri"/>
                <w:b/>
                <w:bCs/>
                <w:szCs w:val="18"/>
              </w:rPr>
            </w:pPr>
            <w:r>
              <w:rPr>
                <w:rFonts w:cs="Calibri"/>
                <w:b/>
                <w:bCs/>
                <w:szCs w:val="18"/>
              </w:rPr>
              <w:t> </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505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Financial assets at fair value through profit or loss (designated)</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b/>
                <w:bCs/>
                <w:sz w:val="16"/>
                <w:szCs w:val="16"/>
              </w:rPr>
            </w:pPr>
            <w:r>
              <w:rPr>
                <w:rFonts w:ascii="Arial" w:hAnsi="Arial" w:cs="Arial"/>
                <w:b/>
                <w:bCs/>
                <w:sz w:val="16"/>
                <w:szCs w:val="16"/>
              </w:rPr>
              <w:t> </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5056"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HECS\HELP Loans</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36,807,652</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30,444,858</w:t>
            </w:r>
          </w:p>
        </w:tc>
      </w:tr>
      <w:tr w:rsidR="003E6989" w:rsidTr="006A5410">
        <w:trPr>
          <w:trHeight w:val="255"/>
        </w:trPr>
        <w:tc>
          <w:tcPr>
            <w:tcW w:w="5056"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Trade support loans</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145,680</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52,960</w:t>
            </w:r>
          </w:p>
        </w:tc>
      </w:tr>
      <w:tr w:rsidR="003E6989" w:rsidTr="006A5410">
        <w:trPr>
          <w:trHeight w:val="255"/>
        </w:trPr>
        <w:tc>
          <w:tcPr>
            <w:tcW w:w="5056"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Other loans</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591</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w:t>
            </w:r>
          </w:p>
        </w:tc>
      </w:tr>
      <w:tr w:rsidR="003E6989" w:rsidTr="006A5410">
        <w:trPr>
          <w:trHeight w:val="255"/>
        </w:trPr>
        <w:tc>
          <w:tcPr>
            <w:tcW w:w="505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Total assets at fair value through profit or loss (designated)</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36,953,923</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30,497,818</w:t>
            </w:r>
          </w:p>
        </w:tc>
      </w:tr>
      <w:tr w:rsidR="003E6989" w:rsidTr="006A5410">
        <w:trPr>
          <w:trHeight w:val="255"/>
        </w:trPr>
        <w:tc>
          <w:tcPr>
            <w:tcW w:w="505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b/>
                <w:bCs/>
                <w:sz w:val="16"/>
                <w:szCs w:val="16"/>
              </w:rPr>
            </w:pPr>
            <w:r>
              <w:rPr>
                <w:rFonts w:ascii="Arial" w:hAnsi="Arial" w:cs="Arial"/>
                <w:b/>
                <w:bCs/>
                <w:sz w:val="16"/>
                <w:szCs w:val="16"/>
              </w:rPr>
              <w:t> </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70"/>
        </w:trPr>
        <w:tc>
          <w:tcPr>
            <w:tcW w:w="5056" w:type="dxa"/>
            <w:tcBorders>
              <w:top w:val="nil"/>
              <w:left w:val="nil"/>
              <w:bottom w:val="double" w:sz="6"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Total financial assets categorised as financial instruments</w:t>
            </w:r>
          </w:p>
        </w:tc>
        <w:tc>
          <w:tcPr>
            <w:tcW w:w="125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39,109,185</w:t>
            </w:r>
          </w:p>
        </w:tc>
        <w:tc>
          <w:tcPr>
            <w:tcW w:w="261" w:type="dxa"/>
            <w:tcBorders>
              <w:top w:val="nil"/>
              <w:left w:val="nil"/>
              <w:bottom w:val="double" w:sz="6"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32,679,368</w:t>
            </w:r>
          </w:p>
        </w:tc>
      </w:tr>
      <w:tr w:rsidR="003E6989" w:rsidTr="006A5410">
        <w:trPr>
          <w:trHeight w:val="270"/>
        </w:trPr>
        <w:tc>
          <w:tcPr>
            <w:tcW w:w="505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b/>
                <w:bCs/>
                <w:sz w:val="16"/>
                <w:szCs w:val="16"/>
              </w:rPr>
            </w:pPr>
            <w:r>
              <w:rPr>
                <w:rFonts w:ascii="Arial" w:hAnsi="Arial" w:cs="Arial"/>
                <w:b/>
                <w:bCs/>
                <w:sz w:val="16"/>
                <w:szCs w:val="16"/>
              </w:rPr>
              <w:t> </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505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Financial liabilities</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b/>
                <w:bCs/>
                <w:sz w:val="16"/>
                <w:szCs w:val="16"/>
              </w:rPr>
            </w:pPr>
            <w:r>
              <w:rPr>
                <w:rFonts w:ascii="Arial" w:hAnsi="Arial" w:cs="Arial"/>
                <w:b/>
                <w:bCs/>
                <w:sz w:val="16"/>
                <w:szCs w:val="16"/>
              </w:rPr>
              <w:t> </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505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Financial liabilities measured at amortised cost</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b/>
                <w:bCs/>
                <w:sz w:val="16"/>
                <w:szCs w:val="16"/>
              </w:rPr>
            </w:pPr>
            <w:r>
              <w:rPr>
                <w:rFonts w:ascii="Arial" w:hAnsi="Arial" w:cs="Arial"/>
                <w:b/>
                <w:bCs/>
                <w:sz w:val="16"/>
                <w:szCs w:val="16"/>
              </w:rPr>
              <w:t> </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5056"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Trade creditors and accruals</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57,624</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54,235</w:t>
            </w:r>
          </w:p>
        </w:tc>
      </w:tr>
      <w:tr w:rsidR="003E6989" w:rsidTr="006A5410">
        <w:trPr>
          <w:trHeight w:val="255"/>
        </w:trPr>
        <w:tc>
          <w:tcPr>
            <w:tcW w:w="5056"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Grants payable</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3,318</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36,246</w:t>
            </w:r>
          </w:p>
        </w:tc>
      </w:tr>
      <w:tr w:rsidR="003E6989" w:rsidTr="006A5410">
        <w:trPr>
          <w:trHeight w:val="255"/>
        </w:trPr>
        <w:tc>
          <w:tcPr>
            <w:tcW w:w="505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Total financial liabilities measured at amortised cost</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60,942</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90,481</w:t>
            </w:r>
          </w:p>
        </w:tc>
      </w:tr>
      <w:tr w:rsidR="003E6989" w:rsidTr="006A5410">
        <w:trPr>
          <w:trHeight w:val="255"/>
        </w:trPr>
        <w:tc>
          <w:tcPr>
            <w:tcW w:w="5056" w:type="dxa"/>
            <w:tcBorders>
              <w:top w:val="nil"/>
              <w:left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b/>
                <w:bCs/>
                <w:sz w:val="16"/>
                <w:szCs w:val="16"/>
              </w:rPr>
            </w:pPr>
            <w:r>
              <w:rPr>
                <w:rFonts w:ascii="Arial" w:hAnsi="Arial" w:cs="Arial"/>
                <w:b/>
                <w:bCs/>
                <w:sz w:val="16"/>
                <w:szCs w:val="16"/>
              </w:rPr>
              <w:t> </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70"/>
        </w:trPr>
        <w:tc>
          <w:tcPr>
            <w:tcW w:w="5056" w:type="dxa"/>
            <w:tcBorders>
              <w:top w:val="nil"/>
              <w:left w:val="nil"/>
              <w:bottom w:val="single" w:sz="24" w:space="0" w:color="D8D8D8"/>
              <w:right w:val="nil"/>
            </w:tcBorders>
            <w:shd w:val="clear" w:color="000000" w:fill="D9D9D9"/>
            <w:vAlign w:val="bottom"/>
            <w:hideMark/>
          </w:tcPr>
          <w:p w:rsidR="003E6989" w:rsidRDefault="003E6989" w:rsidP="006A5410">
            <w:pPr>
              <w:rPr>
                <w:rFonts w:cs="Calibri"/>
                <w:b/>
                <w:bCs/>
                <w:szCs w:val="18"/>
              </w:rPr>
            </w:pPr>
            <w:r>
              <w:rPr>
                <w:rFonts w:cs="Calibri"/>
                <w:b/>
                <w:bCs/>
                <w:szCs w:val="18"/>
              </w:rPr>
              <w:t>Total financial liabilities</w:t>
            </w:r>
          </w:p>
        </w:tc>
        <w:tc>
          <w:tcPr>
            <w:tcW w:w="125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60,942</w:t>
            </w:r>
          </w:p>
        </w:tc>
        <w:tc>
          <w:tcPr>
            <w:tcW w:w="261" w:type="dxa"/>
            <w:tcBorders>
              <w:top w:val="single" w:sz="4" w:space="0" w:color="D9D9D9"/>
              <w:left w:val="nil"/>
              <w:bottom w:val="single" w:sz="24" w:space="0" w:color="D8D8D8"/>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90,481</w:t>
            </w:r>
          </w:p>
        </w:tc>
      </w:tr>
    </w:tbl>
    <w:p w:rsidR="003E6989" w:rsidRDefault="003E6989" w:rsidP="003E6989">
      <w:pPr>
        <w:pStyle w:val="NotesHeading-Level1GreyShade"/>
        <w:numPr>
          <w:ilvl w:val="0"/>
          <w:numId w:val="0"/>
        </w:numPr>
        <w:ind w:left="360" w:hanging="360"/>
        <w:outlineLvl w:val="9"/>
        <w:rPr>
          <w:rFonts w:ascii="Arial" w:hAnsi="Arial" w:cs="Arial"/>
          <w:sz w:val="16"/>
          <w:szCs w:val="16"/>
        </w:rPr>
      </w:pPr>
      <w:bookmarkStart w:id="632" w:name="RANGE!D7:D35"/>
      <w:bookmarkEnd w:id="632"/>
    </w:p>
    <w:tbl>
      <w:tblPr>
        <w:tblW w:w="9087" w:type="dxa"/>
        <w:tblInd w:w="80" w:type="dxa"/>
        <w:tblLayout w:type="fixed"/>
        <w:tblLook w:val="04A0" w:firstRow="1" w:lastRow="0" w:firstColumn="1" w:lastColumn="0" w:noHBand="0" w:noVBand="1"/>
      </w:tblPr>
      <w:tblGrid>
        <w:gridCol w:w="5901"/>
        <w:gridCol w:w="1443"/>
        <w:gridCol w:w="300"/>
        <w:gridCol w:w="1443"/>
      </w:tblGrid>
      <w:tr w:rsidR="003E6989" w:rsidTr="006A5410">
        <w:trPr>
          <w:trHeight w:val="255"/>
        </w:trPr>
        <w:tc>
          <w:tcPr>
            <w:tcW w:w="5136" w:type="dxa"/>
            <w:tcBorders>
              <w:top w:val="nil"/>
              <w:left w:val="nil"/>
              <w:bottom w:val="nil"/>
              <w:right w:val="nil"/>
            </w:tcBorders>
            <w:shd w:val="clear" w:color="000000" w:fill="D9D9D9"/>
            <w:noWrap/>
            <w:hideMark/>
          </w:tcPr>
          <w:p w:rsidR="003E6989" w:rsidRDefault="003E6989" w:rsidP="006A5410">
            <w:pPr>
              <w:rPr>
                <w:rFonts w:cs="Calibri"/>
                <w:b/>
                <w:bCs/>
                <w:szCs w:val="18"/>
                <w:u w:val="single"/>
              </w:rPr>
            </w:pPr>
            <w:bookmarkStart w:id="633" w:name="Note_AFBTABLE1" w:colFirst="0" w:colLast="0"/>
            <w:r>
              <w:rPr>
                <w:rFonts w:cs="Calibri"/>
                <w:b/>
                <w:bCs/>
                <w:szCs w:val="18"/>
                <w:u w:val="single"/>
              </w:rPr>
              <w:t>7.3B: Net gains or losses on financial assets</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bookmarkEnd w:id="633"/>
      <w:tr w:rsidR="003E6989" w:rsidTr="006A5410">
        <w:trPr>
          <w:trHeight w:val="255"/>
        </w:trPr>
        <w:tc>
          <w:tcPr>
            <w:tcW w:w="51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5136"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Available for sale financial assets</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5136" w:type="dxa"/>
            <w:tcBorders>
              <w:top w:val="nil"/>
              <w:left w:val="nil"/>
              <w:bottom w:val="single" w:sz="4" w:space="0" w:color="D9D9D9"/>
              <w:right w:val="nil"/>
            </w:tcBorders>
            <w:shd w:val="clear" w:color="000000" w:fill="D9D9D9"/>
            <w:vAlign w:val="bottom"/>
            <w:hideMark/>
          </w:tcPr>
          <w:p w:rsidR="003E6989" w:rsidRDefault="003E6989" w:rsidP="006A5410">
            <w:pPr>
              <w:rPr>
                <w:rFonts w:cs="Calibri"/>
                <w:szCs w:val="18"/>
              </w:rPr>
            </w:pPr>
            <w:r>
              <w:rPr>
                <w:rFonts w:cs="Calibri"/>
                <w:szCs w:val="18"/>
              </w:rPr>
              <w:t>Gain (loss) recognised in equity</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(31,593)</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904 </w:t>
            </w:r>
          </w:p>
        </w:tc>
      </w:tr>
      <w:tr w:rsidR="003E6989" w:rsidTr="006A5410">
        <w:trPr>
          <w:trHeight w:val="255"/>
        </w:trPr>
        <w:tc>
          <w:tcPr>
            <w:tcW w:w="5136"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Net gains (losses) from available-for-sale financial assets</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(31,593)</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904</w:t>
            </w:r>
          </w:p>
        </w:tc>
      </w:tr>
      <w:tr w:rsidR="003E6989" w:rsidTr="006A5410">
        <w:trPr>
          <w:trHeight w:val="255"/>
        </w:trPr>
        <w:tc>
          <w:tcPr>
            <w:tcW w:w="51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5136"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Loans and receivables</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5136" w:type="dxa"/>
            <w:tcBorders>
              <w:top w:val="nil"/>
              <w:left w:val="nil"/>
              <w:bottom w:val="single" w:sz="4" w:space="0" w:color="D9D9D9"/>
              <w:right w:val="nil"/>
            </w:tcBorders>
            <w:shd w:val="clear" w:color="000000" w:fill="D9D9D9"/>
            <w:vAlign w:val="bottom"/>
            <w:hideMark/>
          </w:tcPr>
          <w:p w:rsidR="003E6989" w:rsidRDefault="003E6989" w:rsidP="006A5410">
            <w:pPr>
              <w:rPr>
                <w:rFonts w:cs="Calibri"/>
                <w:szCs w:val="18"/>
              </w:rPr>
            </w:pPr>
            <w:r>
              <w:rPr>
                <w:rFonts w:cs="Calibri"/>
                <w:szCs w:val="18"/>
              </w:rPr>
              <w:t>Interest revenue</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7 </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337 </w:t>
            </w:r>
          </w:p>
        </w:tc>
      </w:tr>
      <w:tr w:rsidR="003E6989" w:rsidTr="006A5410">
        <w:trPr>
          <w:trHeight w:val="255"/>
        </w:trPr>
        <w:tc>
          <w:tcPr>
            <w:tcW w:w="5136" w:type="dxa"/>
            <w:tcBorders>
              <w:top w:val="nil"/>
              <w:left w:val="nil"/>
              <w:bottom w:val="single" w:sz="4" w:space="0" w:color="D9D9D9"/>
              <w:right w:val="nil"/>
            </w:tcBorders>
            <w:shd w:val="clear" w:color="000000" w:fill="D9D9D9"/>
            <w:vAlign w:val="bottom"/>
            <w:hideMark/>
          </w:tcPr>
          <w:p w:rsidR="003E6989" w:rsidRDefault="003E6989" w:rsidP="006A5410">
            <w:pPr>
              <w:rPr>
                <w:rFonts w:cs="Calibri"/>
                <w:szCs w:val="18"/>
              </w:rPr>
            </w:pPr>
            <w:r>
              <w:rPr>
                <w:rFonts w:cs="Calibri"/>
                <w:szCs w:val="18"/>
              </w:rPr>
              <w:t>Write-down and impairment</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(783)</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(7,031)</w:t>
            </w:r>
          </w:p>
        </w:tc>
      </w:tr>
      <w:tr w:rsidR="003E6989" w:rsidTr="006A5410">
        <w:trPr>
          <w:trHeight w:val="255"/>
        </w:trPr>
        <w:tc>
          <w:tcPr>
            <w:tcW w:w="5136"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Net gains (losses) from loans and receivables</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(776)</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(6,694)</w:t>
            </w:r>
          </w:p>
        </w:tc>
      </w:tr>
      <w:tr w:rsidR="003E6989" w:rsidTr="006A5410">
        <w:trPr>
          <w:trHeight w:val="255"/>
        </w:trPr>
        <w:tc>
          <w:tcPr>
            <w:tcW w:w="51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5136"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Financial assets at fair value through profit or loss (designated)</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5136"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Interest revenue</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529,330 </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582,797 </w:t>
            </w:r>
          </w:p>
        </w:tc>
      </w:tr>
      <w:tr w:rsidR="003E6989" w:rsidTr="006A5410">
        <w:trPr>
          <w:trHeight w:val="255"/>
        </w:trPr>
        <w:tc>
          <w:tcPr>
            <w:tcW w:w="5136"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Other revenue</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675,522 </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558,656 </w:t>
            </w:r>
          </w:p>
        </w:tc>
      </w:tr>
      <w:tr w:rsidR="003E6989" w:rsidTr="006A5410">
        <w:trPr>
          <w:trHeight w:val="255"/>
        </w:trPr>
        <w:tc>
          <w:tcPr>
            <w:tcW w:w="5136"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Unwinding of discount</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(636,237)</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(801,980)</w:t>
            </w:r>
          </w:p>
        </w:tc>
      </w:tr>
      <w:tr w:rsidR="003E6989" w:rsidTr="006A5410">
        <w:trPr>
          <w:trHeight w:val="255"/>
        </w:trPr>
        <w:tc>
          <w:tcPr>
            <w:tcW w:w="5136" w:type="dxa"/>
            <w:tcBorders>
              <w:top w:val="nil"/>
              <w:left w:val="nil"/>
              <w:bottom w:val="single" w:sz="4" w:space="0" w:color="D9D9D9"/>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Fair value gain/(losses)</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(1,058,199)</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(1,261,294)</w:t>
            </w:r>
          </w:p>
        </w:tc>
      </w:tr>
      <w:tr w:rsidR="003E6989" w:rsidTr="006A5410">
        <w:trPr>
          <w:trHeight w:val="255"/>
        </w:trPr>
        <w:tc>
          <w:tcPr>
            <w:tcW w:w="5136" w:type="dxa"/>
            <w:tcBorders>
              <w:top w:val="nil"/>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Net gains (losses) at fair value through profit or loss (designated)</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(489,584)</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(921,821)</w:t>
            </w:r>
          </w:p>
        </w:tc>
      </w:tr>
      <w:tr w:rsidR="003E6989" w:rsidTr="006A5410">
        <w:trPr>
          <w:trHeight w:val="255"/>
        </w:trPr>
        <w:tc>
          <w:tcPr>
            <w:tcW w:w="51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70"/>
        </w:trPr>
        <w:tc>
          <w:tcPr>
            <w:tcW w:w="5136" w:type="dxa"/>
            <w:tcBorders>
              <w:top w:val="single" w:sz="4" w:space="0" w:color="D9D9D9"/>
              <w:left w:val="nil"/>
              <w:bottom w:val="single" w:sz="24" w:space="0" w:color="D8D8D8"/>
              <w:right w:val="nil"/>
            </w:tcBorders>
            <w:shd w:val="clear" w:color="000000" w:fill="D9D9D9"/>
            <w:vAlign w:val="bottom"/>
            <w:hideMark/>
          </w:tcPr>
          <w:p w:rsidR="003E6989" w:rsidRDefault="003E6989" w:rsidP="006A5410">
            <w:pPr>
              <w:rPr>
                <w:rFonts w:cs="Calibri"/>
                <w:b/>
                <w:bCs/>
                <w:szCs w:val="18"/>
              </w:rPr>
            </w:pPr>
            <w:r>
              <w:rPr>
                <w:rFonts w:cs="Calibri"/>
                <w:b/>
                <w:bCs/>
                <w:szCs w:val="18"/>
              </w:rPr>
              <w:t>Net gains (losses) on financial assets</w:t>
            </w:r>
          </w:p>
        </w:tc>
        <w:tc>
          <w:tcPr>
            <w:tcW w:w="125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(521,953)</w:t>
            </w:r>
          </w:p>
        </w:tc>
        <w:tc>
          <w:tcPr>
            <w:tcW w:w="261" w:type="dxa"/>
            <w:tcBorders>
              <w:top w:val="single" w:sz="4" w:space="0" w:color="D9D9D9"/>
              <w:left w:val="nil"/>
              <w:bottom w:val="single" w:sz="24" w:space="0" w:color="D8D8D8"/>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single" w:sz="4" w:space="0" w:color="auto"/>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(927,611)</w:t>
            </w:r>
          </w:p>
        </w:tc>
      </w:tr>
    </w:tbl>
    <w:p w:rsidR="003E6989" w:rsidRDefault="003E6989" w:rsidP="003E6989">
      <w:pPr>
        <w:pStyle w:val="GreyShadeTableBreak"/>
        <w:sectPr w:rsidR="003E6989" w:rsidSect="006A5410">
          <w:pgSz w:w="11906" w:h="16838"/>
          <w:pgMar w:top="1134" w:right="1134" w:bottom="1134" w:left="1134" w:header="958" w:footer="737" w:gutter="0"/>
          <w:cols w:space="720"/>
        </w:sectPr>
      </w:pPr>
      <w:bookmarkStart w:id="634" w:name="RANGE!D7:D28"/>
      <w:bookmarkEnd w:id="634"/>
    </w:p>
    <w:tbl>
      <w:tblPr>
        <w:tblW w:w="9087" w:type="dxa"/>
        <w:tblInd w:w="80" w:type="dxa"/>
        <w:tblLayout w:type="fixed"/>
        <w:tblLook w:val="04A0" w:firstRow="1" w:lastRow="0" w:firstColumn="1" w:lastColumn="0" w:noHBand="0" w:noVBand="1"/>
      </w:tblPr>
      <w:tblGrid>
        <w:gridCol w:w="9087"/>
      </w:tblGrid>
      <w:tr w:rsidR="003E6989" w:rsidTr="006A5410">
        <w:trPr>
          <w:trHeight w:val="255"/>
        </w:trPr>
        <w:tc>
          <w:tcPr>
            <w:tcW w:w="8080" w:type="dxa"/>
            <w:tcBorders>
              <w:top w:val="nil"/>
              <w:left w:val="nil"/>
              <w:bottom w:val="nil"/>
              <w:right w:val="nil"/>
            </w:tcBorders>
            <w:shd w:val="clear" w:color="000000" w:fill="D9D9D9"/>
            <w:noWrap/>
            <w:hideMark/>
          </w:tcPr>
          <w:p w:rsidR="003E6989" w:rsidRDefault="003E6989" w:rsidP="006A5410">
            <w:pPr>
              <w:rPr>
                <w:rFonts w:cs="Calibri"/>
                <w:b/>
                <w:bCs/>
                <w:szCs w:val="18"/>
                <w:u w:val="single"/>
              </w:rPr>
            </w:pPr>
            <w:bookmarkStart w:id="635" w:name="Note_AFGTABLE1" w:colFirst="0" w:colLast="0"/>
            <w:r>
              <w:rPr>
                <w:rFonts w:cs="Calibri"/>
                <w:b/>
                <w:bCs/>
                <w:szCs w:val="18"/>
                <w:u w:val="single"/>
              </w:rPr>
              <w:t>7.3C: Fair value of financial instruments</w:t>
            </w:r>
          </w:p>
        </w:tc>
      </w:tr>
    </w:tbl>
    <w:p w:rsidR="003E6989" w:rsidRPr="00CF4B87" w:rsidRDefault="003E6989" w:rsidP="003E6989">
      <w:pPr>
        <w:pStyle w:val="GreyShadeTableBreak"/>
        <w:rPr>
          <w:b/>
        </w:rPr>
      </w:pPr>
      <w:bookmarkStart w:id="636" w:name="RANGE!D7:D29"/>
      <w:bookmarkStart w:id="637" w:name="RANGE!D7:I29"/>
      <w:bookmarkStart w:id="638" w:name="RANGE!D7:J29"/>
      <w:bookmarkStart w:id="639" w:name="RANGE!D7:G27"/>
      <w:bookmarkStart w:id="640" w:name="RANGE!D7:L30"/>
      <w:bookmarkStart w:id="641" w:name="RANGE!D7:L31"/>
      <w:bookmarkStart w:id="642" w:name="RANGE!D7:L32"/>
      <w:bookmarkStart w:id="643" w:name="RANGE!D6:L31"/>
      <w:bookmarkStart w:id="644" w:name="RANGE!D6:L30"/>
      <w:bookmarkStart w:id="645" w:name="RANGE!D55:J78"/>
      <w:bookmarkStart w:id="646" w:name="RANGE!D56:L79"/>
      <w:bookmarkStart w:id="647" w:name="RANGE!D57:L80"/>
      <w:bookmarkEnd w:id="635"/>
      <w:bookmarkEnd w:id="636"/>
      <w:bookmarkEnd w:id="637"/>
      <w:bookmarkEnd w:id="638"/>
      <w:bookmarkEnd w:id="639"/>
      <w:bookmarkEnd w:id="640"/>
      <w:bookmarkEnd w:id="641"/>
      <w:bookmarkEnd w:id="642"/>
      <w:bookmarkEnd w:id="643"/>
      <w:bookmarkEnd w:id="644"/>
      <w:bookmarkEnd w:id="645"/>
      <w:bookmarkEnd w:id="646"/>
      <w:bookmarkEnd w:id="647"/>
      <w:r>
        <w:rPr>
          <w:rFonts w:ascii="Arial" w:hAnsi="Arial"/>
          <w:sz w:val="16"/>
          <w:szCs w:val="16"/>
        </w:rPr>
        <w:t xml:space="preserve"> </w:t>
      </w:r>
      <w:r w:rsidRPr="00CF4B87">
        <w:t>The fair value of financial instruments is the same as their carrying amounts for 2016.</w:t>
      </w:r>
    </w:p>
    <w:p w:rsidR="003E6989" w:rsidRDefault="003E6989" w:rsidP="003E6989">
      <w:pPr>
        <w:pStyle w:val="NotesHeading-Level1GreyShade"/>
        <w:numPr>
          <w:ilvl w:val="0"/>
          <w:numId w:val="0"/>
        </w:numPr>
        <w:ind w:left="360" w:hanging="360"/>
        <w:outlineLvl w:val="9"/>
        <w:rPr>
          <w:rFonts w:ascii="Arial" w:hAnsi="Arial" w:cs="Arial"/>
          <w:sz w:val="16"/>
          <w:szCs w:val="16"/>
        </w:rPr>
      </w:pPr>
    </w:p>
    <w:tbl>
      <w:tblPr>
        <w:tblW w:w="9087" w:type="dxa"/>
        <w:tblInd w:w="80" w:type="dxa"/>
        <w:tblLayout w:type="fixed"/>
        <w:tblLook w:val="04A0" w:firstRow="1" w:lastRow="0" w:firstColumn="1" w:lastColumn="0" w:noHBand="0" w:noVBand="1"/>
      </w:tblPr>
      <w:tblGrid>
        <w:gridCol w:w="3517"/>
        <w:gridCol w:w="986"/>
        <w:gridCol w:w="1077"/>
        <w:gridCol w:w="983"/>
        <w:gridCol w:w="1187"/>
        <w:gridCol w:w="1337"/>
      </w:tblGrid>
      <w:tr w:rsidR="003E6989" w:rsidTr="006A5410">
        <w:trPr>
          <w:trHeight w:val="255"/>
        </w:trPr>
        <w:tc>
          <w:tcPr>
            <w:tcW w:w="3478" w:type="dxa"/>
            <w:tcBorders>
              <w:top w:val="nil"/>
              <w:left w:val="nil"/>
              <w:bottom w:val="nil"/>
              <w:right w:val="nil"/>
            </w:tcBorders>
            <w:shd w:val="clear" w:color="000000" w:fill="D9D9D9"/>
            <w:noWrap/>
            <w:hideMark/>
          </w:tcPr>
          <w:p w:rsidR="003E6989" w:rsidRDefault="003E6989" w:rsidP="006A5410">
            <w:pPr>
              <w:rPr>
                <w:rFonts w:cs="Calibri"/>
                <w:b/>
                <w:bCs/>
                <w:szCs w:val="18"/>
                <w:u w:val="single"/>
              </w:rPr>
            </w:pPr>
            <w:bookmarkStart w:id="648" w:name="RANGE!D8:D24"/>
            <w:bookmarkStart w:id="649" w:name="Note_AFJTABLE1" w:colFirst="0" w:colLast="0"/>
            <w:r>
              <w:rPr>
                <w:rFonts w:cs="Calibri"/>
                <w:b/>
                <w:bCs/>
                <w:szCs w:val="18"/>
                <w:u w:val="single"/>
              </w:rPr>
              <w:t>7.3D: Credit risk</w:t>
            </w:r>
            <w:bookmarkEnd w:id="648"/>
          </w:p>
        </w:tc>
        <w:tc>
          <w:tcPr>
            <w:tcW w:w="975"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65"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972"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74"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322"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bookmarkEnd w:id="649"/>
      <w:tr w:rsidR="003E6989" w:rsidTr="006A5410">
        <w:trPr>
          <w:trHeight w:val="1365"/>
        </w:trPr>
        <w:tc>
          <w:tcPr>
            <w:tcW w:w="8986" w:type="dxa"/>
            <w:gridSpan w:val="6"/>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The administered loans and receivables of the department are not exposed to a high level of credit risk as the majority of financial assets are cash or cash equivalents, trade receivables or advances and loans to state, territory and local governments.  The department manages its credit risk by undertaking background and credit checks prior to allowing a debtor relationship.  In addition the department has policies and procedures that guide employees’ debt recovery techniques that are to be applied.</w:t>
            </w:r>
          </w:p>
        </w:tc>
      </w:tr>
      <w:tr w:rsidR="003E6989" w:rsidTr="006A5410">
        <w:trPr>
          <w:trHeight w:val="1050"/>
        </w:trPr>
        <w:tc>
          <w:tcPr>
            <w:tcW w:w="8986" w:type="dxa"/>
            <w:gridSpan w:val="6"/>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The recoverability and credit quality of the fair value through profit and loss (designated) amounts are factored into the actuarial assessment each year.  No separate account is maintained of the write offs in the department’s accounts rather just the movement in the assessment as a gain or loss in the Schedule of Administered Items.  This accounting treatment is consistent with the basis for accounting for these instruments.</w:t>
            </w:r>
          </w:p>
        </w:tc>
      </w:tr>
    </w:tbl>
    <w:p w:rsidR="003E6989" w:rsidRDefault="003E6989" w:rsidP="003E6989">
      <w:pPr>
        <w:pStyle w:val="GreyShadeTableBreak"/>
      </w:pPr>
      <w:bookmarkStart w:id="650" w:name="RANGE!D8:I24"/>
      <w:bookmarkStart w:id="651" w:name="RANGE!D7:I22"/>
      <w:bookmarkStart w:id="652" w:name="RANGE!D7:I23"/>
      <w:bookmarkStart w:id="653" w:name="RANGE!D7:I24"/>
      <w:bookmarkStart w:id="654" w:name="RANGE!D7:I25"/>
      <w:bookmarkStart w:id="655" w:name="RANGE!D7:I26"/>
      <w:bookmarkStart w:id="656" w:name="RANGE!D6:I24"/>
      <w:bookmarkStart w:id="657" w:name="RANGE!D6:I25"/>
      <w:bookmarkStart w:id="658" w:name="RANGE!D6:I27"/>
      <w:bookmarkStart w:id="659" w:name="RANGE!D6:I58"/>
      <w:bookmarkEnd w:id="650"/>
      <w:bookmarkEnd w:id="651"/>
      <w:bookmarkEnd w:id="652"/>
      <w:bookmarkEnd w:id="653"/>
      <w:bookmarkEnd w:id="654"/>
      <w:bookmarkEnd w:id="655"/>
      <w:bookmarkEnd w:id="656"/>
      <w:bookmarkEnd w:id="657"/>
      <w:bookmarkEnd w:id="658"/>
      <w:bookmarkEnd w:id="659"/>
    </w:p>
    <w:tbl>
      <w:tblPr>
        <w:tblW w:w="9090" w:type="dxa"/>
        <w:tblInd w:w="80" w:type="dxa"/>
        <w:tblLayout w:type="fixed"/>
        <w:tblLook w:val="04A0" w:firstRow="1" w:lastRow="0" w:firstColumn="1" w:lastColumn="0" w:noHBand="0" w:noVBand="1"/>
      </w:tblPr>
      <w:tblGrid>
        <w:gridCol w:w="9090"/>
      </w:tblGrid>
      <w:tr w:rsidR="003E6989" w:rsidTr="006A5410">
        <w:trPr>
          <w:trHeight w:val="270"/>
        </w:trPr>
        <w:tc>
          <w:tcPr>
            <w:tcW w:w="9090" w:type="dxa"/>
            <w:tcBorders>
              <w:top w:val="single" w:sz="4" w:space="0" w:color="D8D8D8"/>
              <w:left w:val="nil"/>
              <w:bottom w:val="single" w:sz="24" w:space="0" w:color="D8D8D8"/>
              <w:right w:val="nil"/>
            </w:tcBorders>
            <w:shd w:val="clear" w:color="auto" w:fill="D8D8D8"/>
            <w:vAlign w:val="bottom"/>
          </w:tcPr>
          <w:p w:rsidR="003E6989" w:rsidRDefault="003E6989" w:rsidP="006A5410">
            <w:pPr>
              <w:pStyle w:val="AdminBlankGreyShade"/>
            </w:pPr>
            <w:r>
              <w:t>The department has assessed the risk of the default on payment and has allocated the following to an impairment allowance for doubtful debts:</w:t>
            </w:r>
          </w:p>
          <w:p w:rsidR="003E6989" w:rsidRDefault="003E6989" w:rsidP="006A5410">
            <w:pPr>
              <w:pStyle w:val="AdminBlankGreyShade"/>
            </w:pPr>
          </w:p>
          <w:p w:rsidR="003E6989" w:rsidRDefault="003E6989" w:rsidP="006A5410">
            <w:pPr>
              <w:pStyle w:val="AdminBlankGreyShade"/>
            </w:pPr>
            <w:r>
              <w:t>Goods and services receivables 2016:$11.557 million (2015: $7.523 million).</w:t>
            </w:r>
          </w:p>
          <w:p w:rsidR="003E6989" w:rsidRDefault="003E6989" w:rsidP="006A5410">
            <w:pPr>
              <w:pStyle w:val="AdminBlankGreyShade"/>
            </w:pPr>
          </w:p>
          <w:p w:rsidR="003E6989" w:rsidRDefault="003E6989" w:rsidP="006A5410">
            <w:pPr>
              <w:pStyle w:val="AdminBlankGreyShade"/>
            </w:pPr>
            <w:r>
              <w:t xml:space="preserve">In relation to the department's gross credit risk and the financial effect in respect of the amount that best represents the maximum exposure to credit risk there is no collateral held. </w:t>
            </w:r>
          </w:p>
        </w:tc>
      </w:tr>
    </w:tbl>
    <w:p w:rsidR="003E6989" w:rsidRDefault="003E6989" w:rsidP="003E6989">
      <w:pPr>
        <w:pStyle w:val="NotesHeading-Level1GreyShade"/>
        <w:numPr>
          <w:ilvl w:val="0"/>
          <w:numId w:val="0"/>
        </w:numPr>
        <w:ind w:left="360" w:hanging="360"/>
        <w:outlineLvl w:val="9"/>
        <w:rPr>
          <w:rFonts w:ascii="Arial" w:hAnsi="Arial" w:cs="Arial"/>
          <w:sz w:val="16"/>
          <w:szCs w:val="16"/>
        </w:rPr>
      </w:pPr>
    </w:p>
    <w:tbl>
      <w:tblPr>
        <w:tblW w:w="9087" w:type="dxa"/>
        <w:tblInd w:w="80" w:type="dxa"/>
        <w:tblLayout w:type="fixed"/>
        <w:tblLook w:val="04A0" w:firstRow="1" w:lastRow="0" w:firstColumn="1" w:lastColumn="0" w:noHBand="0" w:noVBand="1"/>
      </w:tblPr>
      <w:tblGrid>
        <w:gridCol w:w="3517"/>
        <w:gridCol w:w="986"/>
        <w:gridCol w:w="1077"/>
        <w:gridCol w:w="983"/>
        <w:gridCol w:w="1187"/>
        <w:gridCol w:w="1337"/>
      </w:tblGrid>
      <w:tr w:rsidR="003E6989" w:rsidTr="006A5410">
        <w:trPr>
          <w:trHeight w:val="255"/>
        </w:trPr>
        <w:tc>
          <w:tcPr>
            <w:tcW w:w="8986" w:type="dxa"/>
            <w:gridSpan w:val="6"/>
            <w:tcBorders>
              <w:top w:val="nil"/>
              <w:left w:val="nil"/>
              <w:bottom w:val="nil"/>
              <w:right w:val="nil"/>
            </w:tcBorders>
            <w:shd w:val="clear" w:color="000000" w:fill="D9D9D9"/>
            <w:vAlign w:val="bottom"/>
            <w:hideMark/>
          </w:tcPr>
          <w:p w:rsidR="003E6989" w:rsidRDefault="003E6989" w:rsidP="006A5410">
            <w:pPr>
              <w:rPr>
                <w:rFonts w:cs="Calibri"/>
                <w:b/>
                <w:bCs/>
                <w:szCs w:val="18"/>
              </w:rPr>
            </w:pPr>
            <w:bookmarkStart w:id="660" w:name="RANGE!D28:I55"/>
            <w:bookmarkStart w:id="661" w:name="Note_AFJTABLE2" w:colFirst="0" w:colLast="0"/>
            <w:r>
              <w:rPr>
                <w:rFonts w:cs="Calibri"/>
                <w:b/>
                <w:bCs/>
                <w:szCs w:val="18"/>
              </w:rPr>
              <w:t>Credit quality of financial assets not past due or individually determined as impaired</w:t>
            </w:r>
            <w:bookmarkEnd w:id="660"/>
          </w:p>
        </w:tc>
      </w:tr>
      <w:tr w:rsidR="003E6989" w:rsidTr="006A5410">
        <w:trPr>
          <w:trHeight w:val="480"/>
        </w:trPr>
        <w:tc>
          <w:tcPr>
            <w:tcW w:w="3478"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bookmarkStart w:id="662" w:name="RANGE!D29:D41"/>
            <w:bookmarkEnd w:id="661"/>
            <w:r>
              <w:rPr>
                <w:rFonts w:ascii="Arial" w:hAnsi="Arial" w:cs="Arial"/>
                <w:sz w:val="16"/>
                <w:szCs w:val="16"/>
              </w:rPr>
              <w:t> </w:t>
            </w:r>
            <w:bookmarkEnd w:id="662"/>
          </w:p>
        </w:tc>
        <w:tc>
          <w:tcPr>
            <w:tcW w:w="975"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65"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Not past due nor impaired</w:t>
            </w:r>
          </w:p>
        </w:tc>
        <w:tc>
          <w:tcPr>
            <w:tcW w:w="972"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Past due or impaired</w:t>
            </w:r>
          </w:p>
        </w:tc>
        <w:tc>
          <w:tcPr>
            <w:tcW w:w="1174" w:type="dxa"/>
            <w:tcBorders>
              <w:top w:val="nil"/>
              <w:left w:val="nil"/>
              <w:bottom w:val="nil"/>
              <w:right w:val="nil"/>
            </w:tcBorders>
            <w:shd w:val="clear" w:color="000000" w:fill="D9D9D9"/>
            <w:vAlign w:val="bottom"/>
            <w:hideMark/>
          </w:tcPr>
          <w:p w:rsidR="003E6989" w:rsidRDefault="003E6989" w:rsidP="006A5410">
            <w:pPr>
              <w:jc w:val="right"/>
              <w:rPr>
                <w:rFonts w:cs="Calibri"/>
                <w:szCs w:val="18"/>
              </w:rPr>
            </w:pPr>
            <w:r>
              <w:rPr>
                <w:rFonts w:cs="Calibri"/>
                <w:szCs w:val="18"/>
              </w:rPr>
              <w:t>Not past due nor impaired</w:t>
            </w:r>
          </w:p>
        </w:tc>
        <w:tc>
          <w:tcPr>
            <w:tcW w:w="1322" w:type="dxa"/>
            <w:tcBorders>
              <w:top w:val="nil"/>
              <w:left w:val="nil"/>
              <w:bottom w:val="nil"/>
              <w:right w:val="nil"/>
            </w:tcBorders>
            <w:shd w:val="clear" w:color="000000" w:fill="D9D9D9"/>
            <w:vAlign w:val="bottom"/>
            <w:hideMark/>
          </w:tcPr>
          <w:p w:rsidR="003E6989" w:rsidRDefault="003E6989" w:rsidP="006A5410">
            <w:pPr>
              <w:jc w:val="right"/>
              <w:rPr>
                <w:rFonts w:cs="Calibri"/>
                <w:szCs w:val="18"/>
              </w:rPr>
            </w:pPr>
            <w:r>
              <w:rPr>
                <w:rFonts w:cs="Calibri"/>
                <w:szCs w:val="18"/>
              </w:rPr>
              <w:t>Past due or impaired</w:t>
            </w:r>
          </w:p>
        </w:tc>
      </w:tr>
      <w:tr w:rsidR="003E6989" w:rsidTr="006A5410">
        <w:trPr>
          <w:trHeight w:val="255"/>
        </w:trPr>
        <w:tc>
          <w:tcPr>
            <w:tcW w:w="3478"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975"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65"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2016</w:t>
            </w:r>
          </w:p>
        </w:tc>
        <w:tc>
          <w:tcPr>
            <w:tcW w:w="972"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2016</w:t>
            </w:r>
          </w:p>
        </w:tc>
        <w:tc>
          <w:tcPr>
            <w:tcW w:w="1174" w:type="dxa"/>
            <w:tcBorders>
              <w:top w:val="nil"/>
              <w:left w:val="nil"/>
              <w:bottom w:val="nil"/>
              <w:right w:val="nil"/>
            </w:tcBorders>
            <w:shd w:val="clear" w:color="000000" w:fill="D9D9D9"/>
            <w:vAlign w:val="bottom"/>
            <w:hideMark/>
          </w:tcPr>
          <w:p w:rsidR="003E6989" w:rsidRDefault="003E6989" w:rsidP="006A5410">
            <w:pPr>
              <w:jc w:val="right"/>
              <w:rPr>
                <w:rFonts w:cs="Calibri"/>
                <w:szCs w:val="18"/>
              </w:rPr>
            </w:pPr>
            <w:r>
              <w:rPr>
                <w:rFonts w:cs="Calibri"/>
                <w:szCs w:val="18"/>
              </w:rPr>
              <w:t>2015</w:t>
            </w:r>
          </w:p>
        </w:tc>
        <w:tc>
          <w:tcPr>
            <w:tcW w:w="1322" w:type="dxa"/>
            <w:tcBorders>
              <w:top w:val="nil"/>
              <w:left w:val="nil"/>
              <w:bottom w:val="nil"/>
              <w:right w:val="nil"/>
            </w:tcBorders>
            <w:shd w:val="clear" w:color="000000" w:fill="D9D9D9"/>
            <w:vAlign w:val="bottom"/>
            <w:hideMark/>
          </w:tcPr>
          <w:p w:rsidR="003E6989" w:rsidRDefault="003E6989" w:rsidP="006A5410">
            <w:pPr>
              <w:jc w:val="right"/>
              <w:rPr>
                <w:rFonts w:cs="Calibri"/>
                <w:szCs w:val="18"/>
              </w:rPr>
            </w:pPr>
            <w:r>
              <w:rPr>
                <w:rFonts w:cs="Calibri"/>
                <w:szCs w:val="18"/>
              </w:rPr>
              <w:t>2015</w:t>
            </w:r>
          </w:p>
        </w:tc>
      </w:tr>
      <w:tr w:rsidR="003E6989" w:rsidTr="006A5410">
        <w:trPr>
          <w:trHeight w:val="255"/>
        </w:trPr>
        <w:tc>
          <w:tcPr>
            <w:tcW w:w="3478"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975"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65"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$'000</w:t>
            </w:r>
          </w:p>
        </w:tc>
        <w:tc>
          <w:tcPr>
            <w:tcW w:w="972"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$'000</w:t>
            </w:r>
          </w:p>
        </w:tc>
        <w:tc>
          <w:tcPr>
            <w:tcW w:w="1174" w:type="dxa"/>
            <w:tcBorders>
              <w:top w:val="nil"/>
              <w:left w:val="nil"/>
              <w:bottom w:val="nil"/>
              <w:right w:val="nil"/>
            </w:tcBorders>
            <w:shd w:val="clear" w:color="000000" w:fill="D9D9D9"/>
            <w:vAlign w:val="bottom"/>
            <w:hideMark/>
          </w:tcPr>
          <w:p w:rsidR="003E6989" w:rsidRDefault="003E6989" w:rsidP="006A5410">
            <w:pPr>
              <w:jc w:val="right"/>
              <w:rPr>
                <w:rFonts w:cs="Calibri"/>
                <w:szCs w:val="18"/>
              </w:rPr>
            </w:pPr>
            <w:r>
              <w:rPr>
                <w:rFonts w:cs="Calibri"/>
                <w:szCs w:val="18"/>
              </w:rPr>
              <w:t>$'000</w:t>
            </w:r>
          </w:p>
        </w:tc>
        <w:tc>
          <w:tcPr>
            <w:tcW w:w="1322" w:type="dxa"/>
            <w:tcBorders>
              <w:top w:val="nil"/>
              <w:left w:val="nil"/>
              <w:bottom w:val="nil"/>
              <w:right w:val="nil"/>
            </w:tcBorders>
            <w:shd w:val="clear" w:color="000000" w:fill="D9D9D9"/>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3478"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Available for sale</w:t>
            </w:r>
          </w:p>
        </w:tc>
        <w:tc>
          <w:tcPr>
            <w:tcW w:w="975"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 </w:t>
            </w:r>
          </w:p>
        </w:tc>
        <w:tc>
          <w:tcPr>
            <w:tcW w:w="1065"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c>
          <w:tcPr>
            <w:tcW w:w="972"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c>
          <w:tcPr>
            <w:tcW w:w="1174"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w:t>
            </w:r>
          </w:p>
        </w:tc>
        <w:tc>
          <w:tcPr>
            <w:tcW w:w="1322"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3478"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Investments</w:t>
            </w:r>
          </w:p>
        </w:tc>
        <w:tc>
          <w:tcPr>
            <w:tcW w:w="975"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 </w:t>
            </w:r>
          </w:p>
        </w:tc>
        <w:tc>
          <w:tcPr>
            <w:tcW w:w="1065"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2,118,337 </w:t>
            </w:r>
          </w:p>
        </w:tc>
        <w:tc>
          <w:tcPr>
            <w:tcW w:w="972"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 -</w:t>
            </w:r>
          </w:p>
        </w:tc>
        <w:tc>
          <w:tcPr>
            <w:tcW w:w="1174"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2,149,930 </w:t>
            </w:r>
          </w:p>
        </w:tc>
        <w:tc>
          <w:tcPr>
            <w:tcW w:w="1322"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3478"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Loans and receivables</w:t>
            </w:r>
          </w:p>
        </w:tc>
        <w:tc>
          <w:tcPr>
            <w:tcW w:w="975"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 </w:t>
            </w:r>
          </w:p>
        </w:tc>
        <w:tc>
          <w:tcPr>
            <w:tcW w:w="1065"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c>
          <w:tcPr>
            <w:tcW w:w="972"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c>
          <w:tcPr>
            <w:tcW w:w="1174"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w:t>
            </w:r>
          </w:p>
        </w:tc>
        <w:tc>
          <w:tcPr>
            <w:tcW w:w="1322"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3478"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Goods and services receivables</w:t>
            </w:r>
          </w:p>
        </w:tc>
        <w:tc>
          <w:tcPr>
            <w:tcW w:w="975"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 </w:t>
            </w:r>
          </w:p>
        </w:tc>
        <w:tc>
          <w:tcPr>
            <w:tcW w:w="1065"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29,727 </w:t>
            </w:r>
          </w:p>
        </w:tc>
        <w:tc>
          <w:tcPr>
            <w:tcW w:w="972"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18,755 </w:t>
            </w:r>
          </w:p>
        </w:tc>
        <w:tc>
          <w:tcPr>
            <w:tcW w:w="1174"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29,749 </w:t>
            </w:r>
          </w:p>
        </w:tc>
        <w:tc>
          <w:tcPr>
            <w:tcW w:w="1322"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9,394 </w:t>
            </w:r>
          </w:p>
        </w:tc>
      </w:tr>
      <w:tr w:rsidR="003E6989" w:rsidTr="006A5410">
        <w:trPr>
          <w:trHeight w:val="255"/>
        </w:trPr>
        <w:tc>
          <w:tcPr>
            <w:tcW w:w="4453" w:type="dxa"/>
            <w:gridSpan w:val="2"/>
            <w:tcBorders>
              <w:top w:val="nil"/>
              <w:left w:val="nil"/>
              <w:bottom w:val="nil"/>
              <w:right w:val="nil"/>
            </w:tcBorders>
            <w:shd w:val="clear" w:color="000000" w:fill="D9D9D9"/>
            <w:noWrap/>
            <w:vAlign w:val="bottom"/>
            <w:hideMark/>
          </w:tcPr>
          <w:p w:rsidR="003E6989" w:rsidRDefault="003E6989" w:rsidP="006A5410">
            <w:pPr>
              <w:rPr>
                <w:rFonts w:cs="Calibri"/>
                <w:szCs w:val="18"/>
              </w:rPr>
            </w:pPr>
            <w:r>
              <w:rPr>
                <w:rFonts w:cs="Calibri"/>
                <w:szCs w:val="18"/>
              </w:rPr>
              <w:t>Fair value through profit or loss (designated)</w:t>
            </w:r>
          </w:p>
        </w:tc>
        <w:tc>
          <w:tcPr>
            <w:tcW w:w="1065"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c>
          <w:tcPr>
            <w:tcW w:w="972"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c>
          <w:tcPr>
            <w:tcW w:w="1174"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w:t>
            </w:r>
          </w:p>
        </w:tc>
        <w:tc>
          <w:tcPr>
            <w:tcW w:w="1322"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3478"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HECS\HELP loans</w:t>
            </w:r>
          </w:p>
        </w:tc>
        <w:tc>
          <w:tcPr>
            <w:tcW w:w="975"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 </w:t>
            </w:r>
          </w:p>
        </w:tc>
        <w:tc>
          <w:tcPr>
            <w:tcW w:w="1065"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36,807,652 </w:t>
            </w:r>
          </w:p>
        </w:tc>
        <w:tc>
          <w:tcPr>
            <w:tcW w:w="972"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 -</w:t>
            </w:r>
          </w:p>
        </w:tc>
        <w:tc>
          <w:tcPr>
            <w:tcW w:w="1174"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30,444,858 </w:t>
            </w:r>
          </w:p>
        </w:tc>
        <w:tc>
          <w:tcPr>
            <w:tcW w:w="1322"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3478"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Trade support loans</w:t>
            </w:r>
          </w:p>
        </w:tc>
        <w:tc>
          <w:tcPr>
            <w:tcW w:w="975"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 </w:t>
            </w:r>
          </w:p>
        </w:tc>
        <w:tc>
          <w:tcPr>
            <w:tcW w:w="1065"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145,680 </w:t>
            </w:r>
          </w:p>
        </w:tc>
        <w:tc>
          <w:tcPr>
            <w:tcW w:w="972"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 -</w:t>
            </w:r>
          </w:p>
        </w:tc>
        <w:tc>
          <w:tcPr>
            <w:tcW w:w="1174"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52,960 </w:t>
            </w:r>
          </w:p>
        </w:tc>
        <w:tc>
          <w:tcPr>
            <w:tcW w:w="1322"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3478"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Other loans</w:t>
            </w:r>
          </w:p>
        </w:tc>
        <w:tc>
          <w:tcPr>
            <w:tcW w:w="975"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 </w:t>
            </w:r>
          </w:p>
        </w:tc>
        <w:tc>
          <w:tcPr>
            <w:tcW w:w="1065"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591 </w:t>
            </w:r>
          </w:p>
        </w:tc>
        <w:tc>
          <w:tcPr>
            <w:tcW w:w="972"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 -</w:t>
            </w:r>
          </w:p>
        </w:tc>
        <w:tc>
          <w:tcPr>
            <w:tcW w:w="1174"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c>
          <w:tcPr>
            <w:tcW w:w="1322"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3478" w:type="dxa"/>
            <w:tcBorders>
              <w:top w:val="single" w:sz="4" w:space="0" w:color="D9D9D9"/>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Total</w:t>
            </w:r>
          </w:p>
        </w:tc>
        <w:tc>
          <w:tcPr>
            <w:tcW w:w="975" w:type="dxa"/>
            <w:tcBorders>
              <w:top w:val="single" w:sz="4" w:space="0" w:color="D9D9D9"/>
              <w:left w:val="nil"/>
              <w:bottom w:val="single" w:sz="4" w:space="0" w:color="D9D9D9"/>
              <w:right w:val="nil"/>
            </w:tcBorders>
            <w:shd w:val="clear" w:color="000000" w:fill="D9D9D9"/>
            <w:noWrap/>
            <w:vAlign w:val="bottom"/>
            <w:hideMark/>
          </w:tcPr>
          <w:p w:rsidR="003E6989" w:rsidRDefault="003E6989" w:rsidP="006A5410">
            <w:pPr>
              <w:rPr>
                <w:rFonts w:cs="Calibri"/>
                <w:szCs w:val="18"/>
              </w:rPr>
            </w:pPr>
            <w:r>
              <w:rPr>
                <w:rFonts w:cs="Calibri"/>
                <w:szCs w:val="18"/>
              </w:rPr>
              <w:t> </w:t>
            </w:r>
          </w:p>
        </w:tc>
        <w:tc>
          <w:tcPr>
            <w:tcW w:w="1065"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39,101,987</w:t>
            </w:r>
          </w:p>
        </w:tc>
        <w:tc>
          <w:tcPr>
            <w:tcW w:w="972"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18,755</w:t>
            </w:r>
          </w:p>
        </w:tc>
        <w:tc>
          <w:tcPr>
            <w:tcW w:w="1174"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32,677,497</w:t>
            </w:r>
          </w:p>
        </w:tc>
        <w:tc>
          <w:tcPr>
            <w:tcW w:w="1322"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9,394</w:t>
            </w:r>
          </w:p>
        </w:tc>
      </w:tr>
      <w:tr w:rsidR="003E6989" w:rsidTr="006A5410">
        <w:trPr>
          <w:trHeight w:val="255"/>
        </w:trPr>
        <w:tc>
          <w:tcPr>
            <w:tcW w:w="3478"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975"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65"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972"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74"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322"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8986" w:type="dxa"/>
            <w:gridSpan w:val="6"/>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Ageing of financial assets that were past due but not impaired for 2016</w:t>
            </w:r>
          </w:p>
        </w:tc>
      </w:tr>
      <w:tr w:rsidR="003E6989" w:rsidTr="006A5410">
        <w:trPr>
          <w:trHeight w:val="255"/>
        </w:trPr>
        <w:tc>
          <w:tcPr>
            <w:tcW w:w="3478"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975"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 xml:space="preserve">0 to 30 </w:t>
            </w:r>
          </w:p>
        </w:tc>
        <w:tc>
          <w:tcPr>
            <w:tcW w:w="1065"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31 to 60</w:t>
            </w:r>
          </w:p>
        </w:tc>
        <w:tc>
          <w:tcPr>
            <w:tcW w:w="972"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61 to 90</w:t>
            </w:r>
          </w:p>
        </w:tc>
        <w:tc>
          <w:tcPr>
            <w:tcW w:w="1174"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90+</w:t>
            </w:r>
          </w:p>
        </w:tc>
        <w:tc>
          <w:tcPr>
            <w:tcW w:w="1322"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 </w:t>
            </w:r>
          </w:p>
        </w:tc>
      </w:tr>
      <w:tr w:rsidR="003E6989" w:rsidTr="006A5410">
        <w:trPr>
          <w:trHeight w:val="255"/>
        </w:trPr>
        <w:tc>
          <w:tcPr>
            <w:tcW w:w="3478"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975"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days</w:t>
            </w:r>
          </w:p>
        </w:tc>
        <w:tc>
          <w:tcPr>
            <w:tcW w:w="1065"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days</w:t>
            </w:r>
          </w:p>
        </w:tc>
        <w:tc>
          <w:tcPr>
            <w:tcW w:w="972"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days</w:t>
            </w:r>
          </w:p>
        </w:tc>
        <w:tc>
          <w:tcPr>
            <w:tcW w:w="1174"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days</w:t>
            </w:r>
          </w:p>
        </w:tc>
        <w:tc>
          <w:tcPr>
            <w:tcW w:w="1322"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Total</w:t>
            </w:r>
          </w:p>
        </w:tc>
      </w:tr>
      <w:tr w:rsidR="003E6989" w:rsidTr="006A5410">
        <w:trPr>
          <w:trHeight w:val="255"/>
        </w:trPr>
        <w:tc>
          <w:tcPr>
            <w:tcW w:w="3478"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975"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$'000</w:t>
            </w:r>
          </w:p>
        </w:tc>
        <w:tc>
          <w:tcPr>
            <w:tcW w:w="1065"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$'000</w:t>
            </w:r>
          </w:p>
        </w:tc>
        <w:tc>
          <w:tcPr>
            <w:tcW w:w="972"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$'000</w:t>
            </w:r>
          </w:p>
        </w:tc>
        <w:tc>
          <w:tcPr>
            <w:tcW w:w="1174"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$'000</w:t>
            </w:r>
          </w:p>
        </w:tc>
        <w:tc>
          <w:tcPr>
            <w:tcW w:w="1322" w:type="dxa"/>
            <w:tcBorders>
              <w:top w:val="nil"/>
              <w:left w:val="nil"/>
              <w:bottom w:val="nil"/>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$'000</w:t>
            </w:r>
          </w:p>
        </w:tc>
      </w:tr>
      <w:tr w:rsidR="003E6989" w:rsidTr="006A5410">
        <w:trPr>
          <w:trHeight w:val="255"/>
        </w:trPr>
        <w:tc>
          <w:tcPr>
            <w:tcW w:w="3478"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Goods and services and other receivables</w:t>
            </w:r>
          </w:p>
        </w:tc>
        <w:tc>
          <w:tcPr>
            <w:tcW w:w="975"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292 </w:t>
            </w:r>
          </w:p>
        </w:tc>
        <w:tc>
          <w:tcPr>
            <w:tcW w:w="1065"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166 </w:t>
            </w:r>
          </w:p>
        </w:tc>
        <w:tc>
          <w:tcPr>
            <w:tcW w:w="972"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54 </w:t>
            </w:r>
          </w:p>
        </w:tc>
        <w:tc>
          <w:tcPr>
            <w:tcW w:w="1174"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6,686 </w:t>
            </w:r>
          </w:p>
        </w:tc>
        <w:tc>
          <w:tcPr>
            <w:tcW w:w="1322"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7,198 </w:t>
            </w:r>
          </w:p>
        </w:tc>
      </w:tr>
      <w:tr w:rsidR="003E6989" w:rsidTr="006A5410">
        <w:trPr>
          <w:trHeight w:val="255"/>
        </w:trPr>
        <w:tc>
          <w:tcPr>
            <w:tcW w:w="3478" w:type="dxa"/>
            <w:tcBorders>
              <w:top w:val="single" w:sz="4" w:space="0" w:color="D9D9D9"/>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Total</w:t>
            </w:r>
          </w:p>
        </w:tc>
        <w:tc>
          <w:tcPr>
            <w:tcW w:w="975"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292</w:t>
            </w:r>
          </w:p>
        </w:tc>
        <w:tc>
          <w:tcPr>
            <w:tcW w:w="1065"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166</w:t>
            </w:r>
          </w:p>
        </w:tc>
        <w:tc>
          <w:tcPr>
            <w:tcW w:w="972"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54</w:t>
            </w:r>
          </w:p>
        </w:tc>
        <w:tc>
          <w:tcPr>
            <w:tcW w:w="1174"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6,686</w:t>
            </w:r>
          </w:p>
        </w:tc>
        <w:tc>
          <w:tcPr>
            <w:tcW w:w="1322"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7,198</w:t>
            </w:r>
          </w:p>
        </w:tc>
      </w:tr>
      <w:tr w:rsidR="003E6989" w:rsidTr="006A5410">
        <w:trPr>
          <w:trHeight w:val="255"/>
        </w:trPr>
        <w:tc>
          <w:tcPr>
            <w:tcW w:w="3478"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975"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65"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972"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174"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322"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8986" w:type="dxa"/>
            <w:gridSpan w:val="6"/>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Ageing of financial assets that were past due but not impaired for 2015</w:t>
            </w:r>
          </w:p>
        </w:tc>
      </w:tr>
      <w:tr w:rsidR="003E6989" w:rsidTr="006A5410">
        <w:trPr>
          <w:trHeight w:val="255"/>
        </w:trPr>
        <w:tc>
          <w:tcPr>
            <w:tcW w:w="3478"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975"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0 to 30 </w:t>
            </w:r>
          </w:p>
        </w:tc>
        <w:tc>
          <w:tcPr>
            <w:tcW w:w="1065"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31 to 60</w:t>
            </w:r>
          </w:p>
        </w:tc>
        <w:tc>
          <w:tcPr>
            <w:tcW w:w="972"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61 to 90</w:t>
            </w:r>
          </w:p>
        </w:tc>
        <w:tc>
          <w:tcPr>
            <w:tcW w:w="1174"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90+</w:t>
            </w:r>
          </w:p>
        </w:tc>
        <w:tc>
          <w:tcPr>
            <w:tcW w:w="1322"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3478"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975"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days</w:t>
            </w:r>
          </w:p>
        </w:tc>
        <w:tc>
          <w:tcPr>
            <w:tcW w:w="1065"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days</w:t>
            </w:r>
          </w:p>
        </w:tc>
        <w:tc>
          <w:tcPr>
            <w:tcW w:w="972"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days</w:t>
            </w:r>
          </w:p>
        </w:tc>
        <w:tc>
          <w:tcPr>
            <w:tcW w:w="1174"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days</w:t>
            </w:r>
          </w:p>
        </w:tc>
        <w:tc>
          <w:tcPr>
            <w:tcW w:w="1322"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Total</w:t>
            </w:r>
          </w:p>
        </w:tc>
      </w:tr>
      <w:tr w:rsidR="003E6989" w:rsidTr="006A5410">
        <w:trPr>
          <w:trHeight w:val="255"/>
        </w:trPr>
        <w:tc>
          <w:tcPr>
            <w:tcW w:w="3478"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975"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$'000</w:t>
            </w:r>
          </w:p>
        </w:tc>
        <w:tc>
          <w:tcPr>
            <w:tcW w:w="1065"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$'000</w:t>
            </w:r>
          </w:p>
        </w:tc>
        <w:tc>
          <w:tcPr>
            <w:tcW w:w="972"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$'000</w:t>
            </w:r>
          </w:p>
        </w:tc>
        <w:tc>
          <w:tcPr>
            <w:tcW w:w="1174"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$'000</w:t>
            </w:r>
          </w:p>
        </w:tc>
        <w:tc>
          <w:tcPr>
            <w:tcW w:w="1322"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3478"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Goods and services and other receivables</w:t>
            </w:r>
          </w:p>
        </w:tc>
        <w:tc>
          <w:tcPr>
            <w:tcW w:w="975"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472 </w:t>
            </w:r>
          </w:p>
        </w:tc>
        <w:tc>
          <w:tcPr>
            <w:tcW w:w="1065"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910 </w:t>
            </w:r>
          </w:p>
        </w:tc>
        <w:tc>
          <w:tcPr>
            <w:tcW w:w="972"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33 </w:t>
            </w:r>
          </w:p>
        </w:tc>
        <w:tc>
          <w:tcPr>
            <w:tcW w:w="1174"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456 </w:t>
            </w:r>
          </w:p>
        </w:tc>
        <w:tc>
          <w:tcPr>
            <w:tcW w:w="1322"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1,871 </w:t>
            </w:r>
          </w:p>
        </w:tc>
      </w:tr>
      <w:tr w:rsidR="003E6989" w:rsidTr="006A5410">
        <w:trPr>
          <w:trHeight w:val="255"/>
        </w:trPr>
        <w:tc>
          <w:tcPr>
            <w:tcW w:w="3478" w:type="dxa"/>
            <w:tcBorders>
              <w:top w:val="single" w:sz="4" w:space="0" w:color="D9D9D9"/>
              <w:left w:val="nil"/>
              <w:bottom w:val="single" w:sz="4" w:space="0" w:color="D9D9D9"/>
              <w:right w:val="nil"/>
            </w:tcBorders>
            <w:shd w:val="clear" w:color="000000" w:fill="D9D9D9"/>
            <w:vAlign w:val="bottom"/>
            <w:hideMark/>
          </w:tcPr>
          <w:p w:rsidR="003E6989" w:rsidRDefault="003E6989" w:rsidP="006A5410">
            <w:pPr>
              <w:rPr>
                <w:rFonts w:cs="Calibri"/>
                <w:b/>
                <w:bCs/>
                <w:szCs w:val="18"/>
              </w:rPr>
            </w:pPr>
            <w:r>
              <w:rPr>
                <w:rFonts w:cs="Calibri"/>
                <w:b/>
                <w:bCs/>
                <w:szCs w:val="18"/>
              </w:rPr>
              <w:t>Total</w:t>
            </w:r>
          </w:p>
        </w:tc>
        <w:tc>
          <w:tcPr>
            <w:tcW w:w="975"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472</w:t>
            </w:r>
          </w:p>
        </w:tc>
        <w:tc>
          <w:tcPr>
            <w:tcW w:w="1065"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910</w:t>
            </w:r>
          </w:p>
        </w:tc>
        <w:tc>
          <w:tcPr>
            <w:tcW w:w="972"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33</w:t>
            </w:r>
          </w:p>
        </w:tc>
        <w:tc>
          <w:tcPr>
            <w:tcW w:w="1174"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456</w:t>
            </w:r>
          </w:p>
        </w:tc>
        <w:tc>
          <w:tcPr>
            <w:tcW w:w="1322"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1,871</w:t>
            </w:r>
          </w:p>
        </w:tc>
      </w:tr>
    </w:tbl>
    <w:p w:rsidR="003E6989" w:rsidRDefault="003E6989" w:rsidP="003E6989">
      <w:r>
        <w:br w:type="page"/>
      </w:r>
    </w:p>
    <w:tbl>
      <w:tblPr>
        <w:tblW w:w="9087" w:type="dxa"/>
        <w:tblInd w:w="80" w:type="dxa"/>
        <w:tblLayout w:type="fixed"/>
        <w:tblLook w:val="04A0" w:firstRow="1" w:lastRow="0" w:firstColumn="1" w:lastColumn="0" w:noHBand="0" w:noVBand="1"/>
      </w:tblPr>
      <w:tblGrid>
        <w:gridCol w:w="2874"/>
        <w:gridCol w:w="1037"/>
        <w:gridCol w:w="1036"/>
        <w:gridCol w:w="1035"/>
        <w:gridCol w:w="1035"/>
        <w:gridCol w:w="1035"/>
        <w:gridCol w:w="1035"/>
      </w:tblGrid>
      <w:tr w:rsidR="003E6989" w:rsidTr="006A5410">
        <w:trPr>
          <w:trHeight w:val="255"/>
        </w:trPr>
        <w:tc>
          <w:tcPr>
            <w:tcW w:w="2839" w:type="dxa"/>
            <w:tcBorders>
              <w:top w:val="nil"/>
              <w:left w:val="nil"/>
              <w:bottom w:val="nil"/>
              <w:right w:val="nil"/>
            </w:tcBorders>
            <w:shd w:val="clear" w:color="000000" w:fill="D9D9D9"/>
            <w:noWrap/>
            <w:hideMark/>
          </w:tcPr>
          <w:p w:rsidR="003E6989" w:rsidRDefault="003E6989" w:rsidP="006A5410">
            <w:pPr>
              <w:rPr>
                <w:rFonts w:cs="Calibri"/>
                <w:b/>
                <w:bCs/>
                <w:szCs w:val="18"/>
                <w:u w:val="single"/>
              </w:rPr>
            </w:pPr>
            <w:bookmarkStart w:id="663" w:name="Note_AFLTABLE1" w:colFirst="0" w:colLast="0"/>
            <w:r>
              <w:rPr>
                <w:rFonts w:cs="Calibri"/>
                <w:b/>
                <w:bCs/>
                <w:szCs w:val="18"/>
                <w:u w:val="single"/>
              </w:rPr>
              <w:t>7.3E: Liquidity risk</w:t>
            </w:r>
          </w:p>
        </w:tc>
        <w:tc>
          <w:tcPr>
            <w:tcW w:w="1024"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24"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23"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23"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23"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23"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bookmarkEnd w:id="663"/>
      <w:tr w:rsidR="003E6989" w:rsidTr="006A5410">
        <w:trPr>
          <w:trHeight w:val="255"/>
        </w:trPr>
        <w:tc>
          <w:tcPr>
            <w:tcW w:w="2839"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1024"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1024"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1023"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1023"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1023"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1023"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r>
      <w:tr w:rsidR="003E6989" w:rsidTr="006A5410">
        <w:trPr>
          <w:trHeight w:val="750"/>
        </w:trPr>
        <w:tc>
          <w:tcPr>
            <w:tcW w:w="8979" w:type="dxa"/>
            <w:gridSpan w:val="7"/>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The department is exposed to minimal liquidity risk and is appropriated funding from the Australian Government.  The department manages its budgeted funds to ensure it has adequate funds to meet payments as they fall due. In addition, the department has policies in place to ensure timely payments are made when due and has no past experience of default.</w:t>
            </w:r>
          </w:p>
        </w:tc>
      </w:tr>
      <w:tr w:rsidR="003E6989" w:rsidTr="006A5410">
        <w:trPr>
          <w:trHeight w:val="255"/>
        </w:trPr>
        <w:tc>
          <w:tcPr>
            <w:tcW w:w="2839"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1024"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1024"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1023"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1023"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1023"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1023"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r>
    </w:tbl>
    <w:p w:rsidR="003E6989" w:rsidRDefault="003E6989" w:rsidP="003E6989">
      <w:pPr>
        <w:pStyle w:val="GreyShadeTableBreak"/>
      </w:pPr>
      <w:bookmarkStart w:id="664" w:name="RANGE!D7:D33"/>
      <w:bookmarkStart w:id="665" w:name="RANGE!D7:J33"/>
      <w:bookmarkStart w:id="666" w:name="RANGE!D6:J32"/>
      <w:bookmarkEnd w:id="664"/>
      <w:bookmarkEnd w:id="665"/>
      <w:bookmarkEnd w:id="666"/>
    </w:p>
    <w:tbl>
      <w:tblPr>
        <w:tblW w:w="9087" w:type="dxa"/>
        <w:tblInd w:w="80" w:type="dxa"/>
        <w:tblLayout w:type="fixed"/>
        <w:tblLook w:val="04A0" w:firstRow="1" w:lastRow="0" w:firstColumn="1" w:lastColumn="0" w:noHBand="0" w:noVBand="1"/>
      </w:tblPr>
      <w:tblGrid>
        <w:gridCol w:w="5637"/>
        <w:gridCol w:w="1150"/>
        <w:gridCol w:w="1150"/>
        <w:gridCol w:w="1150"/>
      </w:tblGrid>
      <w:tr w:rsidR="003E6989" w:rsidTr="006A5410">
        <w:trPr>
          <w:trHeight w:val="255"/>
        </w:trPr>
        <w:tc>
          <w:tcPr>
            <w:tcW w:w="5076" w:type="dxa"/>
            <w:tcBorders>
              <w:top w:val="nil"/>
              <w:left w:val="nil"/>
              <w:bottom w:val="nil"/>
              <w:right w:val="nil"/>
            </w:tcBorders>
            <w:shd w:val="clear" w:color="000000" w:fill="D9D9D9"/>
            <w:noWrap/>
            <w:hideMark/>
          </w:tcPr>
          <w:p w:rsidR="003E6989" w:rsidRDefault="003E6989" w:rsidP="006A5410">
            <w:pPr>
              <w:rPr>
                <w:rFonts w:cs="Calibri"/>
                <w:b/>
                <w:bCs/>
                <w:szCs w:val="18"/>
                <w:u w:val="single"/>
              </w:rPr>
            </w:pPr>
            <w:bookmarkStart w:id="667" w:name="Note_AFKTABLE1" w:colFirst="0" w:colLast="0"/>
            <w:r>
              <w:rPr>
                <w:rFonts w:cs="Calibri"/>
                <w:b/>
                <w:bCs/>
                <w:szCs w:val="18"/>
                <w:u w:val="single"/>
              </w:rPr>
              <w:t>7.3F: Market risk</w:t>
            </w:r>
          </w:p>
        </w:tc>
        <w:tc>
          <w:tcPr>
            <w:tcW w:w="10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bookmarkEnd w:id="667"/>
      <w:tr w:rsidR="003E6989" w:rsidTr="006A5410">
        <w:trPr>
          <w:trHeight w:val="255"/>
        </w:trPr>
        <w:tc>
          <w:tcPr>
            <w:tcW w:w="507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03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480"/>
        </w:trPr>
        <w:tc>
          <w:tcPr>
            <w:tcW w:w="8184" w:type="dxa"/>
            <w:gridSpan w:val="4"/>
            <w:tcBorders>
              <w:top w:val="nil"/>
              <w:left w:val="nil"/>
              <w:bottom w:val="single" w:sz="4" w:space="0" w:color="D9D9D9"/>
              <w:right w:val="nil"/>
            </w:tcBorders>
            <w:shd w:val="clear" w:color="000000" w:fill="D9D9D9"/>
            <w:vAlign w:val="bottom"/>
            <w:hideMark/>
          </w:tcPr>
          <w:p w:rsidR="003E6989" w:rsidRDefault="003E6989" w:rsidP="006A5410">
            <w:pPr>
              <w:rPr>
                <w:rFonts w:cs="Calibri"/>
                <w:szCs w:val="18"/>
              </w:rPr>
            </w:pPr>
            <w:r>
              <w:rPr>
                <w:rFonts w:cs="Calibri"/>
                <w:szCs w:val="18"/>
              </w:rPr>
              <w:t xml:space="preserve">The department holds basic financial instruments that do not expose it to certain market risks including to ‘currency risk’ and ‘other price risks’.  </w:t>
            </w:r>
          </w:p>
        </w:tc>
      </w:tr>
    </w:tbl>
    <w:p w:rsidR="003E6989" w:rsidRDefault="003E6989" w:rsidP="003E6989">
      <w:pPr>
        <w:pStyle w:val="GreyShadeTableBreak"/>
      </w:pPr>
      <w:bookmarkStart w:id="668" w:name="RANGE!D6:J27"/>
      <w:bookmarkStart w:id="669" w:name="RANGE!D7:G24"/>
      <w:bookmarkEnd w:id="668"/>
      <w:bookmarkEnd w:id="669"/>
    </w:p>
    <w:p w:rsidR="003E6989" w:rsidRDefault="003E6989" w:rsidP="003E6989">
      <w:pPr>
        <w:pStyle w:val="GreyShadeTableBreak"/>
      </w:pPr>
    </w:p>
    <w:tbl>
      <w:tblPr>
        <w:tblW w:w="9087" w:type="dxa"/>
        <w:tblInd w:w="80" w:type="dxa"/>
        <w:tblLayout w:type="fixed"/>
        <w:tblLook w:val="04A0" w:firstRow="1" w:lastRow="0" w:firstColumn="1" w:lastColumn="0" w:noHBand="0" w:noVBand="1"/>
      </w:tblPr>
      <w:tblGrid>
        <w:gridCol w:w="5471"/>
        <w:gridCol w:w="1638"/>
        <w:gridCol w:w="340"/>
        <w:gridCol w:w="1638"/>
      </w:tblGrid>
      <w:tr w:rsidR="003E6989" w:rsidTr="006A5410">
        <w:trPr>
          <w:trHeight w:val="255"/>
        </w:trPr>
        <w:tc>
          <w:tcPr>
            <w:tcW w:w="4196" w:type="dxa"/>
            <w:tcBorders>
              <w:top w:val="nil"/>
              <w:left w:val="nil"/>
              <w:bottom w:val="nil"/>
              <w:right w:val="nil"/>
            </w:tcBorders>
            <w:shd w:val="clear" w:color="000000" w:fill="D9D9D9"/>
            <w:noWrap/>
            <w:hideMark/>
          </w:tcPr>
          <w:p w:rsidR="003E6989" w:rsidRDefault="003E6989" w:rsidP="006A5410">
            <w:pPr>
              <w:rPr>
                <w:rFonts w:cs="Calibri"/>
                <w:b/>
                <w:bCs/>
                <w:szCs w:val="18"/>
                <w:u w:val="single"/>
              </w:rPr>
            </w:pPr>
            <w:bookmarkStart w:id="670" w:name="RANGE!D7:G28"/>
            <w:bookmarkStart w:id="671" w:name="Note_AFOTABLE1" w:colFirst="0" w:colLast="0"/>
            <w:r>
              <w:rPr>
                <w:rFonts w:cs="Calibri"/>
                <w:b/>
                <w:bCs/>
                <w:szCs w:val="18"/>
                <w:u w:val="single"/>
              </w:rPr>
              <w:t>7.3G: Concessional loans</w:t>
            </w:r>
            <w:bookmarkEnd w:id="670"/>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bookmarkEnd w:id="671"/>
      <w:tr w:rsidR="003E6989" w:rsidTr="006A5410">
        <w:trPr>
          <w:trHeight w:val="255"/>
        </w:trPr>
        <w:tc>
          <w:tcPr>
            <w:tcW w:w="419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2016</w:t>
            </w:r>
          </w:p>
        </w:tc>
        <w:tc>
          <w:tcPr>
            <w:tcW w:w="261"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2015</w:t>
            </w:r>
          </w:p>
        </w:tc>
      </w:tr>
      <w:tr w:rsidR="003E6989" w:rsidTr="006A5410">
        <w:trPr>
          <w:trHeight w:val="255"/>
        </w:trPr>
        <w:tc>
          <w:tcPr>
            <w:tcW w:w="4196" w:type="dxa"/>
            <w:tcBorders>
              <w:top w:val="nil"/>
              <w:left w:val="nil"/>
              <w:bottom w:val="nil"/>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$'000</w:t>
            </w:r>
          </w:p>
        </w:tc>
        <w:tc>
          <w:tcPr>
            <w:tcW w:w="261"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419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HECS\HELP loans</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61"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4196"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Nominal value</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52,468,283 </w:t>
            </w:r>
          </w:p>
        </w:tc>
        <w:tc>
          <w:tcPr>
            <w:tcW w:w="261"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44,120,178 </w:t>
            </w:r>
          </w:p>
        </w:tc>
      </w:tr>
      <w:tr w:rsidR="003E6989" w:rsidTr="006A5410">
        <w:trPr>
          <w:trHeight w:val="255"/>
        </w:trPr>
        <w:tc>
          <w:tcPr>
            <w:tcW w:w="4196"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Less: Unexpired discount</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(1,161,178)</w:t>
            </w:r>
          </w:p>
        </w:tc>
        <w:tc>
          <w:tcPr>
            <w:tcW w:w="261"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(3,446,468)</w:t>
            </w:r>
          </w:p>
        </w:tc>
      </w:tr>
      <w:tr w:rsidR="003E6989" w:rsidTr="006A5410">
        <w:trPr>
          <w:trHeight w:val="255"/>
        </w:trPr>
        <w:tc>
          <w:tcPr>
            <w:tcW w:w="4196" w:type="dxa"/>
            <w:tcBorders>
              <w:top w:val="nil"/>
              <w:left w:val="nil"/>
              <w:bottom w:val="nil"/>
              <w:right w:val="nil"/>
            </w:tcBorders>
            <w:shd w:val="clear" w:color="000000" w:fill="D9D9D9"/>
            <w:noWrap/>
            <w:vAlign w:val="bottom"/>
            <w:hideMark/>
          </w:tcPr>
          <w:p w:rsidR="003E6989" w:rsidRDefault="003E6989" w:rsidP="003E6989">
            <w:pPr>
              <w:ind w:firstLineChars="300" w:firstLine="540"/>
              <w:rPr>
                <w:rFonts w:cs="Calibri"/>
                <w:szCs w:val="18"/>
              </w:rPr>
            </w:pPr>
            <w:r>
              <w:rPr>
                <w:rFonts w:cs="Calibri"/>
                <w:szCs w:val="18"/>
              </w:rPr>
              <w:t>Impairment</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(14,499,449)</w:t>
            </w:r>
          </w:p>
        </w:tc>
        <w:tc>
          <w:tcPr>
            <w:tcW w:w="261"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(10,228,852)</w:t>
            </w:r>
          </w:p>
        </w:tc>
      </w:tr>
      <w:tr w:rsidR="003E6989" w:rsidTr="006A5410">
        <w:trPr>
          <w:trHeight w:val="255"/>
        </w:trPr>
        <w:tc>
          <w:tcPr>
            <w:tcW w:w="4196"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Carrying amount</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36,807,656</w:t>
            </w:r>
          </w:p>
        </w:tc>
        <w:tc>
          <w:tcPr>
            <w:tcW w:w="261"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30,444,858</w:t>
            </w:r>
          </w:p>
        </w:tc>
      </w:tr>
      <w:tr w:rsidR="003E6989" w:rsidTr="006A5410">
        <w:trPr>
          <w:trHeight w:val="255"/>
        </w:trPr>
        <w:tc>
          <w:tcPr>
            <w:tcW w:w="419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Child Care loans</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r>
      <w:tr w:rsidR="003E6989" w:rsidTr="006A5410">
        <w:trPr>
          <w:trHeight w:val="255"/>
        </w:trPr>
        <w:tc>
          <w:tcPr>
            <w:tcW w:w="4196"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Nominal value</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252 </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727 </w:t>
            </w:r>
          </w:p>
        </w:tc>
      </w:tr>
      <w:tr w:rsidR="003E6989" w:rsidTr="006A5410">
        <w:trPr>
          <w:trHeight w:val="255"/>
        </w:trPr>
        <w:tc>
          <w:tcPr>
            <w:tcW w:w="4196" w:type="dxa"/>
            <w:tcBorders>
              <w:top w:val="nil"/>
              <w:left w:val="nil"/>
              <w:bottom w:val="nil"/>
              <w:right w:val="nil"/>
            </w:tcBorders>
            <w:shd w:val="clear" w:color="000000" w:fill="D9D9D9"/>
            <w:noWrap/>
            <w:vAlign w:val="bottom"/>
            <w:hideMark/>
          </w:tcPr>
          <w:p w:rsidR="003E6989" w:rsidRDefault="003E6989" w:rsidP="003E6989">
            <w:pPr>
              <w:ind w:firstLineChars="300" w:firstLine="540"/>
              <w:rPr>
                <w:rFonts w:cs="Calibri"/>
                <w:szCs w:val="18"/>
              </w:rPr>
            </w:pPr>
            <w:r>
              <w:rPr>
                <w:rFonts w:cs="Calibri"/>
                <w:szCs w:val="18"/>
              </w:rPr>
              <w:t>Restructure</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339 </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(727)</w:t>
            </w:r>
          </w:p>
        </w:tc>
      </w:tr>
      <w:tr w:rsidR="003E6989" w:rsidTr="006A5410">
        <w:trPr>
          <w:trHeight w:val="255"/>
        </w:trPr>
        <w:tc>
          <w:tcPr>
            <w:tcW w:w="4196"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Carrying amount</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591</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w:t>
            </w:r>
          </w:p>
        </w:tc>
      </w:tr>
      <w:tr w:rsidR="003E6989" w:rsidTr="006A5410">
        <w:trPr>
          <w:trHeight w:val="255"/>
        </w:trPr>
        <w:tc>
          <w:tcPr>
            <w:tcW w:w="4196"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Trade Support Loans</w:t>
            </w:r>
          </w:p>
        </w:tc>
        <w:tc>
          <w:tcPr>
            <w:tcW w:w="1256"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261"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4196"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Nominal value</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196,037 </w:t>
            </w:r>
          </w:p>
        </w:tc>
        <w:tc>
          <w:tcPr>
            <w:tcW w:w="261"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81,055 </w:t>
            </w:r>
          </w:p>
        </w:tc>
      </w:tr>
      <w:tr w:rsidR="003E6989" w:rsidTr="006A5410">
        <w:trPr>
          <w:trHeight w:val="255"/>
        </w:trPr>
        <w:tc>
          <w:tcPr>
            <w:tcW w:w="4196"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Less: Unexpired discount</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(33,117)</w:t>
            </w:r>
          </w:p>
        </w:tc>
        <w:tc>
          <w:tcPr>
            <w:tcW w:w="261"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(18,596)</w:t>
            </w:r>
          </w:p>
        </w:tc>
      </w:tr>
      <w:tr w:rsidR="003E6989" w:rsidTr="006A5410">
        <w:trPr>
          <w:trHeight w:val="255"/>
        </w:trPr>
        <w:tc>
          <w:tcPr>
            <w:tcW w:w="4196" w:type="dxa"/>
            <w:tcBorders>
              <w:top w:val="nil"/>
              <w:left w:val="nil"/>
              <w:bottom w:val="nil"/>
              <w:right w:val="nil"/>
            </w:tcBorders>
            <w:shd w:val="clear" w:color="000000" w:fill="D9D9D9"/>
            <w:noWrap/>
            <w:vAlign w:val="bottom"/>
            <w:hideMark/>
          </w:tcPr>
          <w:p w:rsidR="003E6989" w:rsidRDefault="003E6989" w:rsidP="003E6989">
            <w:pPr>
              <w:ind w:firstLineChars="300" w:firstLine="540"/>
              <w:rPr>
                <w:rFonts w:cs="Calibri"/>
                <w:szCs w:val="18"/>
              </w:rPr>
            </w:pPr>
            <w:r>
              <w:rPr>
                <w:rFonts w:cs="Calibri"/>
                <w:szCs w:val="18"/>
              </w:rPr>
              <w:t>Impairment</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(17,242)</w:t>
            </w:r>
          </w:p>
        </w:tc>
        <w:tc>
          <w:tcPr>
            <w:tcW w:w="261"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(9,496)</w:t>
            </w:r>
          </w:p>
        </w:tc>
      </w:tr>
      <w:tr w:rsidR="003E6989" w:rsidTr="006A5410">
        <w:trPr>
          <w:trHeight w:val="255"/>
        </w:trPr>
        <w:tc>
          <w:tcPr>
            <w:tcW w:w="4196" w:type="dxa"/>
            <w:tcBorders>
              <w:top w:val="nil"/>
              <w:left w:val="nil"/>
              <w:bottom w:val="nil"/>
              <w:right w:val="nil"/>
            </w:tcBorders>
            <w:shd w:val="clear" w:color="000000" w:fill="D9D9D9"/>
            <w:noWrap/>
            <w:vAlign w:val="bottom"/>
            <w:hideMark/>
          </w:tcPr>
          <w:p w:rsidR="003E6989" w:rsidRDefault="003E6989" w:rsidP="003E6989">
            <w:pPr>
              <w:ind w:firstLineChars="300" w:firstLine="540"/>
              <w:rPr>
                <w:rFonts w:cs="Calibri"/>
                <w:szCs w:val="18"/>
              </w:rPr>
            </w:pPr>
            <w:r>
              <w:rPr>
                <w:rFonts w:cs="Calibri"/>
                <w:szCs w:val="18"/>
              </w:rPr>
              <w:t>Principal repayment</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2 </w:t>
            </w:r>
          </w:p>
        </w:tc>
        <w:tc>
          <w:tcPr>
            <w:tcW w:w="261"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c>
          <w:tcPr>
            <w:tcW w:w="125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(3)</w:t>
            </w:r>
          </w:p>
        </w:tc>
      </w:tr>
      <w:tr w:rsidR="003E6989" w:rsidTr="006A5410">
        <w:trPr>
          <w:trHeight w:val="255"/>
        </w:trPr>
        <w:tc>
          <w:tcPr>
            <w:tcW w:w="4196"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Carrying amount</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145,680</w:t>
            </w:r>
          </w:p>
        </w:tc>
        <w:tc>
          <w:tcPr>
            <w:tcW w:w="261"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52,960</w:t>
            </w:r>
          </w:p>
        </w:tc>
      </w:tr>
      <w:tr w:rsidR="003E6989" w:rsidTr="006A5410">
        <w:trPr>
          <w:trHeight w:val="270"/>
        </w:trPr>
        <w:tc>
          <w:tcPr>
            <w:tcW w:w="4196" w:type="dxa"/>
            <w:tcBorders>
              <w:top w:val="nil"/>
              <w:left w:val="nil"/>
              <w:bottom w:val="nil"/>
              <w:right w:val="nil"/>
            </w:tcBorders>
            <w:shd w:val="clear" w:color="000000" w:fill="D9D9D9"/>
            <w:noWrap/>
            <w:vAlign w:val="bottom"/>
            <w:hideMark/>
          </w:tcPr>
          <w:p w:rsidR="003E6989" w:rsidRDefault="003E6989" w:rsidP="006A5410">
            <w:pPr>
              <w:rPr>
                <w:rFonts w:cs="Calibri"/>
                <w:b/>
                <w:bCs/>
                <w:i/>
                <w:iCs/>
                <w:szCs w:val="18"/>
              </w:rPr>
            </w:pPr>
            <w:r>
              <w:rPr>
                <w:rFonts w:cs="Calibri"/>
                <w:b/>
                <w:bCs/>
                <w:i/>
                <w:iCs/>
                <w:szCs w:val="18"/>
              </w:rPr>
              <w:t>Total Concessional loans</w:t>
            </w:r>
          </w:p>
        </w:tc>
        <w:tc>
          <w:tcPr>
            <w:tcW w:w="1256" w:type="dxa"/>
            <w:tcBorders>
              <w:top w:val="nil"/>
              <w:left w:val="nil"/>
              <w:bottom w:val="double" w:sz="6"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36,953,927</w:t>
            </w:r>
          </w:p>
        </w:tc>
        <w:tc>
          <w:tcPr>
            <w:tcW w:w="261" w:type="dxa"/>
            <w:tcBorders>
              <w:top w:val="nil"/>
              <w:left w:val="nil"/>
              <w:bottom w:val="single" w:sz="4" w:space="0" w:color="D9D9D9"/>
              <w:right w:val="nil"/>
            </w:tcBorders>
            <w:shd w:val="clear" w:color="000000" w:fill="D9D9D9"/>
            <w:noWrap/>
            <w:vAlign w:val="bottom"/>
            <w:hideMark/>
          </w:tcPr>
          <w:p w:rsidR="003E6989" w:rsidRDefault="003E6989" w:rsidP="006A5410">
            <w:pPr>
              <w:rPr>
                <w:rFonts w:ascii="Arial" w:hAnsi="Arial" w:cs="Arial"/>
                <w:sz w:val="16"/>
                <w:szCs w:val="16"/>
              </w:rPr>
            </w:pPr>
            <w:r>
              <w:rPr>
                <w:rFonts w:ascii="Arial" w:hAnsi="Arial" w:cs="Arial"/>
                <w:sz w:val="16"/>
                <w:szCs w:val="16"/>
              </w:rPr>
              <w:t> </w:t>
            </w:r>
          </w:p>
        </w:tc>
        <w:tc>
          <w:tcPr>
            <w:tcW w:w="1256" w:type="dxa"/>
            <w:tcBorders>
              <w:top w:val="nil"/>
              <w:left w:val="nil"/>
              <w:bottom w:val="double" w:sz="6"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30,497,818</w:t>
            </w:r>
          </w:p>
        </w:tc>
      </w:tr>
    </w:tbl>
    <w:p w:rsidR="003E6989" w:rsidRDefault="003E6989" w:rsidP="003E6989"/>
    <w:p w:rsidR="003E6989" w:rsidRDefault="003E6989" w:rsidP="003E6989"/>
    <w:p w:rsidR="003E6989" w:rsidRPr="00080C34" w:rsidRDefault="003E6989" w:rsidP="003E6989">
      <w:pPr>
        <w:sectPr w:rsidR="003E6989" w:rsidRPr="00080C34" w:rsidSect="006A5410">
          <w:pgSz w:w="11906" w:h="16838"/>
          <w:pgMar w:top="1134" w:right="1134" w:bottom="1134" w:left="1134" w:header="958" w:footer="737" w:gutter="0"/>
          <w:cols w:space="720"/>
        </w:sectPr>
      </w:pPr>
    </w:p>
    <w:p w:rsidR="003E6989" w:rsidRDefault="003E6989" w:rsidP="003E6989">
      <w:pPr>
        <w:pStyle w:val="SubHeading"/>
      </w:pPr>
      <w:bookmarkStart w:id="672" w:name="RANGE!D6:F24"/>
      <w:bookmarkStart w:id="673" w:name="RANGE!D6:F25"/>
      <w:bookmarkStart w:id="674" w:name="RANGE!D6:F22"/>
      <w:bookmarkStart w:id="675" w:name="RANGE!D6:F23"/>
      <w:bookmarkStart w:id="676" w:name="_Toc455416757"/>
      <w:bookmarkStart w:id="677" w:name="_Toc464726648"/>
      <w:bookmarkEnd w:id="672"/>
      <w:bookmarkEnd w:id="673"/>
      <w:bookmarkEnd w:id="674"/>
      <w:bookmarkEnd w:id="675"/>
      <w:r>
        <w:t>Fair Value Measurement</w:t>
      </w:r>
      <w:bookmarkEnd w:id="676"/>
      <w:bookmarkEnd w:id="677"/>
    </w:p>
    <w:tbl>
      <w:tblPr>
        <w:tblW w:w="13606" w:type="dxa"/>
        <w:tblInd w:w="80" w:type="dxa"/>
        <w:tblLayout w:type="fixed"/>
        <w:tblCellMar>
          <w:left w:w="6" w:type="dxa"/>
          <w:right w:w="6" w:type="dxa"/>
        </w:tblCellMar>
        <w:tblLook w:val="04A0" w:firstRow="1" w:lastRow="0" w:firstColumn="1" w:lastColumn="0" w:noHBand="0" w:noVBand="1"/>
      </w:tblPr>
      <w:tblGrid>
        <w:gridCol w:w="3096"/>
        <w:gridCol w:w="1201"/>
        <w:gridCol w:w="1127"/>
        <w:gridCol w:w="1915"/>
        <w:gridCol w:w="2358"/>
        <w:gridCol w:w="3909"/>
      </w:tblGrid>
      <w:tr w:rsidR="003E6989" w:rsidTr="006A5410">
        <w:trPr>
          <w:trHeight w:val="227"/>
        </w:trPr>
        <w:tc>
          <w:tcPr>
            <w:tcW w:w="13606" w:type="dxa"/>
            <w:gridSpan w:val="6"/>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bookmarkStart w:id="678" w:name="Note_FIMTABLE1" w:colFirst="0" w:colLast="0"/>
            <w:r>
              <w:rPr>
                <w:rFonts w:cs="Calibri"/>
                <w:szCs w:val="18"/>
              </w:rPr>
              <w:t>The following tables provide an analysis of assets and liabilities that are measured at fair value.</w:t>
            </w:r>
          </w:p>
        </w:tc>
      </w:tr>
      <w:bookmarkEnd w:id="678"/>
      <w:tr w:rsidR="003E6989" w:rsidTr="006A5410">
        <w:trPr>
          <w:trHeight w:val="227"/>
        </w:trPr>
        <w:tc>
          <w:tcPr>
            <w:tcW w:w="13606" w:type="dxa"/>
            <w:gridSpan w:val="6"/>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The different levels of the fair value hierarchy are defined below.</w:t>
            </w:r>
          </w:p>
        </w:tc>
      </w:tr>
      <w:tr w:rsidR="003E6989" w:rsidTr="006A5410">
        <w:trPr>
          <w:trHeight w:val="227"/>
        </w:trPr>
        <w:tc>
          <w:tcPr>
            <w:tcW w:w="13606" w:type="dxa"/>
            <w:gridSpan w:val="6"/>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Level 1: Quoted prices (unadjusted) in active markets for identical assets or liabilities that the department can access at measurement date.</w:t>
            </w:r>
          </w:p>
        </w:tc>
      </w:tr>
      <w:tr w:rsidR="003E6989" w:rsidTr="006A5410">
        <w:trPr>
          <w:trHeight w:val="227"/>
        </w:trPr>
        <w:tc>
          <w:tcPr>
            <w:tcW w:w="13606" w:type="dxa"/>
            <w:gridSpan w:val="6"/>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Level 2: Inputs other than quoted prices included within Level 1 that are observable for the asset or liability, either directly or indirectly.</w:t>
            </w:r>
          </w:p>
        </w:tc>
      </w:tr>
      <w:tr w:rsidR="003E6989" w:rsidTr="006A5410">
        <w:trPr>
          <w:trHeight w:val="227"/>
        </w:trPr>
        <w:tc>
          <w:tcPr>
            <w:tcW w:w="13606" w:type="dxa"/>
            <w:gridSpan w:val="6"/>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Level 3: Unobservable inputs for the asset or liability.</w:t>
            </w:r>
          </w:p>
        </w:tc>
      </w:tr>
      <w:tr w:rsidR="003E6989" w:rsidTr="006A5410">
        <w:trPr>
          <w:trHeight w:val="227"/>
        </w:trPr>
        <w:tc>
          <w:tcPr>
            <w:tcW w:w="13606" w:type="dxa"/>
            <w:gridSpan w:val="6"/>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b/>
                <w:bCs/>
                <w:szCs w:val="18"/>
                <w:u w:val="single"/>
              </w:rPr>
            </w:pPr>
            <w:r>
              <w:rPr>
                <w:rFonts w:cs="Calibri"/>
                <w:b/>
                <w:bCs/>
                <w:szCs w:val="18"/>
                <w:u w:val="single"/>
              </w:rPr>
              <w:t>7.4A: Fair value measurements, valuation techniques and inputs used</w:t>
            </w:r>
          </w:p>
        </w:tc>
      </w:tr>
      <w:tr w:rsidR="003E6989" w:rsidTr="006A5410">
        <w:trPr>
          <w:trHeight w:val="227"/>
        </w:trPr>
        <w:tc>
          <w:tcPr>
            <w:tcW w:w="3096"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120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1127"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1915"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2358"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c>
          <w:tcPr>
            <w:tcW w:w="3909" w:type="dxa"/>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szCs w:val="18"/>
              </w:rPr>
            </w:pPr>
            <w:r>
              <w:rPr>
                <w:rFonts w:cs="Calibri"/>
                <w:szCs w:val="18"/>
              </w:rPr>
              <w:t> </w:t>
            </w:r>
          </w:p>
        </w:tc>
      </w:tr>
      <w:tr w:rsidR="003E6989" w:rsidTr="006A5410">
        <w:trPr>
          <w:trHeight w:val="227"/>
        </w:trPr>
        <w:tc>
          <w:tcPr>
            <w:tcW w:w="13606" w:type="dxa"/>
            <w:gridSpan w:val="6"/>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rPr>
                <w:rFonts w:cs="Calibri"/>
                <w:b/>
                <w:bCs/>
                <w:szCs w:val="18"/>
              </w:rPr>
            </w:pPr>
            <w:r>
              <w:rPr>
                <w:rFonts w:cs="Calibri"/>
                <w:b/>
                <w:bCs/>
                <w:szCs w:val="18"/>
              </w:rPr>
              <w:t>Fair value measurements at 30 June 2016 by hierarchy for assets and liabilities</w:t>
            </w:r>
          </w:p>
        </w:tc>
      </w:tr>
      <w:tr w:rsidR="003E6989" w:rsidTr="006A5410">
        <w:trPr>
          <w:trHeight w:val="227"/>
        </w:trPr>
        <w:tc>
          <w:tcPr>
            <w:tcW w:w="3096"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w:t>
            </w:r>
          </w:p>
        </w:tc>
        <w:tc>
          <w:tcPr>
            <w:tcW w:w="4243" w:type="dxa"/>
            <w:gridSpan w:val="3"/>
            <w:tcBorders>
              <w:top w:val="single" w:sz="4" w:space="0" w:color="auto"/>
              <w:left w:val="nil"/>
              <w:bottom w:val="single" w:sz="4" w:space="0" w:color="auto"/>
              <w:right w:val="single" w:sz="4" w:space="0" w:color="000000"/>
            </w:tcBorders>
            <w:shd w:val="clear" w:color="FFFFFF" w:fill="FFFFFF"/>
            <w:vAlign w:val="bottom"/>
            <w:hideMark/>
          </w:tcPr>
          <w:p w:rsidR="003E6989" w:rsidRDefault="003E6989" w:rsidP="006A5410">
            <w:pPr>
              <w:spacing w:line="240" w:lineRule="auto"/>
              <w:jc w:val="center"/>
              <w:rPr>
                <w:rFonts w:cs="Calibri"/>
                <w:b/>
                <w:bCs/>
                <w:szCs w:val="18"/>
              </w:rPr>
            </w:pPr>
            <w:r>
              <w:rPr>
                <w:rFonts w:cs="Calibri"/>
                <w:b/>
                <w:bCs/>
                <w:szCs w:val="18"/>
              </w:rPr>
              <w:t>Fair value measurements at the end of the reporting period using</w:t>
            </w:r>
          </w:p>
        </w:tc>
        <w:tc>
          <w:tcPr>
            <w:tcW w:w="2358" w:type="dxa"/>
            <w:vMerge w:val="restart"/>
            <w:tcBorders>
              <w:top w:val="nil"/>
              <w:left w:val="single" w:sz="4" w:space="0" w:color="auto"/>
              <w:bottom w:val="nil"/>
              <w:right w:val="nil"/>
            </w:tcBorders>
            <w:shd w:val="clear" w:color="FFFFFF" w:fill="FFFFFF"/>
            <w:vAlign w:val="bottom"/>
            <w:hideMark/>
          </w:tcPr>
          <w:p w:rsidR="003E6989" w:rsidRDefault="003E6989" w:rsidP="006A5410">
            <w:pPr>
              <w:spacing w:line="240" w:lineRule="auto"/>
              <w:jc w:val="right"/>
              <w:rPr>
                <w:rFonts w:cs="Calibri"/>
                <w:b/>
                <w:bCs/>
                <w:szCs w:val="18"/>
              </w:rPr>
            </w:pPr>
            <w:r>
              <w:rPr>
                <w:rFonts w:cs="Calibri"/>
                <w:b/>
                <w:bCs/>
                <w:szCs w:val="18"/>
              </w:rPr>
              <w:t>Valuation Technique</w:t>
            </w:r>
            <w:r>
              <w:rPr>
                <w:rFonts w:cs="Calibri"/>
                <w:b/>
                <w:bCs/>
                <w:szCs w:val="18"/>
                <w:vertAlign w:val="superscript"/>
              </w:rPr>
              <w:t>2</w:t>
            </w:r>
          </w:p>
        </w:tc>
        <w:tc>
          <w:tcPr>
            <w:tcW w:w="3909" w:type="dxa"/>
            <w:vMerge w:val="restart"/>
            <w:tcBorders>
              <w:top w:val="nil"/>
              <w:left w:val="nil"/>
              <w:bottom w:val="nil"/>
              <w:right w:val="nil"/>
            </w:tcBorders>
            <w:shd w:val="clear" w:color="FFFFFF" w:fill="FFFFFF"/>
            <w:vAlign w:val="bottom"/>
            <w:hideMark/>
          </w:tcPr>
          <w:p w:rsidR="003E6989" w:rsidRDefault="003E6989" w:rsidP="006A5410">
            <w:pPr>
              <w:spacing w:line="240" w:lineRule="auto"/>
              <w:jc w:val="right"/>
              <w:rPr>
                <w:rFonts w:cs="Calibri"/>
                <w:b/>
                <w:bCs/>
                <w:szCs w:val="18"/>
              </w:rPr>
            </w:pPr>
            <w:r>
              <w:rPr>
                <w:rFonts w:cs="Calibri"/>
                <w:b/>
                <w:bCs/>
                <w:szCs w:val="18"/>
              </w:rPr>
              <w:t>Inputs Used</w:t>
            </w:r>
          </w:p>
        </w:tc>
      </w:tr>
      <w:tr w:rsidR="003E6989" w:rsidTr="006A5410">
        <w:trPr>
          <w:trHeight w:val="227"/>
        </w:trPr>
        <w:tc>
          <w:tcPr>
            <w:tcW w:w="3096"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w:t>
            </w:r>
          </w:p>
        </w:tc>
        <w:tc>
          <w:tcPr>
            <w:tcW w:w="1201" w:type="dxa"/>
            <w:tcBorders>
              <w:top w:val="nil"/>
              <w:left w:val="nil"/>
              <w:bottom w:val="nil"/>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2016</w:t>
            </w:r>
          </w:p>
        </w:tc>
        <w:tc>
          <w:tcPr>
            <w:tcW w:w="1127" w:type="dxa"/>
            <w:tcBorders>
              <w:top w:val="nil"/>
              <w:left w:val="nil"/>
              <w:bottom w:val="nil"/>
              <w:right w:val="nil"/>
            </w:tcBorders>
            <w:shd w:val="clear" w:color="FFFFFF" w:fill="FFFFFF"/>
            <w:noWrap/>
            <w:vAlign w:val="bottom"/>
            <w:hideMark/>
          </w:tcPr>
          <w:p w:rsidR="003E6989" w:rsidRPr="00141069" w:rsidRDefault="003E6989" w:rsidP="006A5410">
            <w:pPr>
              <w:spacing w:line="240" w:lineRule="auto"/>
              <w:jc w:val="right"/>
              <w:rPr>
                <w:rFonts w:cs="Calibri"/>
                <w:bCs/>
                <w:szCs w:val="18"/>
              </w:rPr>
            </w:pPr>
            <w:r w:rsidRPr="00141069">
              <w:rPr>
                <w:rFonts w:cs="Calibri"/>
                <w:bCs/>
                <w:szCs w:val="18"/>
              </w:rPr>
              <w:t>2015</w:t>
            </w:r>
          </w:p>
        </w:tc>
        <w:tc>
          <w:tcPr>
            <w:tcW w:w="1915" w:type="dxa"/>
            <w:vMerge w:val="restart"/>
            <w:tcBorders>
              <w:top w:val="nil"/>
              <w:left w:val="nil"/>
              <w:bottom w:val="single" w:sz="4" w:space="0" w:color="000000"/>
              <w:right w:val="single" w:sz="4" w:space="0" w:color="auto"/>
            </w:tcBorders>
            <w:shd w:val="clear" w:color="FFFFFF" w:fill="FFFFFF"/>
            <w:vAlign w:val="bottom"/>
            <w:hideMark/>
          </w:tcPr>
          <w:p w:rsidR="003E6989" w:rsidRDefault="003E6989" w:rsidP="006A5410">
            <w:pPr>
              <w:spacing w:line="240" w:lineRule="auto"/>
              <w:jc w:val="right"/>
              <w:rPr>
                <w:rFonts w:cs="Calibri"/>
                <w:b/>
                <w:bCs/>
                <w:szCs w:val="18"/>
              </w:rPr>
            </w:pPr>
            <w:r>
              <w:rPr>
                <w:rFonts w:cs="Calibri"/>
                <w:b/>
                <w:bCs/>
                <w:szCs w:val="18"/>
              </w:rPr>
              <w:t>Category (Level 1, 2 or 3)</w:t>
            </w:r>
          </w:p>
        </w:tc>
        <w:tc>
          <w:tcPr>
            <w:tcW w:w="2358" w:type="dxa"/>
            <w:vMerge/>
            <w:tcBorders>
              <w:top w:val="nil"/>
              <w:left w:val="single" w:sz="4" w:space="0" w:color="auto"/>
              <w:bottom w:val="nil"/>
              <w:right w:val="nil"/>
            </w:tcBorders>
            <w:vAlign w:val="center"/>
            <w:hideMark/>
          </w:tcPr>
          <w:p w:rsidR="003E6989" w:rsidRDefault="003E6989" w:rsidP="006A5410">
            <w:pPr>
              <w:spacing w:line="240" w:lineRule="auto"/>
              <w:rPr>
                <w:rFonts w:cs="Calibri"/>
                <w:b/>
                <w:bCs/>
                <w:szCs w:val="18"/>
              </w:rPr>
            </w:pPr>
          </w:p>
        </w:tc>
        <w:tc>
          <w:tcPr>
            <w:tcW w:w="3909" w:type="dxa"/>
            <w:vMerge/>
            <w:tcBorders>
              <w:top w:val="nil"/>
              <w:left w:val="nil"/>
              <w:bottom w:val="nil"/>
              <w:right w:val="nil"/>
            </w:tcBorders>
            <w:vAlign w:val="center"/>
            <w:hideMark/>
          </w:tcPr>
          <w:p w:rsidR="003E6989" w:rsidRDefault="003E6989" w:rsidP="006A5410">
            <w:pPr>
              <w:spacing w:line="240" w:lineRule="auto"/>
              <w:rPr>
                <w:rFonts w:cs="Calibri"/>
                <w:b/>
                <w:bCs/>
                <w:szCs w:val="18"/>
              </w:rPr>
            </w:pPr>
          </w:p>
        </w:tc>
      </w:tr>
      <w:tr w:rsidR="003E6989" w:rsidTr="006A5410">
        <w:trPr>
          <w:trHeight w:val="227"/>
        </w:trPr>
        <w:tc>
          <w:tcPr>
            <w:tcW w:w="3096"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1201"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$'000</w:t>
            </w:r>
          </w:p>
        </w:tc>
        <w:tc>
          <w:tcPr>
            <w:tcW w:w="1127" w:type="dxa"/>
            <w:tcBorders>
              <w:top w:val="nil"/>
              <w:left w:val="nil"/>
              <w:bottom w:val="single" w:sz="4" w:space="0" w:color="auto"/>
              <w:right w:val="nil"/>
            </w:tcBorders>
            <w:shd w:val="clear" w:color="FFFFFF" w:fill="FFFFFF"/>
            <w:noWrap/>
            <w:vAlign w:val="bottom"/>
            <w:hideMark/>
          </w:tcPr>
          <w:p w:rsidR="003E6989" w:rsidRPr="00141069" w:rsidRDefault="003E6989" w:rsidP="006A5410">
            <w:pPr>
              <w:spacing w:line="240" w:lineRule="auto"/>
              <w:jc w:val="right"/>
              <w:rPr>
                <w:rFonts w:cs="Calibri"/>
                <w:bCs/>
                <w:szCs w:val="18"/>
              </w:rPr>
            </w:pPr>
            <w:r w:rsidRPr="00141069">
              <w:rPr>
                <w:rFonts w:cs="Calibri"/>
                <w:bCs/>
                <w:szCs w:val="18"/>
              </w:rPr>
              <w:t>$'000</w:t>
            </w:r>
          </w:p>
        </w:tc>
        <w:tc>
          <w:tcPr>
            <w:tcW w:w="1915" w:type="dxa"/>
            <w:vMerge/>
            <w:tcBorders>
              <w:top w:val="nil"/>
              <w:left w:val="nil"/>
              <w:bottom w:val="single" w:sz="4" w:space="0" w:color="000000"/>
              <w:right w:val="single" w:sz="4" w:space="0" w:color="auto"/>
            </w:tcBorders>
            <w:vAlign w:val="center"/>
            <w:hideMark/>
          </w:tcPr>
          <w:p w:rsidR="003E6989" w:rsidRDefault="003E6989" w:rsidP="006A5410">
            <w:pPr>
              <w:spacing w:line="240" w:lineRule="auto"/>
              <w:rPr>
                <w:rFonts w:cs="Calibri"/>
                <w:b/>
                <w:bCs/>
                <w:szCs w:val="18"/>
              </w:rPr>
            </w:pPr>
          </w:p>
        </w:tc>
        <w:tc>
          <w:tcPr>
            <w:tcW w:w="2358"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$'000</w:t>
            </w:r>
          </w:p>
        </w:tc>
        <w:tc>
          <w:tcPr>
            <w:tcW w:w="3909"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$'000</w:t>
            </w:r>
          </w:p>
        </w:tc>
      </w:tr>
      <w:tr w:rsidR="003E6989" w:rsidTr="006A5410">
        <w:trPr>
          <w:trHeight w:val="227"/>
        </w:trPr>
        <w:tc>
          <w:tcPr>
            <w:tcW w:w="3096"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Non-financial assets</w:t>
            </w:r>
          </w:p>
        </w:tc>
        <w:tc>
          <w:tcPr>
            <w:tcW w:w="120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1127"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1915"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2358"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3909"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r>
      <w:tr w:rsidR="003E6989" w:rsidTr="006A5410">
        <w:trPr>
          <w:trHeight w:val="227"/>
        </w:trPr>
        <w:tc>
          <w:tcPr>
            <w:tcW w:w="3096" w:type="dxa"/>
            <w:tcBorders>
              <w:top w:val="nil"/>
              <w:left w:val="nil"/>
              <w:bottom w:val="single" w:sz="4" w:space="0" w:color="auto"/>
              <w:right w:val="nil"/>
            </w:tcBorders>
            <w:shd w:val="clear" w:color="FFFFFF" w:fill="FFFFFF"/>
            <w:noWrap/>
            <w:vAlign w:val="bottom"/>
            <w:hideMark/>
          </w:tcPr>
          <w:p w:rsidR="003E6989" w:rsidRDefault="003E6989" w:rsidP="003E6989">
            <w:pPr>
              <w:spacing w:line="240" w:lineRule="auto"/>
              <w:ind w:firstLineChars="100" w:firstLine="180"/>
              <w:rPr>
                <w:rFonts w:cs="Calibri"/>
                <w:szCs w:val="18"/>
              </w:rPr>
            </w:pPr>
            <w:r>
              <w:rPr>
                <w:rFonts w:cs="Calibri"/>
                <w:szCs w:val="18"/>
              </w:rPr>
              <w:t>Land</w:t>
            </w:r>
          </w:p>
        </w:tc>
        <w:tc>
          <w:tcPr>
            <w:tcW w:w="1201"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170 </w:t>
            </w:r>
          </w:p>
        </w:tc>
        <w:tc>
          <w:tcPr>
            <w:tcW w:w="1127"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200 </w:t>
            </w:r>
          </w:p>
        </w:tc>
        <w:tc>
          <w:tcPr>
            <w:tcW w:w="1915"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2 </w:t>
            </w:r>
          </w:p>
        </w:tc>
        <w:tc>
          <w:tcPr>
            <w:tcW w:w="2358"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Market Approach</w:t>
            </w:r>
          </w:p>
        </w:tc>
        <w:tc>
          <w:tcPr>
            <w:tcW w:w="3909"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Adjusted market transactions</w:t>
            </w:r>
          </w:p>
        </w:tc>
      </w:tr>
      <w:tr w:rsidR="003E6989" w:rsidTr="006A5410">
        <w:trPr>
          <w:trHeight w:val="227"/>
        </w:trPr>
        <w:tc>
          <w:tcPr>
            <w:tcW w:w="3096" w:type="dxa"/>
            <w:tcBorders>
              <w:top w:val="nil"/>
              <w:left w:val="nil"/>
              <w:bottom w:val="nil"/>
              <w:right w:val="nil"/>
            </w:tcBorders>
            <w:shd w:val="clear" w:color="FFFFFF" w:fill="FFFFFF"/>
            <w:noWrap/>
            <w:vAlign w:val="center"/>
            <w:hideMark/>
          </w:tcPr>
          <w:p w:rsidR="003E6989" w:rsidRDefault="003E6989" w:rsidP="003E6989">
            <w:pPr>
              <w:spacing w:line="240" w:lineRule="auto"/>
              <w:ind w:firstLineChars="100" w:firstLine="180"/>
              <w:rPr>
                <w:rFonts w:cs="Calibri"/>
                <w:szCs w:val="18"/>
              </w:rPr>
            </w:pPr>
            <w:r>
              <w:rPr>
                <w:rFonts w:cs="Calibri"/>
                <w:szCs w:val="18"/>
              </w:rPr>
              <w:t>Buildings</w:t>
            </w:r>
          </w:p>
        </w:tc>
        <w:tc>
          <w:tcPr>
            <w:tcW w:w="1201"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230 </w:t>
            </w:r>
          </w:p>
        </w:tc>
        <w:tc>
          <w:tcPr>
            <w:tcW w:w="1127"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242 </w:t>
            </w:r>
          </w:p>
        </w:tc>
        <w:tc>
          <w:tcPr>
            <w:tcW w:w="1915"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2 </w:t>
            </w:r>
          </w:p>
        </w:tc>
        <w:tc>
          <w:tcPr>
            <w:tcW w:w="2358"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Market Approach</w:t>
            </w:r>
          </w:p>
        </w:tc>
        <w:tc>
          <w:tcPr>
            <w:tcW w:w="3909"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Adjusted market transactions</w:t>
            </w:r>
          </w:p>
        </w:tc>
      </w:tr>
      <w:tr w:rsidR="003E6989" w:rsidTr="006A5410">
        <w:trPr>
          <w:trHeight w:val="227"/>
        </w:trPr>
        <w:tc>
          <w:tcPr>
            <w:tcW w:w="3096" w:type="dxa"/>
            <w:vMerge w:val="restart"/>
            <w:tcBorders>
              <w:top w:val="single" w:sz="4" w:space="0" w:color="auto"/>
              <w:left w:val="nil"/>
              <w:bottom w:val="single" w:sz="4" w:space="0" w:color="000000"/>
              <w:right w:val="nil"/>
            </w:tcBorders>
            <w:shd w:val="clear" w:color="FFFFFF" w:fill="FFFFFF"/>
            <w:noWrap/>
            <w:vAlign w:val="center"/>
            <w:hideMark/>
          </w:tcPr>
          <w:p w:rsidR="003E6989" w:rsidRDefault="003E6989" w:rsidP="003E6989">
            <w:pPr>
              <w:spacing w:line="240" w:lineRule="auto"/>
              <w:ind w:firstLineChars="100" w:firstLine="180"/>
              <w:rPr>
                <w:rFonts w:cs="Calibri"/>
                <w:szCs w:val="18"/>
              </w:rPr>
            </w:pPr>
            <w:r>
              <w:rPr>
                <w:rFonts w:cs="Calibri"/>
                <w:szCs w:val="18"/>
              </w:rPr>
              <w:t>Leasehold Improvements</w:t>
            </w:r>
          </w:p>
        </w:tc>
        <w:tc>
          <w:tcPr>
            <w:tcW w:w="1201"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35,640 </w:t>
            </w:r>
          </w:p>
        </w:tc>
        <w:tc>
          <w:tcPr>
            <w:tcW w:w="1127"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40,537 </w:t>
            </w:r>
          </w:p>
        </w:tc>
        <w:tc>
          <w:tcPr>
            <w:tcW w:w="1915"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3 </w:t>
            </w:r>
          </w:p>
        </w:tc>
        <w:tc>
          <w:tcPr>
            <w:tcW w:w="2358"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Depreciated Replacement Cost</w:t>
            </w:r>
          </w:p>
        </w:tc>
        <w:tc>
          <w:tcPr>
            <w:tcW w:w="3909"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Replacement Cost New ( price per sqm) Useful life ( consumed economic benefit/ obsolescence of asset)</w:t>
            </w:r>
          </w:p>
        </w:tc>
      </w:tr>
      <w:tr w:rsidR="003E6989" w:rsidTr="006A5410">
        <w:trPr>
          <w:trHeight w:val="227"/>
        </w:trPr>
        <w:tc>
          <w:tcPr>
            <w:tcW w:w="3096" w:type="dxa"/>
            <w:vMerge/>
            <w:tcBorders>
              <w:top w:val="single" w:sz="4" w:space="0" w:color="auto"/>
              <w:left w:val="nil"/>
              <w:bottom w:val="single" w:sz="4" w:space="0" w:color="000000"/>
              <w:right w:val="nil"/>
            </w:tcBorders>
            <w:vAlign w:val="center"/>
            <w:hideMark/>
          </w:tcPr>
          <w:p w:rsidR="003E6989" w:rsidRDefault="003E6989" w:rsidP="006A5410">
            <w:pPr>
              <w:spacing w:line="240" w:lineRule="auto"/>
              <w:rPr>
                <w:rFonts w:cs="Calibri"/>
                <w:szCs w:val="18"/>
              </w:rPr>
            </w:pPr>
          </w:p>
        </w:tc>
        <w:tc>
          <w:tcPr>
            <w:tcW w:w="1201"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215</w:t>
            </w:r>
            <w:r w:rsidRPr="005E695B">
              <w:rPr>
                <w:rFonts w:cs="Calibri"/>
                <w:b/>
                <w:bCs/>
                <w:szCs w:val="18"/>
                <w:vertAlign w:val="superscript"/>
              </w:rPr>
              <w:t>3</w:t>
            </w:r>
            <w:r>
              <w:rPr>
                <w:rFonts w:cs="Calibri"/>
                <w:b/>
                <w:bCs/>
                <w:szCs w:val="18"/>
              </w:rPr>
              <w:t xml:space="preserve"> </w:t>
            </w:r>
          </w:p>
        </w:tc>
        <w:tc>
          <w:tcPr>
            <w:tcW w:w="1127"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173 </w:t>
            </w:r>
          </w:p>
        </w:tc>
        <w:tc>
          <w:tcPr>
            <w:tcW w:w="1915"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3 </w:t>
            </w:r>
          </w:p>
        </w:tc>
        <w:tc>
          <w:tcPr>
            <w:tcW w:w="2358"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Depreciated Replacement Cost</w:t>
            </w:r>
          </w:p>
        </w:tc>
        <w:tc>
          <w:tcPr>
            <w:tcW w:w="3909"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Current restoration costs (price per square metre) Discount rate  Indexation rates</w:t>
            </w:r>
          </w:p>
        </w:tc>
      </w:tr>
      <w:tr w:rsidR="003E6989" w:rsidTr="006A5410">
        <w:trPr>
          <w:trHeight w:val="227"/>
        </w:trPr>
        <w:tc>
          <w:tcPr>
            <w:tcW w:w="3096" w:type="dxa"/>
            <w:tcBorders>
              <w:top w:val="nil"/>
              <w:left w:val="nil"/>
              <w:bottom w:val="nil"/>
              <w:right w:val="nil"/>
            </w:tcBorders>
            <w:shd w:val="clear" w:color="FFFFFF" w:fill="FFFFFF"/>
            <w:vAlign w:val="center"/>
            <w:hideMark/>
          </w:tcPr>
          <w:p w:rsidR="003E6989" w:rsidRDefault="003E6989" w:rsidP="003E6989">
            <w:pPr>
              <w:spacing w:line="240" w:lineRule="auto"/>
              <w:ind w:firstLineChars="100" w:firstLine="180"/>
              <w:rPr>
                <w:rFonts w:cs="Calibri"/>
                <w:szCs w:val="18"/>
              </w:rPr>
            </w:pPr>
            <w:r>
              <w:rPr>
                <w:rFonts w:cs="Calibri"/>
                <w:szCs w:val="18"/>
              </w:rPr>
              <w:t>Leasehold Improvements - Assets Under Construction</w:t>
            </w:r>
          </w:p>
        </w:tc>
        <w:tc>
          <w:tcPr>
            <w:tcW w:w="1201"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882 </w:t>
            </w:r>
          </w:p>
        </w:tc>
        <w:tc>
          <w:tcPr>
            <w:tcW w:w="1127"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915"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2 </w:t>
            </w:r>
          </w:p>
        </w:tc>
        <w:tc>
          <w:tcPr>
            <w:tcW w:w="2358"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Replacement Cost</w:t>
            </w:r>
          </w:p>
        </w:tc>
        <w:tc>
          <w:tcPr>
            <w:tcW w:w="3909"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Current prices relevant to the location of the asset</w:t>
            </w:r>
          </w:p>
        </w:tc>
      </w:tr>
      <w:tr w:rsidR="003E6989" w:rsidTr="006A5410">
        <w:trPr>
          <w:trHeight w:val="227"/>
        </w:trPr>
        <w:tc>
          <w:tcPr>
            <w:tcW w:w="3096" w:type="dxa"/>
            <w:vMerge w:val="restart"/>
            <w:tcBorders>
              <w:top w:val="single" w:sz="4" w:space="0" w:color="auto"/>
              <w:left w:val="nil"/>
              <w:bottom w:val="nil"/>
              <w:right w:val="nil"/>
            </w:tcBorders>
            <w:shd w:val="clear" w:color="FFFFFF" w:fill="FFFFFF"/>
            <w:vAlign w:val="center"/>
            <w:hideMark/>
          </w:tcPr>
          <w:p w:rsidR="003E6989" w:rsidRDefault="003E6989" w:rsidP="003E6989">
            <w:pPr>
              <w:spacing w:line="240" w:lineRule="auto"/>
              <w:ind w:firstLineChars="100" w:firstLine="180"/>
              <w:rPr>
                <w:rFonts w:cs="Calibri"/>
                <w:szCs w:val="18"/>
              </w:rPr>
            </w:pPr>
            <w:r>
              <w:rPr>
                <w:rFonts w:cs="Calibri"/>
                <w:szCs w:val="18"/>
              </w:rPr>
              <w:t>Infrastructure, plant and equipment</w:t>
            </w:r>
          </w:p>
        </w:tc>
        <w:tc>
          <w:tcPr>
            <w:tcW w:w="1201"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7,404 </w:t>
            </w:r>
          </w:p>
        </w:tc>
        <w:tc>
          <w:tcPr>
            <w:tcW w:w="1127"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4,499 </w:t>
            </w:r>
          </w:p>
        </w:tc>
        <w:tc>
          <w:tcPr>
            <w:tcW w:w="1915"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2 </w:t>
            </w:r>
          </w:p>
        </w:tc>
        <w:tc>
          <w:tcPr>
            <w:tcW w:w="2358"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Market Approach</w:t>
            </w:r>
          </w:p>
        </w:tc>
        <w:tc>
          <w:tcPr>
            <w:tcW w:w="3909"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Adjusted market transactions</w:t>
            </w:r>
          </w:p>
        </w:tc>
      </w:tr>
      <w:tr w:rsidR="003E6989" w:rsidTr="006A5410">
        <w:trPr>
          <w:trHeight w:val="227"/>
        </w:trPr>
        <w:tc>
          <w:tcPr>
            <w:tcW w:w="3096" w:type="dxa"/>
            <w:vMerge/>
            <w:tcBorders>
              <w:top w:val="single" w:sz="4" w:space="0" w:color="auto"/>
              <w:left w:val="nil"/>
              <w:bottom w:val="nil"/>
              <w:right w:val="nil"/>
            </w:tcBorders>
            <w:vAlign w:val="center"/>
            <w:hideMark/>
          </w:tcPr>
          <w:p w:rsidR="003E6989" w:rsidRDefault="003E6989" w:rsidP="006A5410">
            <w:pPr>
              <w:spacing w:line="240" w:lineRule="auto"/>
              <w:rPr>
                <w:rFonts w:cs="Calibri"/>
                <w:szCs w:val="18"/>
              </w:rPr>
            </w:pPr>
          </w:p>
        </w:tc>
        <w:tc>
          <w:tcPr>
            <w:tcW w:w="1201"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4,839 </w:t>
            </w:r>
          </w:p>
        </w:tc>
        <w:tc>
          <w:tcPr>
            <w:tcW w:w="1127"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6,751 </w:t>
            </w:r>
          </w:p>
        </w:tc>
        <w:tc>
          <w:tcPr>
            <w:tcW w:w="1915"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3 </w:t>
            </w:r>
          </w:p>
        </w:tc>
        <w:tc>
          <w:tcPr>
            <w:tcW w:w="2358"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Depreciated Replacement Cost</w:t>
            </w:r>
          </w:p>
        </w:tc>
        <w:tc>
          <w:tcPr>
            <w:tcW w:w="3909"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Replacement Cost New ( price per sqm) Useful life ( consumed economic benefit/ obsolescence of asset)</w:t>
            </w:r>
          </w:p>
        </w:tc>
      </w:tr>
      <w:tr w:rsidR="003E6989" w:rsidTr="006A5410">
        <w:trPr>
          <w:trHeight w:val="227"/>
        </w:trPr>
        <w:tc>
          <w:tcPr>
            <w:tcW w:w="3096" w:type="dxa"/>
            <w:vMerge/>
            <w:tcBorders>
              <w:top w:val="single" w:sz="4" w:space="0" w:color="auto"/>
              <w:left w:val="nil"/>
              <w:bottom w:val="nil"/>
              <w:right w:val="nil"/>
            </w:tcBorders>
            <w:vAlign w:val="center"/>
            <w:hideMark/>
          </w:tcPr>
          <w:p w:rsidR="003E6989" w:rsidRDefault="003E6989" w:rsidP="006A5410">
            <w:pPr>
              <w:spacing w:line="240" w:lineRule="auto"/>
              <w:rPr>
                <w:rFonts w:cs="Calibri"/>
                <w:szCs w:val="18"/>
              </w:rPr>
            </w:pPr>
          </w:p>
        </w:tc>
        <w:tc>
          <w:tcPr>
            <w:tcW w:w="1201"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384 </w:t>
            </w:r>
          </w:p>
        </w:tc>
        <w:tc>
          <w:tcPr>
            <w:tcW w:w="1127"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42 </w:t>
            </w:r>
          </w:p>
        </w:tc>
        <w:tc>
          <w:tcPr>
            <w:tcW w:w="1915"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3 </w:t>
            </w:r>
          </w:p>
        </w:tc>
        <w:tc>
          <w:tcPr>
            <w:tcW w:w="2358"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Market Approach</w:t>
            </w:r>
          </w:p>
        </w:tc>
        <w:tc>
          <w:tcPr>
            <w:tcW w:w="3909"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Adjusted market transactions</w:t>
            </w:r>
          </w:p>
        </w:tc>
      </w:tr>
      <w:tr w:rsidR="003E6989" w:rsidTr="006A5410">
        <w:trPr>
          <w:trHeight w:val="227"/>
        </w:trPr>
        <w:tc>
          <w:tcPr>
            <w:tcW w:w="3096" w:type="dxa"/>
            <w:tcBorders>
              <w:top w:val="single" w:sz="4" w:space="0" w:color="auto"/>
              <w:left w:val="nil"/>
              <w:bottom w:val="single" w:sz="4" w:space="0" w:color="auto"/>
              <w:right w:val="nil"/>
            </w:tcBorders>
            <w:shd w:val="clear" w:color="FFFFFF" w:fill="FFFFFF"/>
            <w:vAlign w:val="center"/>
            <w:hideMark/>
          </w:tcPr>
          <w:p w:rsidR="003E6989" w:rsidRDefault="003E6989" w:rsidP="003E6989">
            <w:pPr>
              <w:spacing w:line="240" w:lineRule="auto"/>
              <w:ind w:firstLineChars="100" w:firstLine="180"/>
              <w:rPr>
                <w:rFonts w:cs="Calibri"/>
                <w:szCs w:val="18"/>
              </w:rPr>
            </w:pPr>
            <w:r>
              <w:rPr>
                <w:rFonts w:cs="Calibri"/>
                <w:szCs w:val="18"/>
              </w:rPr>
              <w:t>Infrastructure, plant and equipment - Assets Under Construction</w:t>
            </w:r>
          </w:p>
        </w:tc>
        <w:tc>
          <w:tcPr>
            <w:tcW w:w="1201"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xml:space="preserve">32 </w:t>
            </w:r>
          </w:p>
        </w:tc>
        <w:tc>
          <w:tcPr>
            <w:tcW w:w="1127"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1915"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szCs w:val="18"/>
              </w:rPr>
            </w:pPr>
            <w:r>
              <w:rPr>
                <w:rFonts w:cs="Calibri"/>
                <w:szCs w:val="18"/>
              </w:rPr>
              <w:t xml:space="preserve">2 </w:t>
            </w:r>
          </w:p>
        </w:tc>
        <w:tc>
          <w:tcPr>
            <w:tcW w:w="2358"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Replacement Cost</w:t>
            </w:r>
          </w:p>
        </w:tc>
        <w:tc>
          <w:tcPr>
            <w:tcW w:w="3909" w:type="dxa"/>
            <w:tcBorders>
              <w:top w:val="nil"/>
              <w:left w:val="nil"/>
              <w:bottom w:val="single" w:sz="4" w:space="0" w:color="auto"/>
              <w:right w:val="nil"/>
            </w:tcBorders>
            <w:shd w:val="clear" w:color="FFFFFF" w:fill="FFFFFF"/>
            <w:vAlign w:val="bottom"/>
            <w:hideMark/>
          </w:tcPr>
          <w:p w:rsidR="003E6989" w:rsidRDefault="003E6989" w:rsidP="006A5410">
            <w:pPr>
              <w:spacing w:line="240" w:lineRule="auto"/>
              <w:jc w:val="right"/>
              <w:rPr>
                <w:rFonts w:cs="Calibri"/>
                <w:szCs w:val="18"/>
              </w:rPr>
            </w:pPr>
            <w:r>
              <w:rPr>
                <w:rFonts w:cs="Calibri"/>
                <w:szCs w:val="18"/>
              </w:rPr>
              <w:t>Current prices relevant to the location of the asset</w:t>
            </w:r>
          </w:p>
        </w:tc>
      </w:tr>
      <w:tr w:rsidR="003E6989" w:rsidTr="006A5410">
        <w:trPr>
          <w:trHeight w:val="227"/>
        </w:trPr>
        <w:tc>
          <w:tcPr>
            <w:tcW w:w="3096"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b/>
                <w:bCs/>
                <w:i/>
                <w:iCs/>
                <w:szCs w:val="18"/>
              </w:rPr>
            </w:pPr>
            <w:r>
              <w:rPr>
                <w:rFonts w:cs="Calibri"/>
                <w:b/>
                <w:bCs/>
                <w:i/>
                <w:iCs/>
                <w:szCs w:val="18"/>
              </w:rPr>
              <w:t>Total non-financial assets</w:t>
            </w:r>
          </w:p>
        </w:tc>
        <w:tc>
          <w:tcPr>
            <w:tcW w:w="1201"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49,796</w:t>
            </w:r>
          </w:p>
        </w:tc>
        <w:tc>
          <w:tcPr>
            <w:tcW w:w="1127" w:type="dxa"/>
            <w:tcBorders>
              <w:top w:val="nil"/>
              <w:left w:val="nil"/>
              <w:bottom w:val="single" w:sz="4" w:space="0" w:color="auto"/>
              <w:right w:val="nil"/>
            </w:tcBorders>
            <w:shd w:val="clear" w:color="FFFFFF" w:fill="FFFFFF"/>
            <w:noWrap/>
            <w:vAlign w:val="bottom"/>
            <w:hideMark/>
          </w:tcPr>
          <w:p w:rsidR="003E6989" w:rsidRPr="00141069" w:rsidRDefault="003E6989" w:rsidP="006A5410">
            <w:pPr>
              <w:spacing w:line="240" w:lineRule="auto"/>
              <w:jc w:val="right"/>
              <w:rPr>
                <w:rFonts w:cs="Calibri"/>
                <w:bCs/>
                <w:szCs w:val="18"/>
              </w:rPr>
            </w:pPr>
            <w:r w:rsidRPr="00141069">
              <w:rPr>
                <w:rFonts w:cs="Calibri"/>
                <w:bCs/>
                <w:szCs w:val="18"/>
              </w:rPr>
              <w:t>52,444</w:t>
            </w:r>
          </w:p>
        </w:tc>
        <w:tc>
          <w:tcPr>
            <w:tcW w:w="1915"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w:t>
            </w:r>
          </w:p>
        </w:tc>
        <w:tc>
          <w:tcPr>
            <w:tcW w:w="2358"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w:t>
            </w:r>
          </w:p>
        </w:tc>
        <w:tc>
          <w:tcPr>
            <w:tcW w:w="3909"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w:t>
            </w:r>
          </w:p>
        </w:tc>
      </w:tr>
      <w:tr w:rsidR="003E6989" w:rsidTr="006A5410">
        <w:trPr>
          <w:trHeight w:val="227"/>
        </w:trPr>
        <w:tc>
          <w:tcPr>
            <w:tcW w:w="3096"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b/>
                <w:bCs/>
                <w:i/>
                <w:iCs/>
                <w:szCs w:val="18"/>
              </w:rPr>
            </w:pPr>
            <w:r>
              <w:rPr>
                <w:rFonts w:cs="Calibri"/>
                <w:b/>
                <w:bCs/>
                <w:i/>
                <w:iCs/>
                <w:szCs w:val="18"/>
              </w:rPr>
              <w:t>Total fair value measurements (assets) in statement of financial position</w:t>
            </w:r>
            <w:r>
              <w:rPr>
                <w:rFonts w:cs="Calibri"/>
                <w:b/>
                <w:bCs/>
                <w:i/>
                <w:iCs/>
                <w:szCs w:val="18"/>
                <w:vertAlign w:val="superscript"/>
              </w:rPr>
              <w:t>1</w:t>
            </w:r>
          </w:p>
        </w:tc>
        <w:tc>
          <w:tcPr>
            <w:tcW w:w="1201"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49,796</w:t>
            </w:r>
          </w:p>
        </w:tc>
        <w:tc>
          <w:tcPr>
            <w:tcW w:w="1127" w:type="dxa"/>
            <w:tcBorders>
              <w:top w:val="nil"/>
              <w:left w:val="nil"/>
              <w:bottom w:val="single" w:sz="4" w:space="0" w:color="auto"/>
              <w:right w:val="nil"/>
            </w:tcBorders>
            <w:shd w:val="clear" w:color="FFFFFF" w:fill="FFFFFF"/>
            <w:noWrap/>
            <w:vAlign w:val="bottom"/>
            <w:hideMark/>
          </w:tcPr>
          <w:p w:rsidR="003E6989" w:rsidRPr="00141069" w:rsidRDefault="003E6989" w:rsidP="006A5410">
            <w:pPr>
              <w:spacing w:line="240" w:lineRule="auto"/>
              <w:jc w:val="right"/>
              <w:rPr>
                <w:rFonts w:cs="Calibri"/>
                <w:bCs/>
                <w:szCs w:val="18"/>
              </w:rPr>
            </w:pPr>
            <w:r w:rsidRPr="00141069">
              <w:rPr>
                <w:rFonts w:cs="Calibri"/>
                <w:bCs/>
                <w:szCs w:val="18"/>
              </w:rPr>
              <w:t>53,445</w:t>
            </w:r>
          </w:p>
        </w:tc>
        <w:tc>
          <w:tcPr>
            <w:tcW w:w="1915"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w:t>
            </w:r>
          </w:p>
        </w:tc>
        <w:tc>
          <w:tcPr>
            <w:tcW w:w="2358"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w:t>
            </w:r>
          </w:p>
        </w:tc>
        <w:tc>
          <w:tcPr>
            <w:tcW w:w="3909" w:type="dxa"/>
            <w:tcBorders>
              <w:top w:val="nil"/>
              <w:left w:val="nil"/>
              <w:bottom w:val="single" w:sz="4" w:space="0" w:color="auto"/>
              <w:right w:val="nil"/>
            </w:tcBorders>
            <w:shd w:val="clear" w:color="FFFFFF" w:fill="FFFFFF"/>
            <w:noWrap/>
            <w:vAlign w:val="bottom"/>
            <w:hideMark/>
          </w:tcPr>
          <w:p w:rsidR="003E6989" w:rsidRDefault="003E6989" w:rsidP="006A5410">
            <w:pPr>
              <w:spacing w:line="240" w:lineRule="auto"/>
              <w:jc w:val="right"/>
              <w:rPr>
                <w:rFonts w:cs="Calibri"/>
                <w:b/>
                <w:bCs/>
                <w:szCs w:val="18"/>
              </w:rPr>
            </w:pPr>
            <w:r>
              <w:rPr>
                <w:rFonts w:cs="Calibri"/>
                <w:b/>
                <w:bCs/>
                <w:szCs w:val="18"/>
              </w:rPr>
              <w:t> </w:t>
            </w:r>
          </w:p>
        </w:tc>
      </w:tr>
      <w:tr w:rsidR="003E6989" w:rsidTr="006A5410">
        <w:trPr>
          <w:trHeight w:val="227"/>
        </w:trPr>
        <w:tc>
          <w:tcPr>
            <w:tcW w:w="3096" w:type="dxa"/>
            <w:tcBorders>
              <w:top w:val="nil"/>
              <w:left w:val="nil"/>
              <w:bottom w:val="nil"/>
              <w:right w:val="nil"/>
            </w:tcBorders>
            <w:shd w:val="clear" w:color="FFFFFF" w:fill="FFFFFF"/>
            <w:vAlign w:val="bottom"/>
            <w:hideMark/>
          </w:tcPr>
          <w:p w:rsidR="003E6989" w:rsidRDefault="003E6989" w:rsidP="006A5410">
            <w:pPr>
              <w:spacing w:line="240" w:lineRule="auto"/>
              <w:rPr>
                <w:rFonts w:cs="Calibri"/>
                <w:b/>
                <w:bCs/>
                <w:szCs w:val="18"/>
              </w:rPr>
            </w:pPr>
            <w:r>
              <w:rPr>
                <w:rFonts w:cs="Calibri"/>
                <w:b/>
                <w:bCs/>
                <w:szCs w:val="18"/>
              </w:rPr>
              <w:t> </w:t>
            </w:r>
          </w:p>
        </w:tc>
        <w:tc>
          <w:tcPr>
            <w:tcW w:w="1201"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1127"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1915"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2358"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c>
          <w:tcPr>
            <w:tcW w:w="3909" w:type="dxa"/>
            <w:tcBorders>
              <w:top w:val="nil"/>
              <w:left w:val="nil"/>
              <w:bottom w:val="nil"/>
              <w:right w:val="nil"/>
            </w:tcBorders>
            <w:shd w:val="clear" w:color="FFFFFF" w:fill="FFFFFF"/>
            <w:noWrap/>
            <w:vAlign w:val="bottom"/>
            <w:hideMark/>
          </w:tcPr>
          <w:p w:rsidR="003E6989" w:rsidRDefault="003E6989" w:rsidP="006A5410">
            <w:pPr>
              <w:spacing w:line="240" w:lineRule="auto"/>
              <w:rPr>
                <w:rFonts w:ascii="Arial" w:hAnsi="Arial" w:cs="Arial"/>
                <w:szCs w:val="18"/>
              </w:rPr>
            </w:pPr>
            <w:r>
              <w:rPr>
                <w:rFonts w:ascii="Arial" w:hAnsi="Arial" w:cs="Arial"/>
                <w:szCs w:val="18"/>
              </w:rPr>
              <w:t> </w:t>
            </w:r>
          </w:p>
        </w:tc>
      </w:tr>
      <w:tr w:rsidR="003E6989" w:rsidTr="006A5410">
        <w:trPr>
          <w:trHeight w:val="227"/>
        </w:trPr>
        <w:tc>
          <w:tcPr>
            <w:tcW w:w="13606" w:type="dxa"/>
            <w:gridSpan w:val="6"/>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sidRPr="005E695B">
              <w:rPr>
                <w:rFonts w:cs="Calibri"/>
                <w:szCs w:val="18"/>
                <w:vertAlign w:val="superscript"/>
              </w:rPr>
              <w:t>1</w:t>
            </w:r>
            <w:r>
              <w:rPr>
                <w:rFonts w:cs="Calibri"/>
                <w:szCs w:val="18"/>
              </w:rPr>
              <w:t>. The Department has a number of assets and liabilities not measured at fair value in the statement of financial position. The carrying amounts of these assets and liabilities are considered to be a reasonable approximation of their fair value.</w:t>
            </w:r>
          </w:p>
        </w:tc>
      </w:tr>
      <w:tr w:rsidR="003E6989" w:rsidTr="006A5410">
        <w:trPr>
          <w:trHeight w:val="227"/>
        </w:trPr>
        <w:tc>
          <w:tcPr>
            <w:tcW w:w="13606" w:type="dxa"/>
            <w:gridSpan w:val="6"/>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sidRPr="005E695B">
              <w:rPr>
                <w:rFonts w:cs="Calibri"/>
                <w:szCs w:val="18"/>
                <w:vertAlign w:val="superscript"/>
              </w:rPr>
              <w:t>2</w:t>
            </w:r>
            <w:r>
              <w:rPr>
                <w:rFonts w:cs="Calibri"/>
                <w:szCs w:val="18"/>
              </w:rPr>
              <w:t xml:space="preserve">. There have been no changes to valuation techniques. </w:t>
            </w:r>
          </w:p>
        </w:tc>
      </w:tr>
      <w:tr w:rsidR="003E6989" w:rsidTr="006A5410">
        <w:trPr>
          <w:trHeight w:val="227"/>
        </w:trPr>
        <w:tc>
          <w:tcPr>
            <w:tcW w:w="13606" w:type="dxa"/>
            <w:gridSpan w:val="6"/>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sidRPr="005E695B">
              <w:rPr>
                <w:rFonts w:cs="Calibri"/>
                <w:szCs w:val="18"/>
                <w:vertAlign w:val="superscript"/>
              </w:rPr>
              <w:t>3</w:t>
            </w:r>
            <w:r>
              <w:rPr>
                <w:rFonts w:cs="Calibri"/>
                <w:szCs w:val="18"/>
              </w:rPr>
              <w:t>. In 2015-16, leasehold improvements representing make good were stated to be measured using a category 2 valuation technique. A revised assessment has established that these assets are better represented as a category 3 asset disclosed at present value.</w:t>
            </w:r>
          </w:p>
        </w:tc>
      </w:tr>
      <w:tr w:rsidR="003E6989" w:rsidTr="006A5410">
        <w:trPr>
          <w:trHeight w:val="227"/>
        </w:trPr>
        <w:tc>
          <w:tcPr>
            <w:tcW w:w="13606" w:type="dxa"/>
            <w:gridSpan w:val="6"/>
            <w:tcBorders>
              <w:top w:val="nil"/>
              <w:left w:val="nil"/>
              <w:bottom w:val="nil"/>
              <w:right w:val="nil"/>
            </w:tcBorders>
            <w:shd w:val="clear" w:color="FFFFFF" w:fill="FFFFFF"/>
            <w:vAlign w:val="bottom"/>
            <w:hideMark/>
          </w:tcPr>
          <w:p w:rsidR="003E6989" w:rsidRDefault="003E6989" w:rsidP="006A5410">
            <w:pPr>
              <w:spacing w:line="240" w:lineRule="auto"/>
              <w:rPr>
                <w:rFonts w:cs="Calibri"/>
                <w:szCs w:val="18"/>
              </w:rPr>
            </w:pPr>
            <w:r>
              <w:rPr>
                <w:rFonts w:cs="Calibri"/>
                <w:szCs w:val="18"/>
              </w:rPr>
              <w:t>The department's assets are held for operational purposes and not held for the purpose of deriving a profit. The current use of all controlled assets is considered the highest and best use. The methods and valuation techniques used for the purpose of measuring fair value of assets and liabilities in 2016 are unchanged from the previous reporting period.</w:t>
            </w:r>
          </w:p>
        </w:tc>
      </w:tr>
    </w:tbl>
    <w:p w:rsidR="003E6989" w:rsidRPr="00C32494" w:rsidRDefault="003E6989" w:rsidP="003E6989">
      <w:pPr>
        <w:rPr>
          <w:rFonts w:cs="Calibri"/>
          <w:szCs w:val="18"/>
        </w:rPr>
        <w:sectPr w:rsidR="003E6989" w:rsidRPr="00C32494" w:rsidSect="006A5410">
          <w:pgSz w:w="16838" w:h="11906" w:orient="landscape"/>
          <w:pgMar w:top="568" w:right="1134" w:bottom="0" w:left="1134" w:header="958" w:footer="737" w:gutter="0"/>
          <w:cols w:space="720"/>
          <w:docGrid w:linePitch="245"/>
        </w:sectPr>
      </w:pPr>
      <w:bookmarkStart w:id="679" w:name="RANGE!D7:I38"/>
      <w:bookmarkStart w:id="680" w:name="RANGE!D7:D39"/>
      <w:bookmarkStart w:id="681" w:name="RANGE!D7:D37"/>
      <w:bookmarkStart w:id="682" w:name="RANGE!D7:I37"/>
      <w:bookmarkStart w:id="683" w:name="RANGE!D7:D36"/>
      <w:bookmarkStart w:id="684" w:name="RANGE!D7:K36"/>
      <w:bookmarkStart w:id="685" w:name="RANGE!D7:I36"/>
      <w:bookmarkStart w:id="686" w:name="RANGE!D7:I35"/>
      <w:bookmarkStart w:id="687" w:name="RANGE!D7:D38"/>
      <w:bookmarkEnd w:id="679"/>
      <w:bookmarkEnd w:id="680"/>
      <w:bookmarkEnd w:id="681"/>
      <w:bookmarkEnd w:id="682"/>
      <w:bookmarkEnd w:id="683"/>
      <w:bookmarkEnd w:id="684"/>
      <w:bookmarkEnd w:id="685"/>
      <w:bookmarkEnd w:id="686"/>
      <w:bookmarkEnd w:id="687"/>
    </w:p>
    <w:p w:rsidR="003E6989" w:rsidRDefault="003E6989" w:rsidP="003E6989">
      <w:pPr>
        <w:pStyle w:val="PolicyTextboxbold"/>
      </w:pPr>
      <w:r>
        <w:t>Accounting Policy</w:t>
      </w:r>
    </w:p>
    <w:p w:rsidR="003E6989" w:rsidRDefault="003E6989" w:rsidP="003E6989">
      <w:pPr>
        <w:pStyle w:val="PolicyTextdeptunderline"/>
      </w:pPr>
      <w:r>
        <w:t>Fair Value Measurement</w:t>
      </w:r>
    </w:p>
    <w:p w:rsidR="003E6989" w:rsidRDefault="003E6989" w:rsidP="003E6989">
      <w:pPr>
        <w:pStyle w:val="PolicytextDept"/>
        <w:rPr>
          <w:szCs w:val="18"/>
        </w:rPr>
      </w:pPr>
      <w:r>
        <w:rPr>
          <w:szCs w:val="18"/>
        </w:rPr>
        <w:t>The department deems transfers between levels of the fair value hierarchy to have occurred at reporting date.</w:t>
      </w:r>
    </w:p>
    <w:p w:rsidR="003E6989" w:rsidRDefault="003E6989" w:rsidP="003E6989"/>
    <w:tbl>
      <w:tblPr>
        <w:tblW w:w="9087" w:type="dxa"/>
        <w:tblInd w:w="80" w:type="dxa"/>
        <w:tblLayout w:type="fixed"/>
        <w:tblLook w:val="04A0" w:firstRow="1" w:lastRow="0" w:firstColumn="1" w:lastColumn="0" w:noHBand="0" w:noVBand="1"/>
      </w:tblPr>
      <w:tblGrid>
        <w:gridCol w:w="2076"/>
        <w:gridCol w:w="946"/>
        <w:gridCol w:w="977"/>
        <w:gridCol w:w="1096"/>
        <w:gridCol w:w="1000"/>
        <w:gridCol w:w="757"/>
        <w:gridCol w:w="745"/>
        <w:gridCol w:w="745"/>
        <w:gridCol w:w="745"/>
      </w:tblGrid>
      <w:tr w:rsidR="003E6989" w:rsidTr="006A5410">
        <w:trPr>
          <w:trHeight w:val="240"/>
        </w:trPr>
        <w:tc>
          <w:tcPr>
            <w:tcW w:w="9012" w:type="dxa"/>
            <w:gridSpan w:val="9"/>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bookmarkStart w:id="688" w:name="Note_FIPTABLE1" w:colFirst="0" w:colLast="0"/>
            <w:r>
              <w:rPr>
                <w:rFonts w:cs="Calibri"/>
                <w:b/>
                <w:bCs/>
                <w:szCs w:val="18"/>
                <w:u w:val="single"/>
              </w:rPr>
              <w:t>7.4B: Reconciliation for recurring Level 3 fair value measurements</w:t>
            </w:r>
          </w:p>
        </w:tc>
      </w:tr>
      <w:bookmarkEnd w:id="688"/>
      <w:tr w:rsidR="003E6989" w:rsidTr="006A5410">
        <w:trPr>
          <w:trHeight w:val="240"/>
        </w:trPr>
        <w:tc>
          <w:tcPr>
            <w:tcW w:w="205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9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969"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087"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992"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751"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739"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739"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73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40"/>
        </w:trPr>
        <w:tc>
          <w:tcPr>
            <w:tcW w:w="9012" w:type="dxa"/>
            <w:gridSpan w:val="9"/>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There have been no transfers between levels.</w:t>
            </w:r>
          </w:p>
        </w:tc>
      </w:tr>
      <w:tr w:rsidR="003E6989" w:rsidTr="006A5410">
        <w:trPr>
          <w:trHeight w:val="240"/>
        </w:trPr>
        <w:tc>
          <w:tcPr>
            <w:tcW w:w="205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93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969"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087"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992"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751"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739"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739"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73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40"/>
        </w:trPr>
        <w:tc>
          <w:tcPr>
            <w:tcW w:w="9012" w:type="dxa"/>
            <w:gridSpan w:val="9"/>
            <w:tcBorders>
              <w:top w:val="nil"/>
              <w:left w:val="nil"/>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Recurring Level 3 fair value measurements - reconciliation for assets</w:t>
            </w:r>
          </w:p>
        </w:tc>
      </w:tr>
      <w:tr w:rsidR="003E6989" w:rsidTr="006A5410">
        <w:trPr>
          <w:trHeight w:val="240"/>
        </w:trPr>
        <w:tc>
          <w:tcPr>
            <w:tcW w:w="205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6954" w:type="dxa"/>
            <w:gridSpan w:val="8"/>
            <w:tcBorders>
              <w:top w:val="single" w:sz="4" w:space="0" w:color="auto"/>
              <w:left w:val="nil"/>
              <w:bottom w:val="single" w:sz="4" w:space="0" w:color="auto"/>
              <w:right w:val="nil"/>
            </w:tcBorders>
            <w:shd w:val="clear" w:color="FFFFFF" w:fill="FFFFFF"/>
            <w:vAlign w:val="bottom"/>
            <w:hideMark/>
          </w:tcPr>
          <w:p w:rsidR="003E6989" w:rsidRDefault="003E6989" w:rsidP="006A5410">
            <w:pPr>
              <w:jc w:val="center"/>
              <w:rPr>
                <w:rFonts w:cs="Calibri"/>
                <w:b/>
                <w:bCs/>
                <w:szCs w:val="18"/>
              </w:rPr>
            </w:pPr>
            <w:r>
              <w:rPr>
                <w:rFonts w:cs="Calibri"/>
                <w:b/>
                <w:bCs/>
                <w:szCs w:val="18"/>
              </w:rPr>
              <w:t>Non-financial assets</w:t>
            </w:r>
          </w:p>
        </w:tc>
      </w:tr>
      <w:tr w:rsidR="003E6989" w:rsidTr="006A5410">
        <w:trPr>
          <w:trHeight w:val="398"/>
        </w:trPr>
        <w:tc>
          <w:tcPr>
            <w:tcW w:w="205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1907" w:type="dxa"/>
            <w:gridSpan w:val="2"/>
            <w:tcBorders>
              <w:top w:val="single" w:sz="4" w:space="0" w:color="auto"/>
              <w:left w:val="nil"/>
              <w:bottom w:val="nil"/>
              <w:right w:val="nil"/>
            </w:tcBorders>
            <w:shd w:val="clear" w:color="FFFFFF" w:fill="FFFFFF"/>
            <w:vAlign w:val="bottom"/>
            <w:hideMark/>
          </w:tcPr>
          <w:p w:rsidR="003E6989" w:rsidRDefault="003E6989" w:rsidP="006A5410">
            <w:pPr>
              <w:jc w:val="center"/>
              <w:rPr>
                <w:rFonts w:cs="Calibri"/>
                <w:b/>
                <w:bCs/>
                <w:szCs w:val="18"/>
              </w:rPr>
            </w:pPr>
            <w:r>
              <w:rPr>
                <w:rFonts w:cs="Calibri"/>
                <w:b/>
                <w:bCs/>
                <w:szCs w:val="18"/>
              </w:rPr>
              <w:t>Land and buildings</w:t>
            </w:r>
          </w:p>
        </w:tc>
        <w:tc>
          <w:tcPr>
            <w:tcW w:w="2079" w:type="dxa"/>
            <w:gridSpan w:val="2"/>
            <w:tcBorders>
              <w:top w:val="single" w:sz="4" w:space="0" w:color="auto"/>
              <w:left w:val="nil"/>
              <w:bottom w:val="nil"/>
              <w:right w:val="nil"/>
            </w:tcBorders>
            <w:shd w:val="clear" w:color="FFFFFF" w:fill="FFFFFF"/>
            <w:vAlign w:val="bottom"/>
            <w:hideMark/>
          </w:tcPr>
          <w:p w:rsidR="003E6989" w:rsidRDefault="003E6989" w:rsidP="006A5410">
            <w:pPr>
              <w:jc w:val="center"/>
              <w:rPr>
                <w:rFonts w:cs="Calibri"/>
                <w:b/>
                <w:bCs/>
                <w:szCs w:val="18"/>
              </w:rPr>
            </w:pPr>
            <w:r>
              <w:rPr>
                <w:rFonts w:cs="Calibri"/>
                <w:b/>
                <w:bCs/>
                <w:szCs w:val="18"/>
              </w:rPr>
              <w:t>Property, plant and equipment</w:t>
            </w:r>
          </w:p>
        </w:tc>
        <w:tc>
          <w:tcPr>
            <w:tcW w:w="1490" w:type="dxa"/>
            <w:gridSpan w:val="2"/>
            <w:tcBorders>
              <w:top w:val="single" w:sz="4" w:space="0" w:color="auto"/>
              <w:left w:val="nil"/>
              <w:bottom w:val="nil"/>
              <w:right w:val="nil"/>
            </w:tcBorders>
            <w:shd w:val="clear" w:color="FFFFFF" w:fill="FFFFFF"/>
            <w:vAlign w:val="bottom"/>
            <w:hideMark/>
          </w:tcPr>
          <w:p w:rsidR="003E6989" w:rsidRDefault="003E6989" w:rsidP="006A5410">
            <w:pPr>
              <w:jc w:val="center"/>
              <w:rPr>
                <w:rFonts w:cs="Calibri"/>
                <w:b/>
                <w:bCs/>
                <w:szCs w:val="18"/>
              </w:rPr>
            </w:pPr>
            <w:r>
              <w:rPr>
                <w:rFonts w:cs="Calibri"/>
                <w:b/>
                <w:bCs/>
                <w:szCs w:val="18"/>
              </w:rPr>
              <w:t>Leasehold Improvements</w:t>
            </w:r>
          </w:p>
        </w:tc>
        <w:tc>
          <w:tcPr>
            <w:tcW w:w="1478" w:type="dxa"/>
            <w:gridSpan w:val="2"/>
            <w:tcBorders>
              <w:top w:val="single" w:sz="4" w:space="0" w:color="auto"/>
              <w:left w:val="nil"/>
              <w:bottom w:val="nil"/>
              <w:right w:val="nil"/>
            </w:tcBorders>
            <w:shd w:val="clear" w:color="FFFFFF" w:fill="FFFFFF"/>
            <w:vAlign w:val="bottom"/>
            <w:hideMark/>
          </w:tcPr>
          <w:p w:rsidR="003E6989" w:rsidRDefault="003E6989" w:rsidP="006A5410">
            <w:pPr>
              <w:jc w:val="center"/>
              <w:rPr>
                <w:rFonts w:cs="Calibri"/>
                <w:b/>
                <w:bCs/>
                <w:szCs w:val="18"/>
              </w:rPr>
            </w:pPr>
            <w:r>
              <w:rPr>
                <w:rFonts w:cs="Calibri"/>
                <w:b/>
                <w:bCs/>
                <w:szCs w:val="18"/>
              </w:rPr>
              <w:t>Total</w:t>
            </w:r>
          </w:p>
        </w:tc>
      </w:tr>
      <w:tr w:rsidR="003E6989" w:rsidTr="006A5410">
        <w:trPr>
          <w:trHeight w:val="240"/>
        </w:trPr>
        <w:tc>
          <w:tcPr>
            <w:tcW w:w="205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9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2016</w:t>
            </w:r>
          </w:p>
        </w:tc>
        <w:tc>
          <w:tcPr>
            <w:tcW w:w="96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2015</w:t>
            </w:r>
          </w:p>
        </w:tc>
        <w:tc>
          <w:tcPr>
            <w:tcW w:w="1087"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2016</w:t>
            </w:r>
          </w:p>
        </w:tc>
        <w:tc>
          <w:tcPr>
            <w:tcW w:w="992"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2015</w:t>
            </w:r>
          </w:p>
        </w:tc>
        <w:tc>
          <w:tcPr>
            <w:tcW w:w="751"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2016</w:t>
            </w:r>
          </w:p>
        </w:tc>
        <w:tc>
          <w:tcPr>
            <w:tcW w:w="73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2015</w:t>
            </w:r>
          </w:p>
        </w:tc>
        <w:tc>
          <w:tcPr>
            <w:tcW w:w="739"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2016</w:t>
            </w:r>
          </w:p>
        </w:tc>
        <w:tc>
          <w:tcPr>
            <w:tcW w:w="73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2015</w:t>
            </w:r>
          </w:p>
        </w:tc>
      </w:tr>
      <w:tr w:rsidR="003E6989" w:rsidTr="006A5410">
        <w:trPr>
          <w:trHeight w:val="240"/>
        </w:trPr>
        <w:tc>
          <w:tcPr>
            <w:tcW w:w="2058" w:type="dxa"/>
            <w:tcBorders>
              <w:top w:val="nil"/>
              <w:left w:val="nil"/>
              <w:bottom w:val="nil"/>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938" w:type="dxa"/>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$'000</w:t>
            </w:r>
          </w:p>
        </w:tc>
        <w:tc>
          <w:tcPr>
            <w:tcW w:w="969" w:type="dxa"/>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$'000</w:t>
            </w:r>
          </w:p>
        </w:tc>
        <w:tc>
          <w:tcPr>
            <w:tcW w:w="1087" w:type="dxa"/>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$'000</w:t>
            </w:r>
          </w:p>
        </w:tc>
        <w:tc>
          <w:tcPr>
            <w:tcW w:w="992" w:type="dxa"/>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$'000</w:t>
            </w:r>
          </w:p>
        </w:tc>
        <w:tc>
          <w:tcPr>
            <w:tcW w:w="751" w:type="dxa"/>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$'000</w:t>
            </w:r>
          </w:p>
        </w:tc>
        <w:tc>
          <w:tcPr>
            <w:tcW w:w="739" w:type="dxa"/>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$'000</w:t>
            </w:r>
          </w:p>
        </w:tc>
        <w:tc>
          <w:tcPr>
            <w:tcW w:w="739" w:type="dxa"/>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$'000</w:t>
            </w:r>
          </w:p>
        </w:tc>
        <w:tc>
          <w:tcPr>
            <w:tcW w:w="739" w:type="dxa"/>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40"/>
        </w:trPr>
        <w:tc>
          <w:tcPr>
            <w:tcW w:w="2058" w:type="dxa"/>
            <w:tcBorders>
              <w:top w:val="single" w:sz="4" w:space="0" w:color="auto"/>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Restructuring opening balance</w:t>
            </w:r>
          </w:p>
        </w:tc>
        <w:tc>
          <w:tcPr>
            <w:tcW w:w="9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96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640 </w:t>
            </w:r>
          </w:p>
        </w:tc>
        <w:tc>
          <w:tcPr>
            <w:tcW w:w="1087"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6,793 </w:t>
            </w:r>
          </w:p>
        </w:tc>
        <w:tc>
          <w:tcPr>
            <w:tcW w:w="992"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7,455 </w:t>
            </w:r>
          </w:p>
        </w:tc>
        <w:tc>
          <w:tcPr>
            <w:tcW w:w="751"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40,446 </w:t>
            </w:r>
          </w:p>
        </w:tc>
        <w:tc>
          <w:tcPr>
            <w:tcW w:w="73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49,473 </w:t>
            </w:r>
          </w:p>
        </w:tc>
        <w:tc>
          <w:tcPr>
            <w:tcW w:w="739"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47,239 </w:t>
            </w:r>
          </w:p>
        </w:tc>
        <w:tc>
          <w:tcPr>
            <w:tcW w:w="73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57,568 </w:t>
            </w:r>
          </w:p>
        </w:tc>
      </w:tr>
      <w:tr w:rsidR="003E6989" w:rsidTr="006A5410">
        <w:trPr>
          <w:trHeight w:val="510"/>
        </w:trPr>
        <w:tc>
          <w:tcPr>
            <w:tcW w:w="2058"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Total gains/(losses) recognised in net cost of services</w:t>
            </w:r>
            <w:r>
              <w:rPr>
                <w:rFonts w:ascii="Arial" w:hAnsi="Arial" w:cs="Arial"/>
                <w:szCs w:val="18"/>
                <w:vertAlign w:val="superscript"/>
              </w:rPr>
              <w:t>1</w:t>
            </w:r>
          </w:p>
        </w:tc>
        <w:tc>
          <w:tcPr>
            <w:tcW w:w="9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96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(15)</w:t>
            </w:r>
          </w:p>
        </w:tc>
        <w:tc>
          <w:tcPr>
            <w:tcW w:w="1087"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(478)</w:t>
            </w:r>
          </w:p>
        </w:tc>
        <w:tc>
          <w:tcPr>
            <w:tcW w:w="992"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(2,244)</w:t>
            </w:r>
          </w:p>
        </w:tc>
        <w:tc>
          <w:tcPr>
            <w:tcW w:w="751"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(6,116)</w:t>
            </w:r>
          </w:p>
        </w:tc>
        <w:tc>
          <w:tcPr>
            <w:tcW w:w="73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(6,804)</w:t>
            </w:r>
          </w:p>
        </w:tc>
        <w:tc>
          <w:tcPr>
            <w:tcW w:w="739"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(6,594)</w:t>
            </w:r>
          </w:p>
        </w:tc>
        <w:tc>
          <w:tcPr>
            <w:tcW w:w="73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(9,063)</w:t>
            </w:r>
          </w:p>
        </w:tc>
      </w:tr>
      <w:tr w:rsidR="003E6989" w:rsidTr="006A5410">
        <w:trPr>
          <w:trHeight w:val="240"/>
        </w:trPr>
        <w:tc>
          <w:tcPr>
            <w:tcW w:w="2058"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Transfers to other entities</w:t>
            </w:r>
          </w:p>
        </w:tc>
        <w:tc>
          <w:tcPr>
            <w:tcW w:w="9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96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1087"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992"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751"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34 </w:t>
            </w:r>
          </w:p>
        </w:tc>
        <w:tc>
          <w:tcPr>
            <w:tcW w:w="73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(3,181)</w:t>
            </w:r>
          </w:p>
        </w:tc>
        <w:tc>
          <w:tcPr>
            <w:tcW w:w="739"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34 </w:t>
            </w:r>
          </w:p>
        </w:tc>
        <w:tc>
          <w:tcPr>
            <w:tcW w:w="73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(3,181)</w:t>
            </w:r>
          </w:p>
        </w:tc>
      </w:tr>
      <w:tr w:rsidR="003E6989" w:rsidTr="006A5410">
        <w:trPr>
          <w:trHeight w:val="240"/>
        </w:trPr>
        <w:tc>
          <w:tcPr>
            <w:tcW w:w="2058"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Purchases</w:t>
            </w:r>
          </w:p>
        </w:tc>
        <w:tc>
          <w:tcPr>
            <w:tcW w:w="9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96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1087"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368 </w:t>
            </w:r>
          </w:p>
        </w:tc>
        <w:tc>
          <w:tcPr>
            <w:tcW w:w="992"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1,568 </w:t>
            </w:r>
          </w:p>
        </w:tc>
        <w:tc>
          <w:tcPr>
            <w:tcW w:w="751"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764 </w:t>
            </w:r>
          </w:p>
        </w:tc>
        <w:tc>
          <w:tcPr>
            <w:tcW w:w="73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715 </w:t>
            </w:r>
          </w:p>
        </w:tc>
        <w:tc>
          <w:tcPr>
            <w:tcW w:w="739"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1,132 </w:t>
            </w:r>
          </w:p>
        </w:tc>
        <w:tc>
          <w:tcPr>
            <w:tcW w:w="73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2,283 </w:t>
            </w:r>
          </w:p>
        </w:tc>
      </w:tr>
      <w:tr w:rsidR="003E6989" w:rsidTr="006A5410">
        <w:trPr>
          <w:trHeight w:val="240"/>
        </w:trPr>
        <w:tc>
          <w:tcPr>
            <w:tcW w:w="2058"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Disposals</w:t>
            </w:r>
          </w:p>
        </w:tc>
        <w:tc>
          <w:tcPr>
            <w:tcW w:w="9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96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(625)</w:t>
            </w:r>
          </w:p>
        </w:tc>
        <w:tc>
          <w:tcPr>
            <w:tcW w:w="1087"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(250)</w:t>
            </w:r>
          </w:p>
        </w:tc>
        <w:tc>
          <w:tcPr>
            <w:tcW w:w="992"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751"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(92)</w:t>
            </w:r>
          </w:p>
        </w:tc>
        <w:tc>
          <w:tcPr>
            <w:tcW w:w="73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739"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(342)</w:t>
            </w:r>
          </w:p>
        </w:tc>
        <w:tc>
          <w:tcPr>
            <w:tcW w:w="73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(625)</w:t>
            </w:r>
          </w:p>
        </w:tc>
      </w:tr>
      <w:tr w:rsidR="003E6989" w:rsidTr="006A5410">
        <w:trPr>
          <w:trHeight w:val="240"/>
        </w:trPr>
        <w:tc>
          <w:tcPr>
            <w:tcW w:w="2058"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Transfers into Level 3</w:t>
            </w:r>
          </w:p>
        </w:tc>
        <w:tc>
          <w:tcPr>
            <w:tcW w:w="938"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96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1087"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36 </w:t>
            </w:r>
          </w:p>
        </w:tc>
        <w:tc>
          <w:tcPr>
            <w:tcW w:w="992"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14 </w:t>
            </w:r>
          </w:p>
        </w:tc>
        <w:tc>
          <w:tcPr>
            <w:tcW w:w="751"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819 </w:t>
            </w:r>
          </w:p>
        </w:tc>
        <w:tc>
          <w:tcPr>
            <w:tcW w:w="73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243 </w:t>
            </w:r>
          </w:p>
        </w:tc>
        <w:tc>
          <w:tcPr>
            <w:tcW w:w="739"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855 </w:t>
            </w:r>
          </w:p>
        </w:tc>
        <w:tc>
          <w:tcPr>
            <w:tcW w:w="73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257 </w:t>
            </w:r>
          </w:p>
        </w:tc>
      </w:tr>
      <w:tr w:rsidR="003E6989" w:rsidTr="006A5410">
        <w:trPr>
          <w:trHeight w:val="240"/>
        </w:trPr>
        <w:tc>
          <w:tcPr>
            <w:tcW w:w="2058"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Transfers out Level 3</w:t>
            </w:r>
          </w:p>
        </w:tc>
        <w:tc>
          <w:tcPr>
            <w:tcW w:w="938"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96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1087"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(1,246)</w:t>
            </w:r>
          </w:p>
        </w:tc>
        <w:tc>
          <w:tcPr>
            <w:tcW w:w="992"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751"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73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739"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(1,246)</w:t>
            </w:r>
          </w:p>
        </w:tc>
        <w:tc>
          <w:tcPr>
            <w:tcW w:w="739"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40"/>
        </w:trPr>
        <w:tc>
          <w:tcPr>
            <w:tcW w:w="2058" w:type="dxa"/>
            <w:tcBorders>
              <w:top w:val="single" w:sz="4" w:space="0" w:color="auto"/>
              <w:left w:val="nil"/>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Closing balance</w:t>
            </w:r>
          </w:p>
        </w:tc>
        <w:tc>
          <w:tcPr>
            <w:tcW w:w="938"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c>
          <w:tcPr>
            <w:tcW w:w="969"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1087"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5,223 </w:t>
            </w:r>
          </w:p>
        </w:tc>
        <w:tc>
          <w:tcPr>
            <w:tcW w:w="992"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6,793 </w:t>
            </w:r>
          </w:p>
        </w:tc>
        <w:tc>
          <w:tcPr>
            <w:tcW w:w="751"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35,855 </w:t>
            </w:r>
          </w:p>
        </w:tc>
        <w:tc>
          <w:tcPr>
            <w:tcW w:w="739"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40,446 </w:t>
            </w:r>
          </w:p>
        </w:tc>
        <w:tc>
          <w:tcPr>
            <w:tcW w:w="739"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41,078 </w:t>
            </w:r>
          </w:p>
        </w:tc>
        <w:tc>
          <w:tcPr>
            <w:tcW w:w="739"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47,239 </w:t>
            </w:r>
          </w:p>
        </w:tc>
      </w:tr>
      <w:tr w:rsidR="003E6989" w:rsidTr="006A5410">
        <w:trPr>
          <w:trHeight w:val="525"/>
        </w:trPr>
        <w:tc>
          <w:tcPr>
            <w:tcW w:w="9012" w:type="dxa"/>
            <w:gridSpan w:val="9"/>
            <w:tcBorders>
              <w:top w:val="single" w:sz="4" w:space="0" w:color="auto"/>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vertAlign w:val="superscript"/>
              </w:rPr>
              <w:t>1</w:t>
            </w:r>
            <w:r>
              <w:rPr>
                <w:rFonts w:cs="Calibri"/>
                <w:szCs w:val="18"/>
              </w:rPr>
              <w:t xml:space="preserve"> These gains/(losses) are presented in the Statement of Comprehensive Income under ‘Depreciation and amortisation’ and ‘Write-down and Impairment of assets’.</w:t>
            </w:r>
          </w:p>
        </w:tc>
      </w:tr>
      <w:tr w:rsidR="003E6989" w:rsidTr="006A5410">
        <w:trPr>
          <w:trHeight w:val="240"/>
        </w:trPr>
        <w:tc>
          <w:tcPr>
            <w:tcW w:w="9012" w:type="dxa"/>
            <w:gridSpan w:val="9"/>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w:t>
            </w:r>
          </w:p>
        </w:tc>
      </w:tr>
    </w:tbl>
    <w:p w:rsidR="003E6989" w:rsidRDefault="003E6989" w:rsidP="003E6989">
      <w:pPr>
        <w:pStyle w:val="NotesHeading-Level1"/>
        <w:numPr>
          <w:ilvl w:val="0"/>
          <w:numId w:val="0"/>
        </w:numPr>
        <w:outlineLvl w:val="9"/>
        <w:rPr>
          <w:rFonts w:cstheme="minorHAnsi"/>
        </w:rPr>
      </w:pPr>
    </w:p>
    <w:p w:rsidR="003E6989" w:rsidRDefault="003E6989" w:rsidP="003E6989">
      <w:pPr>
        <w:pStyle w:val="NotesHeading-Level1"/>
        <w:numPr>
          <w:ilvl w:val="0"/>
          <w:numId w:val="0"/>
        </w:numPr>
        <w:outlineLvl w:val="9"/>
        <w:rPr>
          <w:rFonts w:cstheme="minorHAnsi"/>
        </w:rPr>
      </w:pPr>
    </w:p>
    <w:p w:rsidR="003E6989" w:rsidRDefault="003E6989" w:rsidP="003E6989">
      <w:pPr>
        <w:pStyle w:val="NotesHeading-Level1"/>
        <w:numPr>
          <w:ilvl w:val="0"/>
          <w:numId w:val="0"/>
        </w:numPr>
        <w:outlineLvl w:val="9"/>
        <w:rPr>
          <w:rFonts w:cstheme="minorHAnsi"/>
        </w:rPr>
      </w:pPr>
      <w:r>
        <w:rPr>
          <w:rFonts w:cstheme="minorHAnsi"/>
        </w:rPr>
        <w:br w:type="page"/>
      </w:r>
    </w:p>
    <w:p w:rsidR="003E6989" w:rsidRDefault="003E6989" w:rsidP="003E6989">
      <w:pPr>
        <w:pStyle w:val="SubHeading"/>
      </w:pPr>
      <w:bookmarkStart w:id="689" w:name="_Toc455416758"/>
      <w:bookmarkStart w:id="690" w:name="_Toc464726649"/>
      <w:r>
        <w:t>Administered – Fair Value Measurement</w:t>
      </w:r>
      <w:bookmarkEnd w:id="689"/>
      <w:bookmarkEnd w:id="690"/>
    </w:p>
    <w:tbl>
      <w:tblPr>
        <w:tblW w:w="9087" w:type="dxa"/>
        <w:tblInd w:w="80" w:type="dxa"/>
        <w:tblLayout w:type="fixed"/>
        <w:tblLook w:val="04A0" w:firstRow="1" w:lastRow="0" w:firstColumn="1" w:lastColumn="0" w:noHBand="0" w:noVBand="1"/>
      </w:tblPr>
      <w:tblGrid>
        <w:gridCol w:w="2028"/>
        <w:gridCol w:w="1105"/>
        <w:gridCol w:w="1125"/>
        <w:gridCol w:w="916"/>
        <w:gridCol w:w="1200"/>
        <w:gridCol w:w="767"/>
        <w:gridCol w:w="991"/>
        <w:gridCol w:w="955"/>
      </w:tblGrid>
      <w:tr w:rsidR="003E6989" w:rsidTr="006A5410">
        <w:trPr>
          <w:trHeight w:val="240"/>
        </w:trPr>
        <w:tc>
          <w:tcPr>
            <w:tcW w:w="8985" w:type="dxa"/>
            <w:gridSpan w:val="8"/>
            <w:tcBorders>
              <w:top w:val="nil"/>
              <w:left w:val="nil"/>
              <w:bottom w:val="nil"/>
              <w:right w:val="nil"/>
            </w:tcBorders>
            <w:shd w:val="clear" w:color="000000" w:fill="D9D9D9"/>
            <w:vAlign w:val="bottom"/>
            <w:hideMark/>
          </w:tcPr>
          <w:p w:rsidR="003E6989" w:rsidRDefault="003E6989" w:rsidP="006A5410">
            <w:pPr>
              <w:rPr>
                <w:rFonts w:cs="Calibri"/>
                <w:szCs w:val="18"/>
              </w:rPr>
            </w:pPr>
            <w:bookmarkStart w:id="691" w:name="Note_AVATABLE1" w:colFirst="0" w:colLast="0"/>
            <w:r>
              <w:rPr>
                <w:rFonts w:cs="Calibri"/>
                <w:szCs w:val="18"/>
              </w:rPr>
              <w:t>The following tables provide an analysis of assets and liabilities that are measured at fair value.</w:t>
            </w:r>
          </w:p>
        </w:tc>
      </w:tr>
      <w:bookmarkEnd w:id="691"/>
      <w:tr w:rsidR="003E6989" w:rsidTr="006A5410">
        <w:trPr>
          <w:trHeight w:val="240"/>
        </w:trPr>
        <w:tc>
          <w:tcPr>
            <w:tcW w:w="8985" w:type="dxa"/>
            <w:gridSpan w:val="8"/>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The different levels of the fair value hierarchy are defined below.</w:t>
            </w:r>
          </w:p>
        </w:tc>
      </w:tr>
      <w:tr w:rsidR="003E6989" w:rsidTr="006A5410">
        <w:trPr>
          <w:trHeight w:val="240"/>
        </w:trPr>
        <w:tc>
          <w:tcPr>
            <w:tcW w:w="2005"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1093"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1112"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906"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1187"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758"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980"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944"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r>
      <w:tr w:rsidR="003E6989" w:rsidTr="006A5410">
        <w:trPr>
          <w:trHeight w:val="435"/>
        </w:trPr>
        <w:tc>
          <w:tcPr>
            <w:tcW w:w="8985" w:type="dxa"/>
            <w:gridSpan w:val="8"/>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Level 1: Quoted prices (unadjusted) in active markets for identical assets or liabilities that the department can access at measurement date.</w:t>
            </w:r>
          </w:p>
        </w:tc>
      </w:tr>
      <w:tr w:rsidR="003E6989" w:rsidTr="006A5410">
        <w:trPr>
          <w:trHeight w:val="240"/>
        </w:trPr>
        <w:tc>
          <w:tcPr>
            <w:tcW w:w="8985" w:type="dxa"/>
            <w:gridSpan w:val="8"/>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Level 2: Inputs other than quoted prices included within Level 1 that are observable for the asset or liability, either directly or indirectly.</w:t>
            </w:r>
          </w:p>
        </w:tc>
      </w:tr>
      <w:tr w:rsidR="003E6989" w:rsidTr="006A5410">
        <w:trPr>
          <w:trHeight w:val="240"/>
        </w:trPr>
        <w:tc>
          <w:tcPr>
            <w:tcW w:w="8985" w:type="dxa"/>
            <w:gridSpan w:val="8"/>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Level 3: Unobservable inputs for the asset or liability.</w:t>
            </w:r>
          </w:p>
        </w:tc>
      </w:tr>
      <w:tr w:rsidR="003E6989" w:rsidTr="006A5410">
        <w:trPr>
          <w:trHeight w:val="240"/>
        </w:trPr>
        <w:tc>
          <w:tcPr>
            <w:tcW w:w="2005"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1093"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 </w:t>
            </w:r>
          </w:p>
        </w:tc>
        <w:tc>
          <w:tcPr>
            <w:tcW w:w="1112"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 </w:t>
            </w:r>
          </w:p>
        </w:tc>
        <w:tc>
          <w:tcPr>
            <w:tcW w:w="906"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 </w:t>
            </w:r>
          </w:p>
        </w:tc>
        <w:tc>
          <w:tcPr>
            <w:tcW w:w="118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758"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980"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944"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40"/>
        </w:trPr>
        <w:tc>
          <w:tcPr>
            <w:tcW w:w="8985" w:type="dxa"/>
            <w:gridSpan w:val="8"/>
            <w:tcBorders>
              <w:top w:val="nil"/>
              <w:left w:val="nil"/>
              <w:bottom w:val="nil"/>
              <w:right w:val="nil"/>
            </w:tcBorders>
            <w:shd w:val="clear" w:color="000000" w:fill="D9D9D9"/>
            <w:noWrap/>
            <w:vAlign w:val="bottom"/>
            <w:hideMark/>
          </w:tcPr>
          <w:p w:rsidR="003E6989" w:rsidRDefault="003E6989" w:rsidP="006A5410">
            <w:pPr>
              <w:rPr>
                <w:rFonts w:cs="Calibri"/>
                <w:b/>
                <w:bCs/>
                <w:szCs w:val="18"/>
                <w:u w:val="single"/>
              </w:rPr>
            </w:pPr>
            <w:r>
              <w:rPr>
                <w:rFonts w:cs="Calibri"/>
                <w:b/>
                <w:bCs/>
                <w:szCs w:val="18"/>
                <w:u w:val="single"/>
              </w:rPr>
              <w:t>7.5A: Fair value measurements, valuation techniques and inputs used</w:t>
            </w:r>
          </w:p>
        </w:tc>
      </w:tr>
      <w:tr w:rsidR="003E6989" w:rsidTr="006A5410">
        <w:trPr>
          <w:trHeight w:val="260"/>
        </w:trPr>
        <w:tc>
          <w:tcPr>
            <w:tcW w:w="8985" w:type="dxa"/>
            <w:gridSpan w:val="8"/>
            <w:vMerge w:val="restart"/>
            <w:tcBorders>
              <w:top w:val="nil"/>
              <w:left w:val="nil"/>
              <w:bottom w:val="single" w:sz="4" w:space="0" w:color="000000"/>
              <w:right w:val="nil"/>
            </w:tcBorders>
            <w:shd w:val="clear" w:color="000000" w:fill="D9D9D9"/>
            <w:vAlign w:val="bottom"/>
            <w:hideMark/>
          </w:tcPr>
          <w:p w:rsidR="003E6989" w:rsidRDefault="003E6989" w:rsidP="006A5410">
            <w:pPr>
              <w:rPr>
                <w:rFonts w:cs="Calibri"/>
                <w:b/>
                <w:bCs/>
                <w:szCs w:val="18"/>
              </w:rPr>
            </w:pPr>
            <w:r>
              <w:rPr>
                <w:rFonts w:cs="Calibri"/>
                <w:b/>
                <w:bCs/>
                <w:szCs w:val="18"/>
              </w:rPr>
              <w:t>Fair value measurements at 30 June 2016 by hierarchy for assets and liabilities</w:t>
            </w:r>
          </w:p>
        </w:tc>
      </w:tr>
      <w:tr w:rsidR="003E6989" w:rsidTr="006A5410">
        <w:trPr>
          <w:trHeight w:val="260"/>
        </w:trPr>
        <w:tc>
          <w:tcPr>
            <w:tcW w:w="8985" w:type="dxa"/>
            <w:gridSpan w:val="8"/>
            <w:vMerge/>
            <w:tcBorders>
              <w:top w:val="nil"/>
              <w:left w:val="nil"/>
              <w:bottom w:val="single" w:sz="4" w:space="0" w:color="000000"/>
              <w:right w:val="nil"/>
            </w:tcBorders>
            <w:vAlign w:val="center"/>
            <w:hideMark/>
          </w:tcPr>
          <w:p w:rsidR="003E6989" w:rsidRDefault="003E6989" w:rsidP="006A5410">
            <w:pPr>
              <w:rPr>
                <w:rFonts w:cs="Calibri"/>
                <w:b/>
                <w:bCs/>
                <w:szCs w:val="18"/>
              </w:rPr>
            </w:pPr>
          </w:p>
        </w:tc>
      </w:tr>
      <w:tr w:rsidR="003E6989" w:rsidTr="006A5410">
        <w:trPr>
          <w:trHeight w:val="578"/>
        </w:trPr>
        <w:tc>
          <w:tcPr>
            <w:tcW w:w="2005"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3111" w:type="dxa"/>
            <w:gridSpan w:val="3"/>
            <w:tcBorders>
              <w:top w:val="single" w:sz="4" w:space="0" w:color="auto"/>
              <w:left w:val="nil"/>
              <w:bottom w:val="single" w:sz="4" w:space="0" w:color="auto"/>
              <w:right w:val="single" w:sz="4" w:space="0" w:color="000000"/>
            </w:tcBorders>
            <w:shd w:val="clear" w:color="000000" w:fill="D9D9D9"/>
            <w:vAlign w:val="bottom"/>
            <w:hideMark/>
          </w:tcPr>
          <w:p w:rsidR="003E6989" w:rsidRDefault="003E6989" w:rsidP="006A5410">
            <w:pPr>
              <w:jc w:val="center"/>
              <w:rPr>
                <w:rFonts w:cs="Calibri"/>
                <w:b/>
                <w:bCs/>
                <w:szCs w:val="18"/>
              </w:rPr>
            </w:pPr>
            <w:r>
              <w:rPr>
                <w:rFonts w:cs="Calibri"/>
                <w:b/>
                <w:bCs/>
                <w:szCs w:val="18"/>
              </w:rPr>
              <w:t>Fair value measurements at the end of the reporting period using</w:t>
            </w:r>
          </w:p>
        </w:tc>
        <w:tc>
          <w:tcPr>
            <w:tcW w:w="3869" w:type="dxa"/>
            <w:gridSpan w:val="4"/>
            <w:tcBorders>
              <w:top w:val="single" w:sz="4" w:space="0" w:color="auto"/>
              <w:left w:val="nil"/>
              <w:bottom w:val="single" w:sz="4" w:space="0" w:color="auto"/>
              <w:right w:val="nil"/>
            </w:tcBorders>
            <w:shd w:val="clear" w:color="000000" w:fill="D9D9D9"/>
            <w:vAlign w:val="bottom"/>
            <w:hideMark/>
          </w:tcPr>
          <w:p w:rsidR="003E6989" w:rsidRDefault="003E6989" w:rsidP="006A5410">
            <w:pPr>
              <w:jc w:val="center"/>
              <w:rPr>
                <w:rFonts w:cs="Calibri"/>
                <w:b/>
                <w:bCs/>
                <w:szCs w:val="18"/>
              </w:rPr>
            </w:pPr>
            <w:r>
              <w:rPr>
                <w:rFonts w:cs="Calibri"/>
                <w:b/>
                <w:bCs/>
                <w:szCs w:val="18"/>
              </w:rPr>
              <w:t xml:space="preserve"> For Levels 2 and 3 fair value measurements</w:t>
            </w:r>
          </w:p>
        </w:tc>
      </w:tr>
      <w:tr w:rsidR="003E6989" w:rsidTr="006A5410">
        <w:trPr>
          <w:trHeight w:val="458"/>
        </w:trPr>
        <w:tc>
          <w:tcPr>
            <w:tcW w:w="2005"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1093"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2016</w:t>
            </w:r>
          </w:p>
        </w:tc>
        <w:tc>
          <w:tcPr>
            <w:tcW w:w="1112" w:type="dxa"/>
            <w:tcBorders>
              <w:top w:val="nil"/>
              <w:left w:val="nil"/>
              <w:bottom w:val="single" w:sz="4" w:space="0" w:color="D9D9D9"/>
              <w:right w:val="nil"/>
            </w:tcBorders>
            <w:shd w:val="clear" w:color="000000" w:fill="D9D9D9"/>
            <w:vAlign w:val="bottom"/>
            <w:hideMark/>
          </w:tcPr>
          <w:p w:rsidR="003E6989" w:rsidRPr="00141069" w:rsidRDefault="003E6989" w:rsidP="006A5410">
            <w:pPr>
              <w:jc w:val="right"/>
              <w:rPr>
                <w:rFonts w:cs="Calibri"/>
                <w:bCs/>
                <w:szCs w:val="18"/>
              </w:rPr>
            </w:pPr>
            <w:r w:rsidRPr="00141069">
              <w:rPr>
                <w:rFonts w:cs="Calibri"/>
                <w:bCs/>
                <w:szCs w:val="18"/>
              </w:rPr>
              <w:t>2015</w:t>
            </w:r>
          </w:p>
        </w:tc>
        <w:tc>
          <w:tcPr>
            <w:tcW w:w="906" w:type="dxa"/>
            <w:vMerge w:val="restart"/>
            <w:tcBorders>
              <w:top w:val="nil"/>
              <w:left w:val="nil"/>
              <w:bottom w:val="single" w:sz="4" w:space="0" w:color="000000"/>
              <w:right w:val="single" w:sz="4" w:space="0" w:color="auto"/>
            </w:tcBorders>
            <w:shd w:val="clear" w:color="000000" w:fill="D9D9D9"/>
            <w:vAlign w:val="bottom"/>
            <w:hideMark/>
          </w:tcPr>
          <w:p w:rsidR="003E6989" w:rsidRDefault="003E6989" w:rsidP="006A5410">
            <w:pPr>
              <w:jc w:val="right"/>
              <w:rPr>
                <w:rFonts w:cs="Calibri"/>
                <w:b/>
                <w:bCs/>
                <w:szCs w:val="18"/>
              </w:rPr>
            </w:pPr>
            <w:r>
              <w:rPr>
                <w:rFonts w:cs="Calibri"/>
                <w:b/>
                <w:bCs/>
                <w:szCs w:val="18"/>
              </w:rPr>
              <w:t>Category (Level 1, 2 or 3)</w:t>
            </w:r>
          </w:p>
        </w:tc>
        <w:tc>
          <w:tcPr>
            <w:tcW w:w="1187" w:type="dxa"/>
            <w:vMerge w:val="restart"/>
            <w:tcBorders>
              <w:top w:val="nil"/>
              <w:left w:val="single" w:sz="4" w:space="0" w:color="auto"/>
              <w:bottom w:val="single" w:sz="4" w:space="0" w:color="000000"/>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Valuation technique</w:t>
            </w:r>
          </w:p>
        </w:tc>
        <w:tc>
          <w:tcPr>
            <w:tcW w:w="758" w:type="dxa"/>
            <w:vMerge w:val="restart"/>
            <w:tcBorders>
              <w:top w:val="nil"/>
              <w:left w:val="single" w:sz="4" w:space="0" w:color="auto"/>
              <w:bottom w:val="single" w:sz="4" w:space="0" w:color="000000"/>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Inputs Used</w:t>
            </w:r>
          </w:p>
        </w:tc>
        <w:tc>
          <w:tcPr>
            <w:tcW w:w="980" w:type="dxa"/>
            <w:vMerge w:val="restart"/>
            <w:tcBorders>
              <w:top w:val="nil"/>
              <w:left w:val="single" w:sz="4" w:space="0" w:color="auto"/>
              <w:bottom w:val="single" w:sz="4" w:space="0" w:color="000000"/>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Inputs Range</w:t>
            </w:r>
          </w:p>
        </w:tc>
        <w:tc>
          <w:tcPr>
            <w:tcW w:w="944" w:type="dxa"/>
            <w:vMerge w:val="restart"/>
            <w:tcBorders>
              <w:top w:val="nil"/>
              <w:left w:val="single" w:sz="4" w:space="0" w:color="auto"/>
              <w:bottom w:val="single" w:sz="4" w:space="0" w:color="000000"/>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Weighted Average</w:t>
            </w:r>
          </w:p>
        </w:tc>
      </w:tr>
      <w:tr w:rsidR="003E6989" w:rsidTr="006A5410">
        <w:trPr>
          <w:trHeight w:val="278"/>
        </w:trPr>
        <w:tc>
          <w:tcPr>
            <w:tcW w:w="2005" w:type="dxa"/>
            <w:tcBorders>
              <w:top w:val="nil"/>
              <w:left w:val="nil"/>
              <w:bottom w:val="single" w:sz="4" w:space="0" w:color="auto"/>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1093" w:type="dxa"/>
            <w:tcBorders>
              <w:top w:val="nil"/>
              <w:left w:val="nil"/>
              <w:bottom w:val="single" w:sz="4" w:space="0" w:color="auto"/>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$'000</w:t>
            </w:r>
          </w:p>
        </w:tc>
        <w:tc>
          <w:tcPr>
            <w:tcW w:w="1112" w:type="dxa"/>
            <w:tcBorders>
              <w:top w:val="nil"/>
              <w:left w:val="nil"/>
              <w:bottom w:val="single" w:sz="4" w:space="0" w:color="auto"/>
              <w:right w:val="nil"/>
            </w:tcBorders>
            <w:shd w:val="clear" w:color="000000" w:fill="D9D9D9"/>
            <w:vAlign w:val="bottom"/>
            <w:hideMark/>
          </w:tcPr>
          <w:p w:rsidR="003E6989" w:rsidRPr="00141069" w:rsidRDefault="003E6989" w:rsidP="006A5410">
            <w:pPr>
              <w:jc w:val="right"/>
              <w:rPr>
                <w:rFonts w:cs="Calibri"/>
                <w:bCs/>
                <w:szCs w:val="18"/>
              </w:rPr>
            </w:pPr>
            <w:r w:rsidRPr="00141069">
              <w:rPr>
                <w:rFonts w:cs="Calibri"/>
                <w:bCs/>
                <w:szCs w:val="18"/>
              </w:rPr>
              <w:t>$'000</w:t>
            </w:r>
          </w:p>
        </w:tc>
        <w:tc>
          <w:tcPr>
            <w:tcW w:w="906" w:type="dxa"/>
            <w:vMerge/>
            <w:tcBorders>
              <w:top w:val="nil"/>
              <w:left w:val="nil"/>
              <w:bottom w:val="single" w:sz="4" w:space="0" w:color="000000"/>
              <w:right w:val="single" w:sz="4" w:space="0" w:color="auto"/>
            </w:tcBorders>
            <w:vAlign w:val="center"/>
            <w:hideMark/>
          </w:tcPr>
          <w:p w:rsidR="003E6989" w:rsidRDefault="003E6989" w:rsidP="006A5410">
            <w:pPr>
              <w:rPr>
                <w:rFonts w:cs="Calibri"/>
                <w:b/>
                <w:bCs/>
                <w:szCs w:val="18"/>
              </w:rPr>
            </w:pPr>
          </w:p>
        </w:tc>
        <w:tc>
          <w:tcPr>
            <w:tcW w:w="1187" w:type="dxa"/>
            <w:vMerge/>
            <w:tcBorders>
              <w:top w:val="nil"/>
              <w:left w:val="single" w:sz="4" w:space="0" w:color="auto"/>
              <w:bottom w:val="single" w:sz="4" w:space="0" w:color="000000"/>
              <w:right w:val="nil"/>
            </w:tcBorders>
            <w:vAlign w:val="center"/>
            <w:hideMark/>
          </w:tcPr>
          <w:p w:rsidR="003E6989" w:rsidRDefault="003E6989" w:rsidP="006A5410">
            <w:pPr>
              <w:rPr>
                <w:rFonts w:cs="Calibri"/>
                <w:b/>
                <w:bCs/>
                <w:szCs w:val="18"/>
              </w:rPr>
            </w:pPr>
          </w:p>
        </w:tc>
        <w:tc>
          <w:tcPr>
            <w:tcW w:w="758" w:type="dxa"/>
            <w:vMerge/>
            <w:tcBorders>
              <w:top w:val="nil"/>
              <w:left w:val="single" w:sz="4" w:space="0" w:color="auto"/>
              <w:bottom w:val="single" w:sz="4" w:space="0" w:color="000000"/>
              <w:right w:val="nil"/>
            </w:tcBorders>
            <w:vAlign w:val="center"/>
            <w:hideMark/>
          </w:tcPr>
          <w:p w:rsidR="003E6989" w:rsidRDefault="003E6989" w:rsidP="006A5410">
            <w:pPr>
              <w:rPr>
                <w:rFonts w:cs="Calibri"/>
                <w:b/>
                <w:bCs/>
                <w:szCs w:val="18"/>
              </w:rPr>
            </w:pPr>
          </w:p>
        </w:tc>
        <w:tc>
          <w:tcPr>
            <w:tcW w:w="980" w:type="dxa"/>
            <w:vMerge/>
            <w:tcBorders>
              <w:top w:val="nil"/>
              <w:left w:val="single" w:sz="4" w:space="0" w:color="auto"/>
              <w:bottom w:val="single" w:sz="4" w:space="0" w:color="000000"/>
              <w:right w:val="nil"/>
            </w:tcBorders>
            <w:vAlign w:val="center"/>
            <w:hideMark/>
          </w:tcPr>
          <w:p w:rsidR="003E6989" w:rsidRDefault="003E6989" w:rsidP="006A5410">
            <w:pPr>
              <w:rPr>
                <w:rFonts w:cs="Calibri"/>
                <w:b/>
                <w:bCs/>
                <w:szCs w:val="18"/>
              </w:rPr>
            </w:pPr>
          </w:p>
        </w:tc>
        <w:tc>
          <w:tcPr>
            <w:tcW w:w="944" w:type="dxa"/>
            <w:vMerge/>
            <w:tcBorders>
              <w:top w:val="nil"/>
              <w:left w:val="single" w:sz="4" w:space="0" w:color="auto"/>
              <w:bottom w:val="single" w:sz="4" w:space="0" w:color="000000"/>
              <w:right w:val="nil"/>
            </w:tcBorders>
            <w:vAlign w:val="center"/>
            <w:hideMark/>
          </w:tcPr>
          <w:p w:rsidR="003E6989" w:rsidRDefault="003E6989" w:rsidP="006A5410">
            <w:pPr>
              <w:rPr>
                <w:rFonts w:cs="Calibri"/>
                <w:b/>
                <w:bCs/>
                <w:szCs w:val="18"/>
              </w:rPr>
            </w:pPr>
          </w:p>
        </w:tc>
      </w:tr>
      <w:tr w:rsidR="003E6989" w:rsidTr="006A5410">
        <w:trPr>
          <w:trHeight w:val="255"/>
        </w:trPr>
        <w:tc>
          <w:tcPr>
            <w:tcW w:w="2005"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Financial assets</w:t>
            </w:r>
          </w:p>
        </w:tc>
        <w:tc>
          <w:tcPr>
            <w:tcW w:w="1093"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 </w:t>
            </w:r>
          </w:p>
        </w:tc>
        <w:tc>
          <w:tcPr>
            <w:tcW w:w="1112"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 </w:t>
            </w:r>
          </w:p>
        </w:tc>
        <w:tc>
          <w:tcPr>
            <w:tcW w:w="906"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1187"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758"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980"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c>
          <w:tcPr>
            <w:tcW w:w="944" w:type="dxa"/>
            <w:tcBorders>
              <w:top w:val="nil"/>
              <w:left w:val="nil"/>
              <w:bottom w:val="single" w:sz="4" w:space="0" w:color="D9D9D9"/>
              <w:right w:val="nil"/>
            </w:tcBorders>
            <w:shd w:val="clear" w:color="000000" w:fill="D9D9D9"/>
            <w:noWrap/>
            <w:vAlign w:val="bottom"/>
            <w:hideMark/>
          </w:tcPr>
          <w:p w:rsidR="003E6989" w:rsidRDefault="003E6989" w:rsidP="006A5410">
            <w:pPr>
              <w:rPr>
                <w:rFonts w:cs="Calibri"/>
                <w:sz w:val="16"/>
                <w:szCs w:val="16"/>
              </w:rPr>
            </w:pPr>
            <w:r>
              <w:rPr>
                <w:rFonts w:cs="Calibri"/>
                <w:sz w:val="16"/>
                <w:szCs w:val="16"/>
              </w:rPr>
              <w:t> </w:t>
            </w:r>
          </w:p>
        </w:tc>
      </w:tr>
      <w:tr w:rsidR="003E6989" w:rsidTr="006A5410">
        <w:trPr>
          <w:trHeight w:val="480"/>
        </w:trPr>
        <w:tc>
          <w:tcPr>
            <w:tcW w:w="2005" w:type="dxa"/>
            <w:tcBorders>
              <w:top w:val="nil"/>
              <w:left w:val="nil"/>
              <w:bottom w:val="nil"/>
              <w:right w:val="nil"/>
            </w:tcBorders>
            <w:shd w:val="clear" w:color="000000" w:fill="D9D9D9"/>
            <w:noWrap/>
            <w:vAlign w:val="bottom"/>
            <w:hideMark/>
          </w:tcPr>
          <w:p w:rsidR="003E6989" w:rsidRDefault="003E6989" w:rsidP="003E6989">
            <w:pPr>
              <w:ind w:firstLineChars="100" w:firstLine="180"/>
              <w:rPr>
                <w:rFonts w:cs="Calibri"/>
                <w:szCs w:val="18"/>
              </w:rPr>
            </w:pPr>
            <w:r>
              <w:rPr>
                <w:rFonts w:cs="Calibri"/>
                <w:szCs w:val="18"/>
              </w:rPr>
              <w:t>Concessional loans</w:t>
            </w:r>
          </w:p>
        </w:tc>
        <w:tc>
          <w:tcPr>
            <w:tcW w:w="1093"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36,953,923</w:t>
            </w:r>
          </w:p>
        </w:tc>
        <w:tc>
          <w:tcPr>
            <w:tcW w:w="1112"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30,497,818 </w:t>
            </w:r>
          </w:p>
        </w:tc>
        <w:tc>
          <w:tcPr>
            <w:tcW w:w="90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3 </w:t>
            </w:r>
          </w:p>
        </w:tc>
        <w:tc>
          <w:tcPr>
            <w:tcW w:w="1187" w:type="dxa"/>
            <w:tcBorders>
              <w:top w:val="nil"/>
              <w:left w:val="nil"/>
              <w:bottom w:val="nil"/>
              <w:right w:val="nil"/>
            </w:tcBorders>
            <w:shd w:val="clear" w:color="000000" w:fill="D9D9D9"/>
            <w:vAlign w:val="bottom"/>
            <w:hideMark/>
          </w:tcPr>
          <w:p w:rsidR="003E6989" w:rsidRDefault="003E6989" w:rsidP="006A5410">
            <w:pPr>
              <w:jc w:val="right"/>
              <w:rPr>
                <w:rFonts w:cs="Calibri"/>
                <w:szCs w:val="18"/>
              </w:rPr>
            </w:pPr>
            <w:r>
              <w:rPr>
                <w:rFonts w:cs="Calibri"/>
                <w:szCs w:val="18"/>
              </w:rPr>
              <w:t>Loan Conditions</w:t>
            </w:r>
          </w:p>
        </w:tc>
        <w:tc>
          <w:tcPr>
            <w:tcW w:w="758" w:type="dxa"/>
            <w:tcBorders>
              <w:top w:val="nil"/>
              <w:left w:val="nil"/>
              <w:bottom w:val="nil"/>
              <w:right w:val="nil"/>
            </w:tcBorders>
            <w:shd w:val="clear" w:color="000000" w:fill="D9D9D9"/>
            <w:vAlign w:val="bottom"/>
            <w:hideMark/>
          </w:tcPr>
          <w:p w:rsidR="003E6989" w:rsidRDefault="003E6989" w:rsidP="006A5410">
            <w:pPr>
              <w:jc w:val="right"/>
              <w:rPr>
                <w:rFonts w:cs="Calibri"/>
                <w:szCs w:val="18"/>
              </w:rPr>
            </w:pPr>
            <w:r>
              <w:rPr>
                <w:rFonts w:cs="Calibri"/>
                <w:szCs w:val="18"/>
              </w:rPr>
              <w:t> </w:t>
            </w:r>
          </w:p>
        </w:tc>
        <w:tc>
          <w:tcPr>
            <w:tcW w:w="980" w:type="dxa"/>
            <w:tcBorders>
              <w:top w:val="nil"/>
              <w:left w:val="nil"/>
              <w:bottom w:val="nil"/>
              <w:right w:val="nil"/>
            </w:tcBorders>
            <w:shd w:val="clear" w:color="000000" w:fill="D9D9D9"/>
            <w:vAlign w:val="bottom"/>
            <w:hideMark/>
          </w:tcPr>
          <w:p w:rsidR="003E6989" w:rsidRDefault="003E6989" w:rsidP="006A5410">
            <w:pPr>
              <w:jc w:val="right"/>
              <w:rPr>
                <w:rFonts w:cs="Calibri"/>
                <w:szCs w:val="18"/>
              </w:rPr>
            </w:pPr>
            <w:r>
              <w:rPr>
                <w:rFonts w:cs="Calibri"/>
                <w:szCs w:val="18"/>
              </w:rPr>
              <w:t>Principal due</w:t>
            </w:r>
          </w:p>
        </w:tc>
        <w:tc>
          <w:tcPr>
            <w:tcW w:w="944" w:type="dxa"/>
            <w:tcBorders>
              <w:top w:val="nil"/>
              <w:left w:val="nil"/>
              <w:bottom w:val="nil"/>
              <w:right w:val="nil"/>
            </w:tcBorders>
            <w:shd w:val="clear" w:color="000000" w:fill="D9D9D9"/>
            <w:vAlign w:val="bottom"/>
            <w:hideMark/>
          </w:tcPr>
          <w:p w:rsidR="003E6989" w:rsidRDefault="003E6989" w:rsidP="006A5410">
            <w:pPr>
              <w:jc w:val="right"/>
              <w:rPr>
                <w:rFonts w:cs="Calibri"/>
                <w:szCs w:val="18"/>
              </w:rPr>
            </w:pPr>
            <w:r>
              <w:rPr>
                <w:rFonts w:cs="Calibri"/>
                <w:szCs w:val="18"/>
              </w:rPr>
              <w:t> </w:t>
            </w:r>
          </w:p>
        </w:tc>
      </w:tr>
      <w:tr w:rsidR="003E6989" w:rsidTr="006A5410">
        <w:trPr>
          <w:trHeight w:val="720"/>
        </w:trPr>
        <w:tc>
          <w:tcPr>
            <w:tcW w:w="2005" w:type="dxa"/>
            <w:tcBorders>
              <w:top w:val="nil"/>
              <w:left w:val="nil"/>
              <w:bottom w:val="nil"/>
              <w:right w:val="nil"/>
            </w:tcBorders>
            <w:shd w:val="clear" w:color="000000" w:fill="D9D9D9"/>
            <w:vAlign w:val="bottom"/>
            <w:hideMark/>
          </w:tcPr>
          <w:p w:rsidR="003E6989" w:rsidRDefault="003E6989" w:rsidP="003E6989">
            <w:pPr>
              <w:ind w:firstLineChars="100" w:firstLine="180"/>
              <w:rPr>
                <w:rFonts w:cs="Calibri"/>
                <w:szCs w:val="18"/>
              </w:rPr>
            </w:pPr>
            <w:r>
              <w:rPr>
                <w:rFonts w:cs="Calibri"/>
                <w:szCs w:val="18"/>
              </w:rPr>
              <w:t>Administered investments</w:t>
            </w:r>
          </w:p>
        </w:tc>
        <w:tc>
          <w:tcPr>
            <w:tcW w:w="1093"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2,118,337</w:t>
            </w:r>
          </w:p>
        </w:tc>
        <w:tc>
          <w:tcPr>
            <w:tcW w:w="1112"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2,149,930 </w:t>
            </w:r>
          </w:p>
        </w:tc>
        <w:tc>
          <w:tcPr>
            <w:tcW w:w="906"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3 </w:t>
            </w:r>
          </w:p>
        </w:tc>
        <w:tc>
          <w:tcPr>
            <w:tcW w:w="1187" w:type="dxa"/>
            <w:tcBorders>
              <w:top w:val="nil"/>
              <w:left w:val="nil"/>
              <w:bottom w:val="nil"/>
              <w:right w:val="nil"/>
            </w:tcBorders>
            <w:shd w:val="clear" w:color="000000" w:fill="D9D9D9"/>
            <w:vAlign w:val="bottom"/>
            <w:hideMark/>
          </w:tcPr>
          <w:p w:rsidR="003E6989" w:rsidRDefault="003E6989" w:rsidP="006A5410">
            <w:pPr>
              <w:jc w:val="right"/>
              <w:rPr>
                <w:rFonts w:cs="Calibri"/>
                <w:szCs w:val="18"/>
              </w:rPr>
            </w:pPr>
            <w:r>
              <w:rPr>
                <w:rFonts w:cs="Calibri"/>
                <w:szCs w:val="18"/>
              </w:rPr>
              <w:t>Net assets of the entity</w:t>
            </w:r>
          </w:p>
        </w:tc>
        <w:tc>
          <w:tcPr>
            <w:tcW w:w="758" w:type="dxa"/>
            <w:tcBorders>
              <w:top w:val="nil"/>
              <w:left w:val="nil"/>
              <w:bottom w:val="nil"/>
              <w:right w:val="nil"/>
            </w:tcBorders>
            <w:shd w:val="clear" w:color="000000" w:fill="D9D9D9"/>
            <w:vAlign w:val="bottom"/>
            <w:hideMark/>
          </w:tcPr>
          <w:p w:rsidR="003E6989" w:rsidRDefault="003E6989" w:rsidP="006A5410">
            <w:pPr>
              <w:jc w:val="right"/>
              <w:rPr>
                <w:rFonts w:cs="Calibri"/>
                <w:szCs w:val="18"/>
              </w:rPr>
            </w:pPr>
            <w:r>
              <w:rPr>
                <w:rFonts w:cs="Calibri"/>
                <w:szCs w:val="18"/>
              </w:rPr>
              <w:t> </w:t>
            </w:r>
          </w:p>
        </w:tc>
        <w:tc>
          <w:tcPr>
            <w:tcW w:w="980" w:type="dxa"/>
            <w:tcBorders>
              <w:top w:val="nil"/>
              <w:left w:val="nil"/>
              <w:bottom w:val="nil"/>
              <w:right w:val="nil"/>
            </w:tcBorders>
            <w:shd w:val="clear" w:color="000000" w:fill="D9D9D9"/>
            <w:vAlign w:val="bottom"/>
            <w:hideMark/>
          </w:tcPr>
          <w:p w:rsidR="003E6989" w:rsidRDefault="003E6989" w:rsidP="006A5410">
            <w:pPr>
              <w:jc w:val="right"/>
              <w:rPr>
                <w:rFonts w:cs="Calibri"/>
                <w:szCs w:val="18"/>
              </w:rPr>
            </w:pPr>
            <w:r>
              <w:rPr>
                <w:rFonts w:cs="Calibri"/>
                <w:szCs w:val="18"/>
              </w:rPr>
              <w:t>Net assets of the entity</w:t>
            </w:r>
          </w:p>
        </w:tc>
        <w:tc>
          <w:tcPr>
            <w:tcW w:w="944" w:type="dxa"/>
            <w:tcBorders>
              <w:top w:val="nil"/>
              <w:left w:val="nil"/>
              <w:bottom w:val="nil"/>
              <w:right w:val="nil"/>
            </w:tcBorders>
            <w:shd w:val="clear" w:color="000000" w:fill="D9D9D9"/>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2005" w:type="dxa"/>
            <w:tcBorders>
              <w:top w:val="nil"/>
              <w:left w:val="nil"/>
              <w:bottom w:val="nil"/>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financial assets</w:t>
            </w:r>
          </w:p>
        </w:tc>
        <w:tc>
          <w:tcPr>
            <w:tcW w:w="1093"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39,072,260</w:t>
            </w:r>
          </w:p>
        </w:tc>
        <w:tc>
          <w:tcPr>
            <w:tcW w:w="1112"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32,647,748</w:t>
            </w:r>
          </w:p>
        </w:tc>
        <w:tc>
          <w:tcPr>
            <w:tcW w:w="906" w:type="dxa"/>
            <w:tcBorders>
              <w:top w:val="single" w:sz="4" w:space="0" w:color="auto"/>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c>
          <w:tcPr>
            <w:tcW w:w="1187" w:type="dxa"/>
            <w:tcBorders>
              <w:top w:val="single" w:sz="4" w:space="0" w:color="auto"/>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c>
          <w:tcPr>
            <w:tcW w:w="758" w:type="dxa"/>
            <w:tcBorders>
              <w:top w:val="single" w:sz="4" w:space="0" w:color="auto"/>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c>
          <w:tcPr>
            <w:tcW w:w="980" w:type="dxa"/>
            <w:tcBorders>
              <w:top w:val="single" w:sz="4" w:space="0" w:color="auto"/>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c>
          <w:tcPr>
            <w:tcW w:w="944" w:type="dxa"/>
            <w:tcBorders>
              <w:top w:val="single" w:sz="4" w:space="0" w:color="auto"/>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r>
      <w:tr w:rsidR="003E6989" w:rsidTr="006A5410">
        <w:trPr>
          <w:trHeight w:val="480"/>
        </w:trPr>
        <w:tc>
          <w:tcPr>
            <w:tcW w:w="2005" w:type="dxa"/>
            <w:tcBorders>
              <w:top w:val="nil"/>
              <w:left w:val="nil"/>
              <w:bottom w:val="single" w:sz="4" w:space="0" w:color="auto"/>
              <w:right w:val="nil"/>
            </w:tcBorders>
            <w:shd w:val="clear" w:color="000000" w:fill="D9D9D9"/>
            <w:vAlign w:val="bottom"/>
            <w:hideMark/>
          </w:tcPr>
          <w:p w:rsidR="003E6989" w:rsidRDefault="003E6989" w:rsidP="006A5410">
            <w:pPr>
              <w:rPr>
                <w:rFonts w:cs="Calibri"/>
                <w:b/>
                <w:bCs/>
                <w:i/>
                <w:iCs/>
                <w:szCs w:val="18"/>
              </w:rPr>
            </w:pPr>
            <w:r>
              <w:rPr>
                <w:rFonts w:cs="Calibri"/>
                <w:b/>
                <w:bCs/>
                <w:i/>
                <w:iCs/>
                <w:szCs w:val="18"/>
              </w:rPr>
              <w:t>Total fair value measurements</w:t>
            </w:r>
          </w:p>
        </w:tc>
        <w:tc>
          <w:tcPr>
            <w:tcW w:w="1093" w:type="dxa"/>
            <w:tcBorders>
              <w:top w:val="nil"/>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39,072,260</w:t>
            </w:r>
          </w:p>
        </w:tc>
        <w:tc>
          <w:tcPr>
            <w:tcW w:w="1112" w:type="dxa"/>
            <w:tcBorders>
              <w:top w:val="nil"/>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32,647,748</w:t>
            </w:r>
          </w:p>
        </w:tc>
        <w:tc>
          <w:tcPr>
            <w:tcW w:w="906" w:type="dxa"/>
            <w:tcBorders>
              <w:top w:val="nil"/>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c>
          <w:tcPr>
            <w:tcW w:w="1187" w:type="dxa"/>
            <w:tcBorders>
              <w:top w:val="nil"/>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c>
          <w:tcPr>
            <w:tcW w:w="758" w:type="dxa"/>
            <w:tcBorders>
              <w:top w:val="nil"/>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c>
          <w:tcPr>
            <w:tcW w:w="980" w:type="dxa"/>
            <w:tcBorders>
              <w:top w:val="nil"/>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c>
          <w:tcPr>
            <w:tcW w:w="944" w:type="dxa"/>
            <w:tcBorders>
              <w:top w:val="nil"/>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w:t>
            </w:r>
          </w:p>
        </w:tc>
      </w:tr>
    </w:tbl>
    <w:p w:rsidR="003E6989" w:rsidRDefault="003E6989" w:rsidP="003E6989">
      <w:pPr>
        <w:pStyle w:val="GreyShadeTableBreak"/>
      </w:pPr>
      <w:bookmarkStart w:id="692" w:name="RANGE!D7:D24"/>
      <w:bookmarkStart w:id="693" w:name="RANGE!D7:H27"/>
      <w:bookmarkStart w:id="694" w:name="RANGE!D7:D26"/>
      <w:bookmarkEnd w:id="692"/>
      <w:bookmarkEnd w:id="693"/>
      <w:bookmarkEnd w:id="694"/>
    </w:p>
    <w:p w:rsidR="003E6989" w:rsidRDefault="003E6989" w:rsidP="003E6989">
      <w:pPr>
        <w:pStyle w:val="GreyShadeTableBreak"/>
      </w:pPr>
      <w:r w:rsidRPr="00B71488">
        <w:t xml:space="preserve">There are a number of Administered assets and liabilities not measured at fair value in the statement of </w:t>
      </w:r>
      <w:r>
        <w:t>administered assets and liabilities</w:t>
      </w:r>
      <w:r w:rsidRPr="00B71488">
        <w:t>. The carrying amounts of these assets and liabilities are considered to be a reasonable approximation of their fair value.</w:t>
      </w:r>
      <w:bookmarkStart w:id="695" w:name="RANGE!D7:D14"/>
      <w:bookmarkStart w:id="696" w:name="RANGE!D7:D13"/>
      <w:bookmarkStart w:id="697" w:name="RANGE!D7:H13"/>
      <w:bookmarkEnd w:id="695"/>
      <w:bookmarkEnd w:id="696"/>
      <w:bookmarkEnd w:id="697"/>
    </w:p>
    <w:p w:rsidR="003E6989" w:rsidRPr="00B71488" w:rsidRDefault="003E6989" w:rsidP="003E6989">
      <w:pPr>
        <w:pStyle w:val="GreyShadeTableBreak"/>
        <w:spacing w:before="120" w:after="120"/>
        <w:rPr>
          <w:rFonts w:cs="Calibri"/>
          <w:szCs w:val="18"/>
        </w:rPr>
      </w:pPr>
      <w:r>
        <w:t xml:space="preserve">The methods and valuation techniques used for the purpose of measuring fair value of assets and liabilities </w:t>
      </w:r>
      <w:r w:rsidRPr="00B71488">
        <w:rPr>
          <w:rFonts w:cs="Calibri"/>
          <w:szCs w:val="18"/>
        </w:rPr>
        <w:t xml:space="preserve">in </w:t>
      </w:r>
      <w:r>
        <w:rPr>
          <w:rFonts w:cs="Calibri"/>
          <w:szCs w:val="18"/>
        </w:rPr>
        <w:t>2016</w:t>
      </w:r>
      <w:r w:rsidRPr="00B71488">
        <w:rPr>
          <w:rFonts w:cs="Calibri"/>
          <w:szCs w:val="18"/>
        </w:rPr>
        <w:t xml:space="preserve"> are unchanged from</w:t>
      </w:r>
      <w:r>
        <w:rPr>
          <w:rFonts w:cs="Calibri"/>
          <w:szCs w:val="18"/>
        </w:rPr>
        <w:t xml:space="preserve"> the previous reporting period.</w:t>
      </w:r>
      <w:r w:rsidRPr="00B71488">
        <w:rPr>
          <w:rFonts w:cs="Calibri"/>
          <w:szCs w:val="18"/>
        </w:rPr>
        <w:tab/>
      </w:r>
      <w:r w:rsidRPr="00B71488">
        <w:rPr>
          <w:rFonts w:cs="Calibri"/>
          <w:szCs w:val="18"/>
        </w:rPr>
        <w:tab/>
      </w:r>
    </w:p>
    <w:p w:rsidR="003E6989" w:rsidRDefault="003E6989" w:rsidP="003E6989">
      <w:pPr>
        <w:pStyle w:val="GreyShadeTableBreak"/>
        <w:rPr>
          <w:rFonts w:cs="Calibri"/>
          <w:szCs w:val="18"/>
        </w:rPr>
      </w:pPr>
      <w:r w:rsidRPr="00B71488">
        <w:rPr>
          <w:rFonts w:cs="Calibri"/>
          <w:szCs w:val="18"/>
        </w:rPr>
        <w:t>Changing inputs to the level 3 hierarchy valuations to reasonably possible alternate assumptions would not significantly change amounts recognised in net cost of service</w:t>
      </w:r>
      <w:r>
        <w:rPr>
          <w:rFonts w:cs="Calibri"/>
          <w:szCs w:val="18"/>
        </w:rPr>
        <w:t>s</w:t>
      </w:r>
      <w:r w:rsidRPr="00B71488">
        <w:rPr>
          <w:rFonts w:cs="Calibri"/>
          <w:szCs w:val="18"/>
        </w:rPr>
        <w:t xml:space="preserve"> or other comprehensive income.</w:t>
      </w:r>
    </w:p>
    <w:p w:rsidR="003E6989" w:rsidRPr="00B71488" w:rsidRDefault="003E6989" w:rsidP="003E6989">
      <w:pPr>
        <w:pStyle w:val="GreyShadeTableBreak"/>
        <w:rPr>
          <w:rFonts w:cs="Calibri"/>
          <w:szCs w:val="18"/>
        </w:rPr>
      </w:pPr>
    </w:p>
    <w:p w:rsidR="003E6989" w:rsidRDefault="003E6989" w:rsidP="003E6989">
      <w:bookmarkStart w:id="698" w:name="RANGE!D7:J20"/>
      <w:r>
        <w:br w:type="page"/>
      </w:r>
    </w:p>
    <w:tbl>
      <w:tblPr>
        <w:tblW w:w="9087" w:type="dxa"/>
        <w:tblInd w:w="80" w:type="dxa"/>
        <w:tblLayout w:type="fixed"/>
        <w:tblLook w:val="04A0" w:firstRow="1" w:lastRow="0" w:firstColumn="1" w:lastColumn="0" w:noHBand="0" w:noVBand="1"/>
      </w:tblPr>
      <w:tblGrid>
        <w:gridCol w:w="2526"/>
        <w:gridCol w:w="1128"/>
        <w:gridCol w:w="1156"/>
        <w:gridCol w:w="1012"/>
        <w:gridCol w:w="1009"/>
        <w:gridCol w:w="1155"/>
        <w:gridCol w:w="1101"/>
      </w:tblGrid>
      <w:tr w:rsidR="003E6989" w:rsidTr="006A5410">
        <w:trPr>
          <w:trHeight w:val="240"/>
        </w:trPr>
        <w:tc>
          <w:tcPr>
            <w:tcW w:w="9001" w:type="dxa"/>
            <w:gridSpan w:val="7"/>
            <w:tcBorders>
              <w:top w:val="nil"/>
              <w:left w:val="nil"/>
              <w:bottom w:val="nil"/>
              <w:right w:val="nil"/>
            </w:tcBorders>
            <w:shd w:val="clear" w:color="000000" w:fill="D9D9D9"/>
            <w:noWrap/>
            <w:vAlign w:val="bottom"/>
            <w:hideMark/>
          </w:tcPr>
          <w:p w:rsidR="003E6989" w:rsidRDefault="003E6989" w:rsidP="006A5410">
            <w:pPr>
              <w:rPr>
                <w:rFonts w:cs="Calibri"/>
                <w:b/>
                <w:bCs/>
                <w:szCs w:val="18"/>
                <w:u w:val="single"/>
              </w:rPr>
            </w:pPr>
            <w:bookmarkStart w:id="699" w:name="Note_AVDTABLE1" w:colFirst="0" w:colLast="0"/>
            <w:r>
              <w:rPr>
                <w:rFonts w:cs="Calibri"/>
                <w:b/>
                <w:bCs/>
                <w:szCs w:val="18"/>
                <w:u w:val="single"/>
              </w:rPr>
              <w:t>7.5B: Reconciliation for recurring Level 3 fair value measurements</w:t>
            </w:r>
          </w:p>
        </w:tc>
      </w:tr>
      <w:bookmarkEnd w:id="699"/>
      <w:tr w:rsidR="003E6989" w:rsidTr="006A5410">
        <w:trPr>
          <w:trHeight w:val="480"/>
        </w:trPr>
        <w:tc>
          <w:tcPr>
            <w:tcW w:w="9001" w:type="dxa"/>
            <w:gridSpan w:val="7"/>
            <w:tcBorders>
              <w:top w:val="nil"/>
              <w:left w:val="nil"/>
              <w:bottom w:val="nil"/>
              <w:right w:val="nil"/>
            </w:tcBorders>
            <w:shd w:val="clear" w:color="000000" w:fill="D9D9D9"/>
            <w:vAlign w:val="center"/>
            <w:hideMark/>
          </w:tcPr>
          <w:p w:rsidR="003E6989" w:rsidRDefault="003E6989" w:rsidP="006A5410">
            <w:pPr>
              <w:rPr>
                <w:rFonts w:cs="Calibri"/>
                <w:szCs w:val="18"/>
              </w:rPr>
            </w:pPr>
            <w:r>
              <w:rPr>
                <w:rFonts w:cs="Calibri"/>
                <w:szCs w:val="18"/>
              </w:rPr>
              <w:t>There has been no transfer between levels during the period</w:t>
            </w:r>
          </w:p>
        </w:tc>
      </w:tr>
      <w:tr w:rsidR="003E6989" w:rsidTr="006A5410">
        <w:trPr>
          <w:trHeight w:val="240"/>
        </w:trPr>
        <w:tc>
          <w:tcPr>
            <w:tcW w:w="9001" w:type="dxa"/>
            <w:gridSpan w:val="7"/>
            <w:tcBorders>
              <w:top w:val="nil"/>
              <w:left w:val="nil"/>
              <w:bottom w:val="single" w:sz="4" w:space="0" w:color="auto"/>
              <w:right w:val="nil"/>
            </w:tcBorders>
            <w:shd w:val="clear" w:color="000000" w:fill="D9D9D9"/>
            <w:vAlign w:val="bottom"/>
            <w:hideMark/>
          </w:tcPr>
          <w:p w:rsidR="003E6989" w:rsidRDefault="003E6989" w:rsidP="006A5410">
            <w:pPr>
              <w:rPr>
                <w:rFonts w:cs="Calibri"/>
                <w:b/>
                <w:bCs/>
                <w:szCs w:val="18"/>
              </w:rPr>
            </w:pPr>
            <w:r>
              <w:rPr>
                <w:rFonts w:cs="Calibri"/>
                <w:b/>
                <w:bCs/>
                <w:szCs w:val="18"/>
              </w:rPr>
              <w:t>Recurring Level 3 fair value measurements - reconciliation for assets</w:t>
            </w:r>
          </w:p>
        </w:tc>
      </w:tr>
      <w:tr w:rsidR="003E6989" w:rsidTr="006A5410">
        <w:trPr>
          <w:trHeight w:val="240"/>
        </w:trPr>
        <w:tc>
          <w:tcPr>
            <w:tcW w:w="2503"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6498" w:type="dxa"/>
            <w:gridSpan w:val="6"/>
            <w:tcBorders>
              <w:top w:val="single" w:sz="4" w:space="0" w:color="auto"/>
              <w:left w:val="nil"/>
              <w:bottom w:val="single" w:sz="4" w:space="0" w:color="auto"/>
              <w:right w:val="nil"/>
            </w:tcBorders>
            <w:shd w:val="clear" w:color="000000" w:fill="D9D9D9"/>
            <w:vAlign w:val="bottom"/>
            <w:hideMark/>
          </w:tcPr>
          <w:p w:rsidR="003E6989" w:rsidRDefault="003E6989" w:rsidP="006A5410">
            <w:pPr>
              <w:jc w:val="center"/>
              <w:rPr>
                <w:rFonts w:cs="Calibri"/>
                <w:b/>
                <w:bCs/>
                <w:szCs w:val="18"/>
              </w:rPr>
            </w:pPr>
            <w:r>
              <w:rPr>
                <w:rFonts w:cs="Calibri"/>
                <w:b/>
                <w:bCs/>
                <w:szCs w:val="18"/>
              </w:rPr>
              <w:t>Financial assets</w:t>
            </w:r>
          </w:p>
        </w:tc>
      </w:tr>
      <w:tr w:rsidR="003E6989" w:rsidTr="006A5410">
        <w:trPr>
          <w:trHeight w:val="495"/>
        </w:trPr>
        <w:tc>
          <w:tcPr>
            <w:tcW w:w="2503"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2262" w:type="dxa"/>
            <w:gridSpan w:val="2"/>
            <w:tcBorders>
              <w:top w:val="single" w:sz="4" w:space="0" w:color="auto"/>
              <w:left w:val="nil"/>
              <w:bottom w:val="single" w:sz="4" w:space="0" w:color="D9D9D9"/>
              <w:right w:val="nil"/>
            </w:tcBorders>
            <w:shd w:val="clear" w:color="000000" w:fill="D9D9D9"/>
            <w:vAlign w:val="bottom"/>
            <w:hideMark/>
          </w:tcPr>
          <w:p w:rsidR="003E6989" w:rsidRDefault="003E6989" w:rsidP="006A5410">
            <w:pPr>
              <w:jc w:val="center"/>
              <w:rPr>
                <w:rFonts w:cs="Calibri"/>
                <w:b/>
                <w:bCs/>
                <w:szCs w:val="18"/>
              </w:rPr>
            </w:pPr>
            <w:r>
              <w:rPr>
                <w:rFonts w:cs="Calibri"/>
                <w:b/>
                <w:bCs/>
                <w:szCs w:val="18"/>
              </w:rPr>
              <w:t>Concessional loans</w:t>
            </w:r>
          </w:p>
        </w:tc>
        <w:tc>
          <w:tcPr>
            <w:tcW w:w="2001" w:type="dxa"/>
            <w:gridSpan w:val="2"/>
            <w:tcBorders>
              <w:top w:val="single" w:sz="4" w:space="0" w:color="auto"/>
              <w:left w:val="nil"/>
              <w:bottom w:val="single" w:sz="4" w:space="0" w:color="D9D9D9"/>
              <w:right w:val="nil"/>
            </w:tcBorders>
            <w:shd w:val="clear" w:color="000000" w:fill="D9D9D9"/>
            <w:vAlign w:val="bottom"/>
            <w:hideMark/>
          </w:tcPr>
          <w:p w:rsidR="003E6989" w:rsidRDefault="003E6989" w:rsidP="006A5410">
            <w:pPr>
              <w:jc w:val="center"/>
              <w:rPr>
                <w:rFonts w:cs="Calibri"/>
                <w:b/>
                <w:bCs/>
                <w:szCs w:val="18"/>
              </w:rPr>
            </w:pPr>
            <w:r>
              <w:rPr>
                <w:rFonts w:cs="Calibri"/>
                <w:b/>
                <w:bCs/>
                <w:szCs w:val="18"/>
              </w:rPr>
              <w:t>Administered investments</w:t>
            </w:r>
          </w:p>
        </w:tc>
        <w:tc>
          <w:tcPr>
            <w:tcW w:w="2235" w:type="dxa"/>
            <w:gridSpan w:val="2"/>
            <w:tcBorders>
              <w:top w:val="single" w:sz="4" w:space="0" w:color="auto"/>
              <w:left w:val="nil"/>
              <w:bottom w:val="single" w:sz="4" w:space="0" w:color="D9D9D9"/>
              <w:right w:val="nil"/>
            </w:tcBorders>
            <w:shd w:val="clear" w:color="000000" w:fill="D9D9D9"/>
            <w:vAlign w:val="bottom"/>
            <w:hideMark/>
          </w:tcPr>
          <w:p w:rsidR="003E6989" w:rsidRDefault="003E6989" w:rsidP="006A5410">
            <w:pPr>
              <w:jc w:val="center"/>
              <w:rPr>
                <w:rFonts w:cs="Calibri"/>
                <w:b/>
                <w:bCs/>
                <w:szCs w:val="18"/>
              </w:rPr>
            </w:pPr>
            <w:r>
              <w:rPr>
                <w:rFonts w:cs="Calibri"/>
                <w:b/>
                <w:bCs/>
                <w:szCs w:val="18"/>
              </w:rPr>
              <w:t>Total</w:t>
            </w:r>
          </w:p>
        </w:tc>
      </w:tr>
      <w:tr w:rsidR="003E6989" w:rsidTr="006A5410">
        <w:trPr>
          <w:trHeight w:val="240"/>
        </w:trPr>
        <w:tc>
          <w:tcPr>
            <w:tcW w:w="2503"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1117"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2016</w:t>
            </w:r>
          </w:p>
        </w:tc>
        <w:tc>
          <w:tcPr>
            <w:tcW w:w="1145"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szCs w:val="18"/>
              </w:rPr>
            </w:pPr>
            <w:r>
              <w:rPr>
                <w:rFonts w:cs="Calibri"/>
                <w:szCs w:val="18"/>
              </w:rPr>
              <w:t>2015</w:t>
            </w:r>
          </w:p>
        </w:tc>
        <w:tc>
          <w:tcPr>
            <w:tcW w:w="1002"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2016</w:t>
            </w:r>
          </w:p>
        </w:tc>
        <w:tc>
          <w:tcPr>
            <w:tcW w:w="999"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szCs w:val="18"/>
              </w:rPr>
            </w:pPr>
            <w:r>
              <w:rPr>
                <w:rFonts w:cs="Calibri"/>
                <w:szCs w:val="18"/>
              </w:rPr>
              <w:t>2015</w:t>
            </w:r>
          </w:p>
        </w:tc>
        <w:tc>
          <w:tcPr>
            <w:tcW w:w="1144"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2016</w:t>
            </w:r>
          </w:p>
        </w:tc>
        <w:tc>
          <w:tcPr>
            <w:tcW w:w="1091" w:type="dxa"/>
            <w:tcBorders>
              <w:top w:val="nil"/>
              <w:left w:val="nil"/>
              <w:bottom w:val="single" w:sz="4" w:space="0" w:color="D9D9D9"/>
              <w:right w:val="nil"/>
            </w:tcBorders>
            <w:shd w:val="clear" w:color="000000" w:fill="D9D9D9"/>
            <w:vAlign w:val="bottom"/>
            <w:hideMark/>
          </w:tcPr>
          <w:p w:rsidR="003E6989" w:rsidRDefault="003E6989" w:rsidP="006A5410">
            <w:pPr>
              <w:jc w:val="right"/>
              <w:rPr>
                <w:rFonts w:cs="Calibri"/>
                <w:szCs w:val="18"/>
              </w:rPr>
            </w:pPr>
            <w:r>
              <w:rPr>
                <w:rFonts w:cs="Calibri"/>
                <w:szCs w:val="18"/>
              </w:rPr>
              <w:t>2015</w:t>
            </w:r>
          </w:p>
        </w:tc>
      </w:tr>
      <w:tr w:rsidR="003E6989" w:rsidTr="006A5410">
        <w:trPr>
          <w:trHeight w:val="240"/>
        </w:trPr>
        <w:tc>
          <w:tcPr>
            <w:tcW w:w="2503" w:type="dxa"/>
            <w:tcBorders>
              <w:top w:val="nil"/>
              <w:left w:val="nil"/>
              <w:bottom w:val="single" w:sz="4" w:space="0" w:color="auto"/>
              <w:right w:val="nil"/>
            </w:tcBorders>
            <w:shd w:val="clear" w:color="000000" w:fill="D9D9D9"/>
            <w:vAlign w:val="bottom"/>
            <w:hideMark/>
          </w:tcPr>
          <w:p w:rsidR="003E6989" w:rsidRDefault="003E6989" w:rsidP="006A5410">
            <w:pPr>
              <w:rPr>
                <w:rFonts w:cs="Calibri"/>
                <w:szCs w:val="18"/>
              </w:rPr>
            </w:pPr>
            <w:r>
              <w:rPr>
                <w:rFonts w:cs="Calibri"/>
                <w:szCs w:val="18"/>
              </w:rPr>
              <w:t> </w:t>
            </w:r>
          </w:p>
        </w:tc>
        <w:tc>
          <w:tcPr>
            <w:tcW w:w="1117" w:type="dxa"/>
            <w:tcBorders>
              <w:top w:val="nil"/>
              <w:left w:val="nil"/>
              <w:bottom w:val="single" w:sz="4" w:space="0" w:color="auto"/>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$'000</w:t>
            </w:r>
          </w:p>
        </w:tc>
        <w:tc>
          <w:tcPr>
            <w:tcW w:w="1145" w:type="dxa"/>
            <w:tcBorders>
              <w:top w:val="nil"/>
              <w:left w:val="nil"/>
              <w:bottom w:val="single" w:sz="4" w:space="0" w:color="auto"/>
              <w:right w:val="nil"/>
            </w:tcBorders>
            <w:shd w:val="clear" w:color="000000" w:fill="D9D9D9"/>
            <w:vAlign w:val="bottom"/>
            <w:hideMark/>
          </w:tcPr>
          <w:p w:rsidR="003E6989" w:rsidRDefault="003E6989" w:rsidP="006A5410">
            <w:pPr>
              <w:jc w:val="right"/>
              <w:rPr>
                <w:rFonts w:cs="Calibri"/>
                <w:szCs w:val="18"/>
              </w:rPr>
            </w:pPr>
            <w:r>
              <w:rPr>
                <w:rFonts w:cs="Calibri"/>
                <w:szCs w:val="18"/>
              </w:rPr>
              <w:t>$'000</w:t>
            </w:r>
          </w:p>
        </w:tc>
        <w:tc>
          <w:tcPr>
            <w:tcW w:w="1002" w:type="dxa"/>
            <w:tcBorders>
              <w:top w:val="nil"/>
              <w:left w:val="nil"/>
              <w:bottom w:val="single" w:sz="4" w:space="0" w:color="auto"/>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$'000</w:t>
            </w:r>
          </w:p>
        </w:tc>
        <w:tc>
          <w:tcPr>
            <w:tcW w:w="999" w:type="dxa"/>
            <w:tcBorders>
              <w:top w:val="nil"/>
              <w:left w:val="nil"/>
              <w:bottom w:val="single" w:sz="4" w:space="0" w:color="auto"/>
              <w:right w:val="nil"/>
            </w:tcBorders>
            <w:shd w:val="clear" w:color="000000" w:fill="D9D9D9"/>
            <w:vAlign w:val="bottom"/>
            <w:hideMark/>
          </w:tcPr>
          <w:p w:rsidR="003E6989" w:rsidRDefault="003E6989" w:rsidP="006A5410">
            <w:pPr>
              <w:jc w:val="right"/>
              <w:rPr>
                <w:rFonts w:cs="Calibri"/>
                <w:szCs w:val="18"/>
              </w:rPr>
            </w:pPr>
            <w:r>
              <w:rPr>
                <w:rFonts w:cs="Calibri"/>
                <w:szCs w:val="18"/>
              </w:rPr>
              <w:t>$'000</w:t>
            </w:r>
          </w:p>
        </w:tc>
        <w:tc>
          <w:tcPr>
            <w:tcW w:w="1144" w:type="dxa"/>
            <w:tcBorders>
              <w:top w:val="nil"/>
              <w:left w:val="nil"/>
              <w:bottom w:val="single" w:sz="4" w:space="0" w:color="auto"/>
              <w:right w:val="nil"/>
            </w:tcBorders>
            <w:shd w:val="clear" w:color="000000" w:fill="D9D9D9"/>
            <w:vAlign w:val="bottom"/>
            <w:hideMark/>
          </w:tcPr>
          <w:p w:rsidR="003E6989" w:rsidRDefault="003E6989" w:rsidP="006A5410">
            <w:pPr>
              <w:jc w:val="right"/>
              <w:rPr>
                <w:rFonts w:cs="Calibri"/>
                <w:b/>
                <w:bCs/>
                <w:szCs w:val="18"/>
              </w:rPr>
            </w:pPr>
            <w:r>
              <w:rPr>
                <w:rFonts w:cs="Calibri"/>
                <w:b/>
                <w:bCs/>
                <w:szCs w:val="18"/>
              </w:rPr>
              <w:t>$'000</w:t>
            </w:r>
          </w:p>
        </w:tc>
        <w:tc>
          <w:tcPr>
            <w:tcW w:w="1091" w:type="dxa"/>
            <w:tcBorders>
              <w:top w:val="nil"/>
              <w:left w:val="nil"/>
              <w:bottom w:val="single" w:sz="4" w:space="0" w:color="auto"/>
              <w:right w:val="nil"/>
            </w:tcBorders>
            <w:shd w:val="clear" w:color="000000" w:fill="D9D9D9"/>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40"/>
        </w:trPr>
        <w:tc>
          <w:tcPr>
            <w:tcW w:w="2503" w:type="dxa"/>
            <w:tcBorders>
              <w:top w:val="nil"/>
              <w:left w:val="nil"/>
              <w:bottom w:val="nil"/>
              <w:right w:val="nil"/>
            </w:tcBorders>
            <w:shd w:val="clear" w:color="000000" w:fill="D9D9D9"/>
            <w:vAlign w:val="bottom"/>
            <w:hideMark/>
          </w:tcPr>
          <w:p w:rsidR="003E6989" w:rsidRDefault="003E6989" w:rsidP="006A5410">
            <w:pPr>
              <w:rPr>
                <w:rFonts w:cs="Calibri"/>
                <w:b/>
                <w:bCs/>
                <w:szCs w:val="18"/>
              </w:rPr>
            </w:pPr>
            <w:r>
              <w:rPr>
                <w:rFonts w:cs="Calibri"/>
                <w:b/>
                <w:bCs/>
                <w:szCs w:val="18"/>
              </w:rPr>
              <w:t>Opening balance</w:t>
            </w:r>
          </w:p>
        </w:tc>
        <w:tc>
          <w:tcPr>
            <w:tcW w:w="1117"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30,497,818</w:t>
            </w:r>
          </w:p>
        </w:tc>
        <w:tc>
          <w:tcPr>
            <w:tcW w:w="1145"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25,147,866 </w:t>
            </w:r>
          </w:p>
        </w:tc>
        <w:tc>
          <w:tcPr>
            <w:tcW w:w="1002"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2,149,930</w:t>
            </w:r>
          </w:p>
        </w:tc>
        <w:tc>
          <w:tcPr>
            <w:tcW w:w="999"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2,149,026 </w:t>
            </w:r>
          </w:p>
        </w:tc>
        <w:tc>
          <w:tcPr>
            <w:tcW w:w="1144"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32,647,748</w:t>
            </w:r>
          </w:p>
        </w:tc>
        <w:tc>
          <w:tcPr>
            <w:tcW w:w="1091"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27,296,892</w:t>
            </w:r>
          </w:p>
        </w:tc>
      </w:tr>
      <w:tr w:rsidR="003E6989" w:rsidTr="006A5410">
        <w:trPr>
          <w:trHeight w:val="540"/>
        </w:trPr>
        <w:tc>
          <w:tcPr>
            <w:tcW w:w="2503"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Total gains/(losses) recognised in net cost of services</w:t>
            </w:r>
            <w:r>
              <w:rPr>
                <w:rFonts w:cs="Calibri"/>
                <w:szCs w:val="18"/>
                <w:vertAlign w:val="superscript"/>
              </w:rPr>
              <w:t>1</w:t>
            </w:r>
          </w:p>
        </w:tc>
        <w:tc>
          <w:tcPr>
            <w:tcW w:w="1117"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325,973 </w:t>
            </w:r>
          </w:p>
        </w:tc>
        <w:tc>
          <w:tcPr>
            <w:tcW w:w="1145"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(669,486)</w:t>
            </w:r>
          </w:p>
        </w:tc>
        <w:tc>
          <w:tcPr>
            <w:tcW w:w="1002"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 -</w:t>
            </w:r>
          </w:p>
        </w:tc>
        <w:tc>
          <w:tcPr>
            <w:tcW w:w="999"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c>
          <w:tcPr>
            <w:tcW w:w="1144"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325,973</w:t>
            </w:r>
          </w:p>
        </w:tc>
        <w:tc>
          <w:tcPr>
            <w:tcW w:w="1091"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(669,486)</w:t>
            </w:r>
          </w:p>
        </w:tc>
      </w:tr>
      <w:tr w:rsidR="003E6989" w:rsidTr="006A5410">
        <w:trPr>
          <w:trHeight w:val="465"/>
        </w:trPr>
        <w:tc>
          <w:tcPr>
            <w:tcW w:w="2503"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Total gains/(losses) recognised in Administered Equity</w:t>
            </w:r>
          </w:p>
        </w:tc>
        <w:tc>
          <w:tcPr>
            <w:tcW w:w="1117"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 -</w:t>
            </w:r>
          </w:p>
        </w:tc>
        <w:tc>
          <w:tcPr>
            <w:tcW w:w="1145"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c>
          <w:tcPr>
            <w:tcW w:w="1002"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(31,593)</w:t>
            </w:r>
          </w:p>
        </w:tc>
        <w:tc>
          <w:tcPr>
            <w:tcW w:w="999"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904 </w:t>
            </w:r>
          </w:p>
        </w:tc>
        <w:tc>
          <w:tcPr>
            <w:tcW w:w="1144"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(31,593)</w:t>
            </w:r>
          </w:p>
        </w:tc>
        <w:tc>
          <w:tcPr>
            <w:tcW w:w="1091"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904</w:t>
            </w:r>
          </w:p>
        </w:tc>
      </w:tr>
      <w:tr w:rsidR="003E6989" w:rsidTr="006A5410">
        <w:trPr>
          <w:trHeight w:val="240"/>
        </w:trPr>
        <w:tc>
          <w:tcPr>
            <w:tcW w:w="2503"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Issues</w:t>
            </w:r>
          </w:p>
        </w:tc>
        <w:tc>
          <w:tcPr>
            <w:tcW w:w="1117"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8,295,624 </w:t>
            </w:r>
          </w:p>
        </w:tc>
        <w:tc>
          <w:tcPr>
            <w:tcW w:w="1145"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7,944,246 </w:t>
            </w:r>
          </w:p>
        </w:tc>
        <w:tc>
          <w:tcPr>
            <w:tcW w:w="1002"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 -</w:t>
            </w:r>
          </w:p>
        </w:tc>
        <w:tc>
          <w:tcPr>
            <w:tcW w:w="999"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c>
          <w:tcPr>
            <w:tcW w:w="1144"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8,295,624</w:t>
            </w:r>
          </w:p>
        </w:tc>
        <w:tc>
          <w:tcPr>
            <w:tcW w:w="1091"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7,944,246</w:t>
            </w:r>
          </w:p>
        </w:tc>
      </w:tr>
      <w:tr w:rsidR="003E6989" w:rsidTr="006A5410">
        <w:trPr>
          <w:trHeight w:val="240"/>
        </w:trPr>
        <w:tc>
          <w:tcPr>
            <w:tcW w:w="2503" w:type="dxa"/>
            <w:tcBorders>
              <w:top w:val="nil"/>
              <w:left w:val="nil"/>
              <w:bottom w:val="nil"/>
              <w:right w:val="nil"/>
            </w:tcBorders>
            <w:shd w:val="clear" w:color="000000" w:fill="D9D9D9"/>
            <w:vAlign w:val="bottom"/>
            <w:hideMark/>
          </w:tcPr>
          <w:p w:rsidR="003E6989" w:rsidRDefault="003E6989" w:rsidP="006A5410">
            <w:pPr>
              <w:rPr>
                <w:rFonts w:cs="Calibri"/>
                <w:szCs w:val="18"/>
              </w:rPr>
            </w:pPr>
            <w:r>
              <w:rPr>
                <w:rFonts w:cs="Calibri"/>
                <w:szCs w:val="18"/>
              </w:rPr>
              <w:t>Settlements</w:t>
            </w:r>
          </w:p>
        </w:tc>
        <w:tc>
          <w:tcPr>
            <w:tcW w:w="1117"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(2,165,493)</w:t>
            </w:r>
          </w:p>
        </w:tc>
        <w:tc>
          <w:tcPr>
            <w:tcW w:w="1145"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(1,924,808)</w:t>
            </w:r>
          </w:p>
        </w:tc>
        <w:tc>
          <w:tcPr>
            <w:tcW w:w="1002" w:type="dxa"/>
            <w:tcBorders>
              <w:top w:val="nil"/>
              <w:left w:val="nil"/>
              <w:bottom w:val="nil"/>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 xml:space="preserve"> -</w:t>
            </w:r>
          </w:p>
        </w:tc>
        <w:tc>
          <w:tcPr>
            <w:tcW w:w="999" w:type="dxa"/>
            <w:tcBorders>
              <w:top w:val="nil"/>
              <w:left w:val="nil"/>
              <w:bottom w:val="nil"/>
              <w:right w:val="nil"/>
            </w:tcBorders>
            <w:shd w:val="clear" w:color="000000" w:fill="D9D9D9"/>
            <w:noWrap/>
            <w:vAlign w:val="bottom"/>
            <w:hideMark/>
          </w:tcPr>
          <w:p w:rsidR="003E6989" w:rsidRDefault="003E6989" w:rsidP="006A5410">
            <w:pPr>
              <w:jc w:val="right"/>
              <w:rPr>
                <w:rFonts w:cs="Calibri"/>
                <w:szCs w:val="18"/>
              </w:rPr>
            </w:pPr>
            <w:r>
              <w:rPr>
                <w:rFonts w:cs="Calibri"/>
                <w:szCs w:val="18"/>
              </w:rPr>
              <w:t xml:space="preserve"> -</w:t>
            </w:r>
          </w:p>
        </w:tc>
        <w:tc>
          <w:tcPr>
            <w:tcW w:w="1144"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(2,165,493)</w:t>
            </w:r>
          </w:p>
        </w:tc>
        <w:tc>
          <w:tcPr>
            <w:tcW w:w="1091" w:type="dxa"/>
            <w:tcBorders>
              <w:top w:val="nil"/>
              <w:left w:val="nil"/>
              <w:bottom w:val="single" w:sz="4" w:space="0" w:color="D9D9D9"/>
              <w:right w:val="nil"/>
            </w:tcBorders>
            <w:shd w:val="clear" w:color="000000" w:fill="D9D9D9"/>
            <w:noWrap/>
            <w:vAlign w:val="bottom"/>
            <w:hideMark/>
          </w:tcPr>
          <w:p w:rsidR="003E6989" w:rsidRDefault="003E6989" w:rsidP="006A5410">
            <w:pPr>
              <w:jc w:val="right"/>
              <w:rPr>
                <w:rFonts w:cs="Calibri"/>
                <w:szCs w:val="18"/>
              </w:rPr>
            </w:pPr>
            <w:r>
              <w:rPr>
                <w:rFonts w:cs="Calibri"/>
                <w:szCs w:val="18"/>
              </w:rPr>
              <w:t>(1,924,808)</w:t>
            </w:r>
          </w:p>
        </w:tc>
      </w:tr>
      <w:tr w:rsidR="003E6989" w:rsidTr="006A5410">
        <w:trPr>
          <w:trHeight w:val="240"/>
        </w:trPr>
        <w:tc>
          <w:tcPr>
            <w:tcW w:w="2503" w:type="dxa"/>
            <w:tcBorders>
              <w:top w:val="single" w:sz="4" w:space="0" w:color="auto"/>
              <w:left w:val="nil"/>
              <w:bottom w:val="single" w:sz="4" w:space="0" w:color="auto"/>
              <w:right w:val="nil"/>
            </w:tcBorders>
            <w:shd w:val="clear" w:color="000000" w:fill="D9D9D9"/>
            <w:vAlign w:val="bottom"/>
            <w:hideMark/>
          </w:tcPr>
          <w:p w:rsidR="003E6989" w:rsidRDefault="003E6989" w:rsidP="006A5410">
            <w:pPr>
              <w:rPr>
                <w:rFonts w:cs="Calibri"/>
                <w:b/>
                <w:bCs/>
                <w:szCs w:val="18"/>
              </w:rPr>
            </w:pPr>
            <w:r>
              <w:rPr>
                <w:rFonts w:cs="Calibri"/>
                <w:b/>
                <w:bCs/>
                <w:szCs w:val="18"/>
              </w:rPr>
              <w:t>Closing balance</w:t>
            </w:r>
          </w:p>
        </w:tc>
        <w:tc>
          <w:tcPr>
            <w:tcW w:w="1117"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36,953,922</w:t>
            </w:r>
          </w:p>
        </w:tc>
        <w:tc>
          <w:tcPr>
            <w:tcW w:w="1145"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30,497,818</w:t>
            </w:r>
          </w:p>
        </w:tc>
        <w:tc>
          <w:tcPr>
            <w:tcW w:w="1002"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2,118,337</w:t>
            </w:r>
          </w:p>
        </w:tc>
        <w:tc>
          <w:tcPr>
            <w:tcW w:w="999"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2,149,930</w:t>
            </w:r>
          </w:p>
        </w:tc>
        <w:tc>
          <w:tcPr>
            <w:tcW w:w="1144"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b/>
                <w:bCs/>
                <w:szCs w:val="18"/>
              </w:rPr>
            </w:pPr>
            <w:r>
              <w:rPr>
                <w:rFonts w:cs="Calibri"/>
                <w:b/>
                <w:bCs/>
                <w:szCs w:val="18"/>
              </w:rPr>
              <w:t>39,072,259</w:t>
            </w:r>
          </w:p>
        </w:tc>
        <w:tc>
          <w:tcPr>
            <w:tcW w:w="1091"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jc w:val="right"/>
              <w:rPr>
                <w:rFonts w:cs="Calibri"/>
                <w:szCs w:val="18"/>
              </w:rPr>
            </w:pPr>
            <w:r>
              <w:rPr>
                <w:rFonts w:cs="Calibri"/>
                <w:szCs w:val="18"/>
              </w:rPr>
              <w:t>32,647,748</w:t>
            </w:r>
          </w:p>
        </w:tc>
      </w:tr>
    </w:tbl>
    <w:p w:rsidR="003E6989" w:rsidRDefault="003E6989" w:rsidP="003E6989">
      <w:pPr>
        <w:pStyle w:val="GreyShadeTableBreak"/>
        <w:rPr>
          <w:vertAlign w:val="superscript"/>
        </w:rPr>
      </w:pPr>
      <w:bookmarkStart w:id="700" w:name="RANGE!D7:J23"/>
      <w:bookmarkStart w:id="701" w:name="RANGE!D7:F26"/>
      <w:bookmarkEnd w:id="698"/>
      <w:bookmarkEnd w:id="700"/>
      <w:bookmarkEnd w:id="701"/>
    </w:p>
    <w:p w:rsidR="003E6989" w:rsidRDefault="003E6989" w:rsidP="003E6989">
      <w:pPr>
        <w:pStyle w:val="GreyShadeTableBreak"/>
      </w:pPr>
      <w:r>
        <w:rPr>
          <w:vertAlign w:val="superscript"/>
        </w:rPr>
        <w:t xml:space="preserve">1 </w:t>
      </w:r>
      <w:r>
        <w:t>The gains or losses are presented in the Administered Schedule of Comprehensive Income under Notes 2.1C Personal benefits, 2.1E Finance costs, 2.1H Fair value losses, 2.2B Interest.</w:t>
      </w:r>
      <w:bookmarkStart w:id="702" w:name="RANGE!D6:H27"/>
      <w:bookmarkStart w:id="703" w:name="RANGE!D7:H14"/>
      <w:bookmarkStart w:id="704" w:name="RANGE!D7:H15"/>
      <w:bookmarkStart w:id="705" w:name="RANGE!D7:D16"/>
      <w:bookmarkEnd w:id="702"/>
      <w:bookmarkEnd w:id="703"/>
      <w:bookmarkEnd w:id="704"/>
      <w:bookmarkEnd w:id="705"/>
    </w:p>
    <w:p w:rsidR="003E6989" w:rsidRDefault="003E6989" w:rsidP="003E6989">
      <w:pPr>
        <w:pStyle w:val="GreyShadeTableBreak"/>
      </w:pPr>
      <w:r>
        <w:br w:type="page"/>
      </w:r>
    </w:p>
    <w:p w:rsidR="003E6989" w:rsidRDefault="003E6989" w:rsidP="003E6989">
      <w:pPr>
        <w:spacing w:line="240" w:lineRule="auto"/>
        <w:sectPr w:rsidR="003E6989" w:rsidSect="006A5410">
          <w:pgSz w:w="11906" w:h="16838"/>
          <w:pgMar w:top="1134" w:right="1134" w:bottom="1134" w:left="1134" w:header="958" w:footer="737" w:gutter="0"/>
          <w:cols w:space="720"/>
        </w:sectPr>
      </w:pPr>
    </w:p>
    <w:p w:rsidR="003E6989" w:rsidRDefault="003E6989" w:rsidP="003E6989">
      <w:pPr>
        <w:pStyle w:val="SectionHeading"/>
      </w:pPr>
      <w:bookmarkStart w:id="706" w:name="_Toc455416759"/>
      <w:bookmarkStart w:id="707" w:name="_Toc463440705"/>
      <w:bookmarkStart w:id="708" w:name="_Toc464726290"/>
      <w:bookmarkStart w:id="709" w:name="_Toc464726650"/>
      <w:r>
        <w:t>Other Information</w:t>
      </w:r>
      <w:bookmarkEnd w:id="706"/>
      <w:bookmarkEnd w:id="707"/>
      <w:bookmarkEnd w:id="708"/>
      <w:bookmarkEnd w:id="709"/>
    </w:p>
    <w:p w:rsidR="003E6989" w:rsidRPr="00233EDE" w:rsidRDefault="003E6989" w:rsidP="003E6989">
      <w:pPr>
        <w:pStyle w:val="SubHeading"/>
      </w:pPr>
      <w:bookmarkStart w:id="710" w:name="_Toc443991945"/>
      <w:bookmarkStart w:id="711" w:name="_Toc443991989"/>
      <w:bookmarkStart w:id="712" w:name="_Toc443992051"/>
      <w:bookmarkStart w:id="713" w:name="_Toc443992096"/>
      <w:bookmarkStart w:id="714" w:name="_Toc443992576"/>
      <w:bookmarkStart w:id="715" w:name="_Toc444001449"/>
      <w:bookmarkStart w:id="716" w:name="_Toc444260045"/>
      <w:bookmarkStart w:id="717" w:name="_Toc445116352"/>
      <w:bookmarkStart w:id="718" w:name="_Toc447095808"/>
      <w:bookmarkStart w:id="719" w:name="_Toc447095855"/>
      <w:bookmarkStart w:id="720" w:name="_Toc447095898"/>
      <w:bookmarkStart w:id="721" w:name="_Toc447096094"/>
      <w:bookmarkStart w:id="722" w:name="_Toc447796088"/>
      <w:bookmarkStart w:id="723" w:name="_Toc455416760"/>
      <w:bookmarkStart w:id="724" w:name="_Toc464726651"/>
      <w:bookmarkEnd w:id="710"/>
      <w:bookmarkEnd w:id="711"/>
      <w:bookmarkEnd w:id="712"/>
      <w:bookmarkEnd w:id="713"/>
      <w:bookmarkEnd w:id="714"/>
      <w:bookmarkEnd w:id="715"/>
      <w:bookmarkEnd w:id="716"/>
      <w:bookmarkEnd w:id="717"/>
      <w:bookmarkEnd w:id="718"/>
      <w:bookmarkEnd w:id="719"/>
      <w:bookmarkEnd w:id="720"/>
      <w:bookmarkEnd w:id="721"/>
      <w:bookmarkEnd w:id="722"/>
      <w:r>
        <w:t>Restructuring</w:t>
      </w:r>
      <w:bookmarkEnd w:id="723"/>
      <w:bookmarkEnd w:id="724"/>
    </w:p>
    <w:tbl>
      <w:tblPr>
        <w:tblW w:w="6122" w:type="dxa"/>
        <w:tblInd w:w="80" w:type="dxa"/>
        <w:tblLayout w:type="fixed"/>
        <w:tblLook w:val="04A0" w:firstRow="1" w:lastRow="0" w:firstColumn="1" w:lastColumn="0" w:noHBand="0" w:noVBand="1"/>
      </w:tblPr>
      <w:tblGrid>
        <w:gridCol w:w="3302"/>
        <w:gridCol w:w="2820"/>
      </w:tblGrid>
      <w:tr w:rsidR="003E6989" w:rsidTr="006A5410">
        <w:trPr>
          <w:trHeight w:val="255"/>
        </w:trPr>
        <w:tc>
          <w:tcPr>
            <w:tcW w:w="3156" w:type="dxa"/>
            <w:tcBorders>
              <w:top w:val="nil"/>
              <w:left w:val="nil"/>
              <w:bottom w:val="nil"/>
              <w:right w:val="nil"/>
            </w:tcBorders>
            <w:shd w:val="clear" w:color="FFFFFF" w:fill="FFFFFF"/>
            <w:noWrap/>
            <w:vAlign w:val="bottom"/>
            <w:hideMark/>
          </w:tcPr>
          <w:p w:rsidR="003E6989" w:rsidRDefault="003E6989" w:rsidP="006A5410">
            <w:pPr>
              <w:rPr>
                <w:rFonts w:cs="Calibri"/>
                <w:b/>
                <w:bCs/>
                <w:szCs w:val="18"/>
                <w:u w:val="single"/>
              </w:rPr>
            </w:pPr>
            <w:bookmarkStart w:id="725" w:name="RANGE!D7:D56"/>
            <w:bookmarkStart w:id="726" w:name="Note_RESTABLE1" w:colFirst="0" w:colLast="0"/>
            <w:r>
              <w:rPr>
                <w:rFonts w:cs="Calibri"/>
                <w:b/>
                <w:bCs/>
                <w:szCs w:val="18"/>
                <w:u w:val="single"/>
              </w:rPr>
              <w:t>8.1A: Departmental restructuring</w:t>
            </w:r>
            <w:bookmarkEnd w:id="725"/>
          </w:p>
        </w:tc>
        <w:tc>
          <w:tcPr>
            <w:tcW w:w="2696" w:type="dxa"/>
            <w:tcBorders>
              <w:top w:val="nil"/>
              <w:left w:val="nil"/>
              <w:bottom w:val="nil"/>
              <w:right w:val="nil"/>
            </w:tcBorders>
            <w:shd w:val="clear" w:color="FFFFFF" w:fill="FFFFFF"/>
            <w:noWrap/>
            <w:vAlign w:val="bottom"/>
            <w:hideMark/>
          </w:tcPr>
          <w:p w:rsidR="003E6989" w:rsidRDefault="003E6989" w:rsidP="006A5410">
            <w:pPr>
              <w:rPr>
                <w:rFonts w:cs="Calibri"/>
                <w:b/>
                <w:bCs/>
                <w:szCs w:val="18"/>
              </w:rPr>
            </w:pPr>
            <w:r>
              <w:rPr>
                <w:rFonts w:cs="Calibri"/>
                <w:b/>
                <w:bCs/>
                <w:szCs w:val="18"/>
              </w:rPr>
              <w:t> </w:t>
            </w:r>
          </w:p>
        </w:tc>
      </w:tr>
      <w:bookmarkEnd w:id="726"/>
      <w:tr w:rsidR="003E6989" w:rsidTr="006A5410">
        <w:trPr>
          <w:trHeight w:val="255"/>
        </w:trPr>
        <w:tc>
          <w:tcPr>
            <w:tcW w:w="315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rPr>
                <w:rFonts w:ascii="Arial" w:hAnsi="Arial" w:cs="Arial"/>
                <w:szCs w:val="18"/>
              </w:rPr>
            </w:pPr>
            <w:r>
              <w:rPr>
                <w:rFonts w:ascii="Arial" w:hAnsi="Arial" w:cs="Arial"/>
                <w:szCs w:val="18"/>
              </w:rPr>
              <w:t> </w:t>
            </w:r>
          </w:p>
        </w:tc>
        <w:tc>
          <w:tcPr>
            <w:tcW w:w="2696" w:type="dxa"/>
            <w:tcBorders>
              <w:top w:val="single" w:sz="4" w:space="0" w:color="auto"/>
              <w:left w:val="nil"/>
              <w:bottom w:val="single" w:sz="4" w:space="0" w:color="auto"/>
              <w:right w:val="nil"/>
            </w:tcBorders>
            <w:shd w:val="clear" w:color="FFFFFF" w:fill="FFFFFF"/>
            <w:vAlign w:val="bottom"/>
            <w:hideMark/>
          </w:tcPr>
          <w:p w:rsidR="003E6989" w:rsidRDefault="003E6989" w:rsidP="006A5410">
            <w:pPr>
              <w:jc w:val="center"/>
              <w:rPr>
                <w:rFonts w:cs="Calibri"/>
                <w:b/>
                <w:bCs/>
                <w:szCs w:val="18"/>
              </w:rPr>
            </w:pPr>
            <w:r>
              <w:rPr>
                <w:rFonts w:cs="Calibri"/>
                <w:b/>
                <w:bCs/>
                <w:szCs w:val="18"/>
              </w:rPr>
              <w:t>2016</w:t>
            </w:r>
          </w:p>
        </w:tc>
      </w:tr>
      <w:tr w:rsidR="003E6989" w:rsidTr="006A5410">
        <w:trPr>
          <w:trHeight w:val="480"/>
        </w:trPr>
        <w:tc>
          <w:tcPr>
            <w:tcW w:w="3156" w:type="dxa"/>
            <w:tcBorders>
              <w:top w:val="nil"/>
              <w:left w:val="nil"/>
              <w:bottom w:val="nil"/>
              <w:right w:val="nil"/>
            </w:tcBorders>
            <w:shd w:val="clear" w:color="FFFFFF" w:fill="FFFFFF"/>
            <w:noWrap/>
            <w:hideMark/>
          </w:tcPr>
          <w:p w:rsidR="003E6989" w:rsidRDefault="003E6989" w:rsidP="006A5410">
            <w:pPr>
              <w:rPr>
                <w:rFonts w:ascii="Arial" w:hAnsi="Arial" w:cs="Arial"/>
                <w:b/>
                <w:bCs/>
                <w:szCs w:val="18"/>
              </w:rPr>
            </w:pPr>
            <w:r>
              <w:rPr>
                <w:rFonts w:ascii="Arial" w:hAnsi="Arial" w:cs="Arial"/>
                <w:b/>
                <w:bCs/>
                <w:szCs w:val="18"/>
              </w:rPr>
              <w:t>Function</w:t>
            </w:r>
          </w:p>
        </w:tc>
        <w:tc>
          <w:tcPr>
            <w:tcW w:w="2696" w:type="dxa"/>
            <w:tcBorders>
              <w:top w:val="nil"/>
              <w:left w:val="nil"/>
              <w:bottom w:val="nil"/>
              <w:right w:val="nil"/>
            </w:tcBorders>
            <w:shd w:val="clear" w:color="FFFFFF" w:fill="FFFFFF"/>
            <w:hideMark/>
          </w:tcPr>
          <w:p w:rsidR="003E6989" w:rsidRDefault="003E6989" w:rsidP="006A5410">
            <w:pPr>
              <w:rPr>
                <w:rFonts w:cs="Calibri"/>
                <w:b/>
                <w:bCs/>
                <w:szCs w:val="18"/>
              </w:rPr>
            </w:pPr>
            <w:r>
              <w:rPr>
                <w:rFonts w:cs="Calibri"/>
                <w:b/>
                <w:bCs/>
                <w:szCs w:val="18"/>
              </w:rPr>
              <w:t>Early Childhood Education and Care</w:t>
            </w:r>
          </w:p>
        </w:tc>
      </w:tr>
      <w:tr w:rsidR="003E6989" w:rsidTr="006A5410">
        <w:trPr>
          <w:trHeight w:val="285"/>
        </w:trPr>
        <w:tc>
          <w:tcPr>
            <w:tcW w:w="3156" w:type="dxa"/>
            <w:tcBorders>
              <w:top w:val="nil"/>
              <w:left w:val="nil"/>
              <w:bottom w:val="nil"/>
              <w:right w:val="nil"/>
            </w:tcBorders>
            <w:shd w:val="clear" w:color="FFFFFF" w:fill="FFFFFF"/>
            <w:noWrap/>
            <w:hideMark/>
          </w:tcPr>
          <w:p w:rsidR="003E6989" w:rsidRDefault="003E6989" w:rsidP="006A5410">
            <w:pPr>
              <w:rPr>
                <w:rFonts w:ascii="Arial" w:hAnsi="Arial" w:cs="Arial"/>
                <w:b/>
                <w:bCs/>
                <w:szCs w:val="18"/>
              </w:rPr>
            </w:pPr>
            <w:r>
              <w:rPr>
                <w:rFonts w:ascii="Arial" w:hAnsi="Arial" w:cs="Arial"/>
                <w:b/>
                <w:bCs/>
                <w:szCs w:val="18"/>
              </w:rPr>
              <w:t>Entity</w:t>
            </w:r>
          </w:p>
        </w:tc>
        <w:tc>
          <w:tcPr>
            <w:tcW w:w="2696" w:type="dxa"/>
            <w:tcBorders>
              <w:top w:val="nil"/>
              <w:left w:val="nil"/>
              <w:bottom w:val="nil"/>
              <w:right w:val="nil"/>
            </w:tcBorders>
            <w:shd w:val="clear" w:color="FFFFFF" w:fill="FFFFFF"/>
            <w:hideMark/>
          </w:tcPr>
          <w:p w:rsidR="003E6989" w:rsidRDefault="003E6989" w:rsidP="006A5410">
            <w:pPr>
              <w:rPr>
                <w:rFonts w:cs="Calibri"/>
                <w:b/>
                <w:bCs/>
                <w:szCs w:val="18"/>
              </w:rPr>
            </w:pPr>
            <w:r>
              <w:rPr>
                <w:rFonts w:cs="Calibri"/>
                <w:b/>
                <w:bCs/>
                <w:szCs w:val="18"/>
              </w:rPr>
              <w:t>Department of Social Services</w:t>
            </w:r>
            <w:r>
              <w:rPr>
                <w:rFonts w:cs="Calibri"/>
                <w:b/>
                <w:bCs/>
                <w:szCs w:val="18"/>
                <w:vertAlign w:val="superscript"/>
              </w:rPr>
              <w:t>1</w:t>
            </w:r>
          </w:p>
        </w:tc>
      </w:tr>
      <w:tr w:rsidR="003E6989" w:rsidTr="006A5410">
        <w:trPr>
          <w:trHeight w:val="255"/>
        </w:trPr>
        <w:tc>
          <w:tcPr>
            <w:tcW w:w="3156" w:type="dxa"/>
            <w:tcBorders>
              <w:top w:val="nil"/>
              <w:left w:val="nil"/>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 </w:t>
            </w:r>
          </w:p>
        </w:tc>
        <w:tc>
          <w:tcPr>
            <w:tcW w:w="2696" w:type="dxa"/>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$'000</w:t>
            </w:r>
          </w:p>
        </w:tc>
      </w:tr>
      <w:tr w:rsidR="003E6989" w:rsidTr="006A5410">
        <w:trPr>
          <w:trHeight w:val="255"/>
        </w:trPr>
        <w:tc>
          <w:tcPr>
            <w:tcW w:w="3156"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FUNCTION ASSUMED</w:t>
            </w:r>
          </w:p>
        </w:tc>
        <w:tc>
          <w:tcPr>
            <w:tcW w:w="2696"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 </w:t>
            </w:r>
          </w:p>
        </w:tc>
      </w:tr>
      <w:tr w:rsidR="003E6989" w:rsidTr="006A5410">
        <w:trPr>
          <w:trHeight w:val="255"/>
        </w:trPr>
        <w:tc>
          <w:tcPr>
            <w:tcW w:w="3156"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Assets recognised</w:t>
            </w:r>
          </w:p>
        </w:tc>
        <w:tc>
          <w:tcPr>
            <w:tcW w:w="2696"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 </w:t>
            </w:r>
          </w:p>
        </w:tc>
      </w:tr>
      <w:tr w:rsidR="003E6989" w:rsidTr="006A5410">
        <w:trPr>
          <w:trHeight w:val="255"/>
        </w:trPr>
        <w:tc>
          <w:tcPr>
            <w:tcW w:w="3156"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Trade and other receivables</w:t>
            </w:r>
          </w:p>
        </w:tc>
        <w:tc>
          <w:tcPr>
            <w:tcW w:w="2696"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16,060 </w:t>
            </w:r>
          </w:p>
        </w:tc>
      </w:tr>
      <w:tr w:rsidR="003E6989" w:rsidTr="006A5410">
        <w:trPr>
          <w:trHeight w:val="255"/>
        </w:trPr>
        <w:tc>
          <w:tcPr>
            <w:tcW w:w="3156"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Property, plant and equipment</w:t>
            </w:r>
          </w:p>
        </w:tc>
        <w:tc>
          <w:tcPr>
            <w:tcW w:w="2696"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40 </w:t>
            </w:r>
          </w:p>
        </w:tc>
      </w:tr>
      <w:tr w:rsidR="003E6989" w:rsidTr="006A5410">
        <w:trPr>
          <w:trHeight w:val="255"/>
        </w:trPr>
        <w:tc>
          <w:tcPr>
            <w:tcW w:w="3156"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Intangibles</w:t>
            </w:r>
          </w:p>
        </w:tc>
        <w:tc>
          <w:tcPr>
            <w:tcW w:w="2696"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949 </w:t>
            </w:r>
          </w:p>
        </w:tc>
      </w:tr>
      <w:tr w:rsidR="003E6989" w:rsidTr="006A5410">
        <w:trPr>
          <w:trHeight w:val="255"/>
        </w:trPr>
        <w:tc>
          <w:tcPr>
            <w:tcW w:w="3156"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Leasehold improvements</w:t>
            </w:r>
          </w:p>
        </w:tc>
        <w:tc>
          <w:tcPr>
            <w:tcW w:w="2696"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646 </w:t>
            </w:r>
          </w:p>
        </w:tc>
      </w:tr>
      <w:tr w:rsidR="003E6989" w:rsidTr="006A5410">
        <w:trPr>
          <w:trHeight w:val="255"/>
        </w:trPr>
        <w:tc>
          <w:tcPr>
            <w:tcW w:w="3156" w:type="dxa"/>
            <w:tcBorders>
              <w:top w:val="single" w:sz="4" w:space="0" w:color="auto"/>
              <w:left w:val="nil"/>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Total assets recognised</w:t>
            </w:r>
          </w:p>
        </w:tc>
        <w:tc>
          <w:tcPr>
            <w:tcW w:w="269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17,695</w:t>
            </w:r>
          </w:p>
        </w:tc>
      </w:tr>
      <w:tr w:rsidR="003E6989" w:rsidTr="006A5410">
        <w:trPr>
          <w:trHeight w:val="120"/>
        </w:trPr>
        <w:tc>
          <w:tcPr>
            <w:tcW w:w="3156"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 </w:t>
            </w:r>
          </w:p>
        </w:tc>
        <w:tc>
          <w:tcPr>
            <w:tcW w:w="2696"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 </w:t>
            </w:r>
          </w:p>
        </w:tc>
      </w:tr>
      <w:tr w:rsidR="003E6989" w:rsidTr="006A5410">
        <w:trPr>
          <w:trHeight w:val="255"/>
        </w:trPr>
        <w:tc>
          <w:tcPr>
            <w:tcW w:w="3156"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Liabilities recognised</w:t>
            </w:r>
          </w:p>
        </w:tc>
        <w:tc>
          <w:tcPr>
            <w:tcW w:w="2696"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 </w:t>
            </w:r>
          </w:p>
        </w:tc>
      </w:tr>
      <w:tr w:rsidR="003E6989" w:rsidTr="006A5410">
        <w:trPr>
          <w:trHeight w:val="255"/>
        </w:trPr>
        <w:tc>
          <w:tcPr>
            <w:tcW w:w="3156"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Employee provisions</w:t>
            </w:r>
          </w:p>
        </w:tc>
        <w:tc>
          <w:tcPr>
            <w:tcW w:w="2696"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13,855 </w:t>
            </w:r>
          </w:p>
        </w:tc>
      </w:tr>
      <w:tr w:rsidR="003E6989" w:rsidTr="006A5410">
        <w:trPr>
          <w:trHeight w:val="255"/>
        </w:trPr>
        <w:tc>
          <w:tcPr>
            <w:tcW w:w="3156"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Other payables</w:t>
            </w:r>
          </w:p>
        </w:tc>
        <w:tc>
          <w:tcPr>
            <w:tcW w:w="2696"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192 </w:t>
            </w:r>
          </w:p>
        </w:tc>
      </w:tr>
      <w:tr w:rsidR="003E6989" w:rsidTr="006A5410">
        <w:trPr>
          <w:trHeight w:val="255"/>
        </w:trPr>
        <w:tc>
          <w:tcPr>
            <w:tcW w:w="3156" w:type="dxa"/>
            <w:tcBorders>
              <w:top w:val="single" w:sz="4" w:space="0" w:color="auto"/>
              <w:left w:val="nil"/>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Total liabilities recognised</w:t>
            </w:r>
          </w:p>
        </w:tc>
        <w:tc>
          <w:tcPr>
            <w:tcW w:w="269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14,047</w:t>
            </w:r>
          </w:p>
        </w:tc>
      </w:tr>
      <w:tr w:rsidR="003E6989" w:rsidTr="006A5410">
        <w:trPr>
          <w:trHeight w:val="255"/>
        </w:trPr>
        <w:tc>
          <w:tcPr>
            <w:tcW w:w="3156" w:type="dxa"/>
            <w:tcBorders>
              <w:top w:val="nil"/>
              <w:left w:val="nil"/>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Net assets recognised</w:t>
            </w:r>
          </w:p>
        </w:tc>
        <w:tc>
          <w:tcPr>
            <w:tcW w:w="2696" w:type="dxa"/>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3,648</w:t>
            </w:r>
          </w:p>
        </w:tc>
      </w:tr>
      <w:tr w:rsidR="003E6989" w:rsidTr="006A5410">
        <w:trPr>
          <w:trHeight w:val="218"/>
        </w:trPr>
        <w:tc>
          <w:tcPr>
            <w:tcW w:w="3156" w:type="dxa"/>
            <w:tcBorders>
              <w:top w:val="nil"/>
              <w:left w:val="nil"/>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 </w:t>
            </w:r>
          </w:p>
        </w:tc>
        <w:tc>
          <w:tcPr>
            <w:tcW w:w="2696" w:type="dxa"/>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w:t>
            </w:r>
          </w:p>
        </w:tc>
      </w:tr>
      <w:tr w:rsidR="003E6989" w:rsidTr="006A5410">
        <w:trPr>
          <w:trHeight w:val="255"/>
        </w:trPr>
        <w:tc>
          <w:tcPr>
            <w:tcW w:w="3156" w:type="dxa"/>
            <w:tcBorders>
              <w:top w:val="nil"/>
              <w:left w:val="nil"/>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Income assumed</w:t>
            </w:r>
          </w:p>
        </w:tc>
        <w:tc>
          <w:tcPr>
            <w:tcW w:w="2696" w:type="dxa"/>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 </w:t>
            </w:r>
          </w:p>
        </w:tc>
      </w:tr>
      <w:tr w:rsidR="003E6989" w:rsidTr="006A5410">
        <w:trPr>
          <w:trHeight w:val="255"/>
        </w:trPr>
        <w:tc>
          <w:tcPr>
            <w:tcW w:w="3156"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Recognised by the receiving entity</w:t>
            </w:r>
          </w:p>
        </w:tc>
        <w:tc>
          <w:tcPr>
            <w:tcW w:w="2696"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 -</w:t>
            </w:r>
          </w:p>
        </w:tc>
      </w:tr>
      <w:tr w:rsidR="003E6989" w:rsidTr="006A5410">
        <w:trPr>
          <w:trHeight w:val="255"/>
        </w:trPr>
        <w:tc>
          <w:tcPr>
            <w:tcW w:w="3156"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Recognised by the losing entity</w:t>
            </w:r>
          </w:p>
        </w:tc>
        <w:tc>
          <w:tcPr>
            <w:tcW w:w="2696"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62 </w:t>
            </w:r>
          </w:p>
        </w:tc>
      </w:tr>
      <w:tr w:rsidR="003E6989" w:rsidTr="006A5410">
        <w:trPr>
          <w:trHeight w:val="255"/>
        </w:trPr>
        <w:tc>
          <w:tcPr>
            <w:tcW w:w="3156" w:type="dxa"/>
            <w:tcBorders>
              <w:top w:val="single" w:sz="4" w:space="0" w:color="auto"/>
              <w:left w:val="nil"/>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Total income assumed</w:t>
            </w:r>
          </w:p>
        </w:tc>
        <w:tc>
          <w:tcPr>
            <w:tcW w:w="269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62</w:t>
            </w:r>
          </w:p>
        </w:tc>
      </w:tr>
      <w:tr w:rsidR="003E6989" w:rsidTr="006A5410">
        <w:trPr>
          <w:trHeight w:val="83"/>
        </w:trPr>
        <w:tc>
          <w:tcPr>
            <w:tcW w:w="315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69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3156" w:type="dxa"/>
            <w:tcBorders>
              <w:top w:val="nil"/>
              <w:left w:val="nil"/>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Expenses assumed</w:t>
            </w:r>
          </w:p>
        </w:tc>
        <w:tc>
          <w:tcPr>
            <w:tcW w:w="2696" w:type="dxa"/>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b/>
                <w:bCs/>
                <w:szCs w:val="18"/>
              </w:rPr>
            </w:pPr>
            <w:r>
              <w:rPr>
                <w:rFonts w:cs="Calibri"/>
                <w:b/>
                <w:bCs/>
                <w:szCs w:val="18"/>
              </w:rPr>
              <w:t> </w:t>
            </w:r>
          </w:p>
        </w:tc>
      </w:tr>
      <w:tr w:rsidR="003E6989" w:rsidTr="006A5410">
        <w:trPr>
          <w:trHeight w:val="255"/>
        </w:trPr>
        <w:tc>
          <w:tcPr>
            <w:tcW w:w="3156"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Recognised by the receiving entity</w:t>
            </w:r>
          </w:p>
        </w:tc>
        <w:tc>
          <w:tcPr>
            <w:tcW w:w="2696"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30,508 </w:t>
            </w:r>
          </w:p>
        </w:tc>
      </w:tr>
      <w:tr w:rsidR="003E6989" w:rsidTr="006A5410">
        <w:trPr>
          <w:trHeight w:val="255"/>
        </w:trPr>
        <w:tc>
          <w:tcPr>
            <w:tcW w:w="3156"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Recognised by the losing entity</w:t>
            </w:r>
          </w:p>
        </w:tc>
        <w:tc>
          <w:tcPr>
            <w:tcW w:w="2696" w:type="dxa"/>
            <w:tcBorders>
              <w:top w:val="nil"/>
              <w:left w:val="nil"/>
              <w:bottom w:val="nil"/>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 xml:space="preserve">14,801 </w:t>
            </w:r>
          </w:p>
        </w:tc>
      </w:tr>
      <w:tr w:rsidR="003E6989" w:rsidTr="006A5410">
        <w:trPr>
          <w:trHeight w:val="255"/>
        </w:trPr>
        <w:tc>
          <w:tcPr>
            <w:tcW w:w="3156" w:type="dxa"/>
            <w:tcBorders>
              <w:top w:val="single" w:sz="4" w:space="0" w:color="auto"/>
              <w:left w:val="nil"/>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Total expenses assumed</w:t>
            </w:r>
          </w:p>
        </w:tc>
        <w:tc>
          <w:tcPr>
            <w:tcW w:w="269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b/>
                <w:bCs/>
                <w:szCs w:val="18"/>
              </w:rPr>
            </w:pPr>
            <w:r>
              <w:rPr>
                <w:rFonts w:cs="Calibri"/>
                <w:b/>
                <w:bCs/>
                <w:szCs w:val="18"/>
              </w:rPr>
              <w:t>45,309</w:t>
            </w:r>
          </w:p>
        </w:tc>
      </w:tr>
      <w:tr w:rsidR="003E6989" w:rsidTr="006A5410">
        <w:trPr>
          <w:trHeight w:val="132"/>
        </w:trPr>
        <w:tc>
          <w:tcPr>
            <w:tcW w:w="315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69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bl>
    <w:p w:rsidR="003E6989" w:rsidRDefault="003E6989" w:rsidP="003E6989">
      <w:pPr>
        <w:pStyle w:val="ReferenceText"/>
      </w:pPr>
      <w:bookmarkStart w:id="727" w:name="RANGE!D7:E56"/>
      <w:bookmarkStart w:id="728" w:name="RANGE!D7:E54"/>
      <w:bookmarkStart w:id="729" w:name="RANGE!D7:F54"/>
      <w:bookmarkStart w:id="730" w:name="RANGE!D7:F74"/>
      <w:bookmarkStart w:id="731" w:name="RANGE!D7:F72"/>
      <w:bookmarkStart w:id="732" w:name="RANGE!D7:F76"/>
      <w:bookmarkStart w:id="733" w:name="RANGE!D7:F51"/>
      <w:bookmarkStart w:id="734" w:name="RANGE!D7:F55"/>
      <w:bookmarkEnd w:id="727"/>
      <w:bookmarkEnd w:id="728"/>
      <w:bookmarkEnd w:id="729"/>
      <w:bookmarkEnd w:id="730"/>
      <w:bookmarkEnd w:id="731"/>
      <w:bookmarkEnd w:id="732"/>
      <w:bookmarkEnd w:id="733"/>
      <w:bookmarkEnd w:id="734"/>
      <w:r>
        <w:t>Notes:</w:t>
      </w:r>
    </w:p>
    <w:p w:rsidR="003E6989" w:rsidRPr="0087193F" w:rsidRDefault="003E6989" w:rsidP="003E6989">
      <w:pPr>
        <w:pStyle w:val="ReferenceText"/>
      </w:pPr>
      <w:r w:rsidRPr="0087193F">
        <w:rPr>
          <w:vertAlign w:val="superscript"/>
        </w:rPr>
        <w:t>1</w:t>
      </w:r>
      <w:r w:rsidRPr="0087193F">
        <w:t xml:space="preserve"> The Early Childhood Education and Care functions were acquired from the Department of Social Services following the Administrative Arrangement Orders of 21 September 2015. </w:t>
      </w:r>
    </w:p>
    <w:p w:rsidR="003E6989" w:rsidRPr="0087193F" w:rsidRDefault="003E6989" w:rsidP="003E6989">
      <w:r w:rsidRPr="0087193F">
        <w:t>The net assets assumed from all entities total $</w:t>
      </w:r>
      <w:r>
        <w:t>3.648</w:t>
      </w:r>
      <w:r w:rsidRPr="0087193F">
        <w:t xml:space="preserve"> million.</w:t>
      </w:r>
    </w:p>
    <w:p w:rsidR="003E6989" w:rsidRDefault="003E6989" w:rsidP="003E6989">
      <w:pPr>
        <w:sectPr w:rsidR="003E6989" w:rsidSect="006A5410">
          <w:pgSz w:w="11906" w:h="16838"/>
          <w:pgMar w:top="1134" w:right="1134" w:bottom="1134" w:left="1134" w:header="958" w:footer="737" w:gutter="0"/>
          <w:cols w:space="720"/>
          <w:docGrid w:linePitch="245"/>
        </w:sectPr>
      </w:pPr>
      <w:r w:rsidRPr="0087193F">
        <w:t>The net book value of the assets and liabilities were transferred to the department for no consideration.</w:t>
      </w:r>
    </w:p>
    <w:p w:rsidR="003E6989" w:rsidRDefault="003E6989" w:rsidP="003E6989">
      <w:bookmarkStart w:id="735" w:name="RANGE!D94:F162"/>
      <w:bookmarkStart w:id="736" w:name="RANGE!D94:F144"/>
      <w:bookmarkStart w:id="737" w:name="RANGE!D90:I141"/>
      <w:bookmarkStart w:id="738" w:name="RANGE!D94:I145"/>
      <w:bookmarkStart w:id="739" w:name="RANGE!D63:I114"/>
      <w:bookmarkStart w:id="740" w:name="RANGE!D64:J111"/>
      <w:bookmarkEnd w:id="735"/>
      <w:bookmarkEnd w:id="736"/>
      <w:bookmarkEnd w:id="737"/>
      <w:bookmarkEnd w:id="738"/>
      <w:bookmarkEnd w:id="739"/>
      <w:bookmarkEnd w:id="740"/>
    </w:p>
    <w:tbl>
      <w:tblPr>
        <w:tblW w:w="9087" w:type="dxa"/>
        <w:tblInd w:w="80" w:type="dxa"/>
        <w:tblLayout w:type="fixed"/>
        <w:tblCellMar>
          <w:left w:w="6" w:type="dxa"/>
          <w:right w:w="6" w:type="dxa"/>
        </w:tblCellMar>
        <w:tblLook w:val="04A0" w:firstRow="1" w:lastRow="0" w:firstColumn="1" w:lastColumn="0" w:noHBand="0" w:noVBand="1"/>
      </w:tblPr>
      <w:tblGrid>
        <w:gridCol w:w="3241"/>
        <w:gridCol w:w="2769"/>
        <w:gridCol w:w="3077"/>
      </w:tblGrid>
      <w:tr w:rsidR="003E6989" w:rsidTr="006A5410">
        <w:trPr>
          <w:trHeight w:val="255"/>
        </w:trPr>
        <w:tc>
          <w:tcPr>
            <w:tcW w:w="315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rPr>
                <w:rFonts w:ascii="Arial" w:hAnsi="Arial" w:cs="Arial"/>
                <w:szCs w:val="18"/>
              </w:rPr>
            </w:pPr>
            <w:bookmarkStart w:id="741" w:name="Note_RESTABLE2" w:colFirst="0" w:colLast="0"/>
            <w:r>
              <w:rPr>
                <w:rFonts w:ascii="Arial" w:hAnsi="Arial" w:cs="Arial"/>
                <w:szCs w:val="18"/>
              </w:rPr>
              <w:t> </w:t>
            </w:r>
          </w:p>
        </w:tc>
        <w:tc>
          <w:tcPr>
            <w:tcW w:w="5692" w:type="dxa"/>
            <w:gridSpan w:val="2"/>
            <w:tcBorders>
              <w:top w:val="single" w:sz="4" w:space="0" w:color="auto"/>
              <w:left w:val="nil"/>
              <w:bottom w:val="single" w:sz="4" w:space="0" w:color="auto"/>
              <w:right w:val="nil"/>
            </w:tcBorders>
            <w:shd w:val="clear" w:color="FFFFFF" w:fill="FFFFFF"/>
            <w:vAlign w:val="bottom"/>
            <w:hideMark/>
          </w:tcPr>
          <w:p w:rsidR="003E6989" w:rsidRDefault="003E6989" w:rsidP="006A5410">
            <w:pPr>
              <w:jc w:val="center"/>
              <w:rPr>
                <w:rFonts w:cs="Calibri"/>
                <w:szCs w:val="18"/>
              </w:rPr>
            </w:pPr>
            <w:r>
              <w:rPr>
                <w:rFonts w:cs="Calibri"/>
                <w:szCs w:val="18"/>
              </w:rPr>
              <w:t>2015</w:t>
            </w:r>
          </w:p>
        </w:tc>
      </w:tr>
      <w:bookmarkEnd w:id="741"/>
      <w:tr w:rsidR="003E6989" w:rsidTr="006A5410">
        <w:trPr>
          <w:trHeight w:val="480"/>
        </w:trPr>
        <w:tc>
          <w:tcPr>
            <w:tcW w:w="3156" w:type="dxa"/>
            <w:tcBorders>
              <w:top w:val="nil"/>
              <w:left w:val="nil"/>
              <w:bottom w:val="nil"/>
              <w:right w:val="nil"/>
            </w:tcBorders>
            <w:shd w:val="clear" w:color="FFFFFF" w:fill="FFFFFF"/>
            <w:noWrap/>
            <w:hideMark/>
          </w:tcPr>
          <w:p w:rsidR="003E6989" w:rsidRDefault="003E6989" w:rsidP="006A5410">
            <w:pPr>
              <w:rPr>
                <w:rFonts w:ascii="Arial" w:hAnsi="Arial" w:cs="Arial"/>
                <w:b/>
                <w:bCs/>
                <w:szCs w:val="18"/>
              </w:rPr>
            </w:pPr>
            <w:r>
              <w:rPr>
                <w:rFonts w:ascii="Arial" w:hAnsi="Arial" w:cs="Arial"/>
                <w:b/>
                <w:bCs/>
                <w:szCs w:val="18"/>
              </w:rPr>
              <w:t>Function</w:t>
            </w:r>
          </w:p>
        </w:tc>
        <w:tc>
          <w:tcPr>
            <w:tcW w:w="2696" w:type="dxa"/>
            <w:tcBorders>
              <w:top w:val="nil"/>
              <w:left w:val="nil"/>
              <w:bottom w:val="nil"/>
              <w:right w:val="nil"/>
            </w:tcBorders>
            <w:shd w:val="clear" w:color="FFFFFF" w:fill="FFFFFF"/>
            <w:hideMark/>
          </w:tcPr>
          <w:p w:rsidR="003E6989" w:rsidRDefault="003E6989" w:rsidP="006A5410">
            <w:pPr>
              <w:rPr>
                <w:rFonts w:cs="Calibri"/>
                <w:szCs w:val="18"/>
              </w:rPr>
            </w:pPr>
            <w:r>
              <w:rPr>
                <w:rFonts w:cs="Calibri"/>
                <w:szCs w:val="18"/>
              </w:rPr>
              <w:t>Early Childhood Education and Care</w:t>
            </w:r>
          </w:p>
        </w:tc>
        <w:tc>
          <w:tcPr>
            <w:tcW w:w="2996" w:type="dxa"/>
            <w:tcBorders>
              <w:top w:val="nil"/>
              <w:left w:val="nil"/>
              <w:bottom w:val="nil"/>
              <w:right w:val="nil"/>
            </w:tcBorders>
            <w:shd w:val="clear" w:color="FFFFFF" w:fill="FFFFFF"/>
            <w:hideMark/>
          </w:tcPr>
          <w:p w:rsidR="003E6989" w:rsidRDefault="003E6989" w:rsidP="006A5410">
            <w:pPr>
              <w:rPr>
                <w:rFonts w:cs="Calibri"/>
                <w:szCs w:val="18"/>
              </w:rPr>
            </w:pPr>
            <w:r>
              <w:rPr>
                <w:rFonts w:cs="Calibri"/>
                <w:szCs w:val="18"/>
              </w:rPr>
              <w:t>Skills and Training</w:t>
            </w:r>
          </w:p>
        </w:tc>
      </w:tr>
      <w:tr w:rsidR="003E6989" w:rsidTr="006A5410">
        <w:trPr>
          <w:trHeight w:val="525"/>
        </w:trPr>
        <w:tc>
          <w:tcPr>
            <w:tcW w:w="3156" w:type="dxa"/>
            <w:tcBorders>
              <w:top w:val="nil"/>
              <w:left w:val="nil"/>
              <w:bottom w:val="nil"/>
              <w:right w:val="nil"/>
            </w:tcBorders>
            <w:shd w:val="clear" w:color="FFFFFF" w:fill="FFFFFF"/>
            <w:noWrap/>
            <w:hideMark/>
          </w:tcPr>
          <w:p w:rsidR="003E6989" w:rsidRDefault="003E6989" w:rsidP="006A5410">
            <w:pPr>
              <w:rPr>
                <w:rFonts w:ascii="Arial" w:hAnsi="Arial" w:cs="Arial"/>
                <w:b/>
                <w:bCs/>
                <w:szCs w:val="18"/>
              </w:rPr>
            </w:pPr>
            <w:r>
              <w:rPr>
                <w:rFonts w:ascii="Arial" w:hAnsi="Arial" w:cs="Arial"/>
                <w:b/>
                <w:bCs/>
                <w:szCs w:val="18"/>
              </w:rPr>
              <w:t>Entity</w:t>
            </w:r>
          </w:p>
        </w:tc>
        <w:tc>
          <w:tcPr>
            <w:tcW w:w="2696" w:type="dxa"/>
            <w:tcBorders>
              <w:top w:val="nil"/>
              <w:left w:val="nil"/>
              <w:bottom w:val="nil"/>
              <w:right w:val="nil"/>
            </w:tcBorders>
            <w:shd w:val="clear" w:color="FFFFFF" w:fill="FFFFFF"/>
            <w:hideMark/>
          </w:tcPr>
          <w:p w:rsidR="003E6989" w:rsidRDefault="003E6989" w:rsidP="006A5410">
            <w:pPr>
              <w:rPr>
                <w:rFonts w:cs="Calibri"/>
                <w:szCs w:val="18"/>
              </w:rPr>
            </w:pPr>
            <w:r>
              <w:rPr>
                <w:rFonts w:cs="Calibri"/>
                <w:szCs w:val="18"/>
              </w:rPr>
              <w:t>Department of Social Services</w:t>
            </w:r>
            <w:r>
              <w:rPr>
                <w:rFonts w:cs="Calibri"/>
                <w:szCs w:val="18"/>
                <w:vertAlign w:val="superscript"/>
              </w:rPr>
              <w:t>1</w:t>
            </w:r>
          </w:p>
        </w:tc>
        <w:tc>
          <w:tcPr>
            <w:tcW w:w="2996" w:type="dxa"/>
            <w:tcBorders>
              <w:top w:val="nil"/>
              <w:left w:val="nil"/>
              <w:bottom w:val="nil"/>
              <w:right w:val="nil"/>
            </w:tcBorders>
            <w:shd w:val="clear" w:color="FFFFFF" w:fill="FFFFFF"/>
            <w:hideMark/>
          </w:tcPr>
          <w:p w:rsidR="003E6989" w:rsidRDefault="003E6989" w:rsidP="006A5410">
            <w:pPr>
              <w:rPr>
                <w:rFonts w:cs="Calibri"/>
                <w:szCs w:val="18"/>
              </w:rPr>
            </w:pPr>
            <w:r>
              <w:rPr>
                <w:rFonts w:cs="Calibri"/>
                <w:szCs w:val="18"/>
              </w:rPr>
              <w:t>Department of Industry and Science</w:t>
            </w:r>
            <w:r>
              <w:rPr>
                <w:rFonts w:cs="Calibri"/>
                <w:szCs w:val="18"/>
                <w:vertAlign w:val="superscript"/>
              </w:rPr>
              <w:t>2</w:t>
            </w:r>
          </w:p>
        </w:tc>
      </w:tr>
      <w:tr w:rsidR="003E6989" w:rsidTr="006A5410">
        <w:trPr>
          <w:trHeight w:val="255"/>
        </w:trPr>
        <w:tc>
          <w:tcPr>
            <w:tcW w:w="3156" w:type="dxa"/>
            <w:tcBorders>
              <w:top w:val="nil"/>
              <w:left w:val="nil"/>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 </w:t>
            </w:r>
          </w:p>
        </w:tc>
        <w:tc>
          <w:tcPr>
            <w:tcW w:w="2696" w:type="dxa"/>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szCs w:val="18"/>
              </w:rPr>
            </w:pPr>
            <w:r>
              <w:rPr>
                <w:rFonts w:cs="Calibri"/>
                <w:szCs w:val="18"/>
              </w:rPr>
              <w:t>$'000</w:t>
            </w:r>
          </w:p>
        </w:tc>
        <w:tc>
          <w:tcPr>
            <w:tcW w:w="2996" w:type="dxa"/>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szCs w:val="18"/>
              </w:rPr>
            </w:pPr>
            <w:r>
              <w:rPr>
                <w:rFonts w:cs="Calibri"/>
                <w:szCs w:val="18"/>
              </w:rPr>
              <w:t>$'000</w:t>
            </w:r>
          </w:p>
        </w:tc>
      </w:tr>
      <w:tr w:rsidR="003E6989" w:rsidTr="006A5410">
        <w:trPr>
          <w:trHeight w:val="255"/>
        </w:trPr>
        <w:tc>
          <w:tcPr>
            <w:tcW w:w="3156"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FUNCTION ASSUMED</w:t>
            </w:r>
          </w:p>
        </w:tc>
        <w:tc>
          <w:tcPr>
            <w:tcW w:w="2696"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 </w:t>
            </w:r>
          </w:p>
        </w:tc>
        <w:tc>
          <w:tcPr>
            <w:tcW w:w="2996"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 </w:t>
            </w:r>
          </w:p>
        </w:tc>
      </w:tr>
      <w:tr w:rsidR="003E6989" w:rsidTr="006A5410">
        <w:trPr>
          <w:trHeight w:val="255"/>
        </w:trPr>
        <w:tc>
          <w:tcPr>
            <w:tcW w:w="3156"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Assets recognised</w:t>
            </w:r>
          </w:p>
        </w:tc>
        <w:tc>
          <w:tcPr>
            <w:tcW w:w="2696"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 </w:t>
            </w:r>
          </w:p>
        </w:tc>
        <w:tc>
          <w:tcPr>
            <w:tcW w:w="2996"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 </w:t>
            </w:r>
          </w:p>
        </w:tc>
      </w:tr>
      <w:tr w:rsidR="003E6989" w:rsidTr="006A5410">
        <w:trPr>
          <w:trHeight w:val="255"/>
        </w:trPr>
        <w:tc>
          <w:tcPr>
            <w:tcW w:w="3156" w:type="dxa"/>
            <w:tcBorders>
              <w:top w:val="nil"/>
              <w:left w:val="nil"/>
              <w:bottom w:val="nil"/>
              <w:right w:val="nil"/>
            </w:tcBorders>
            <w:shd w:val="clear" w:color="FFFFFF" w:fill="FFFFFF"/>
            <w:noWrap/>
            <w:vAlign w:val="bottom"/>
            <w:hideMark/>
          </w:tcPr>
          <w:p w:rsidR="003E6989" w:rsidRDefault="003E6989" w:rsidP="003E6989">
            <w:pPr>
              <w:ind w:leftChars="100" w:left="180"/>
              <w:rPr>
                <w:rFonts w:cs="Calibri"/>
                <w:szCs w:val="18"/>
              </w:rPr>
            </w:pPr>
            <w:r>
              <w:rPr>
                <w:rFonts w:cs="Calibri"/>
                <w:szCs w:val="18"/>
              </w:rPr>
              <w:t>Trade and other receivables</w:t>
            </w:r>
          </w:p>
        </w:tc>
        <w:tc>
          <w:tcPr>
            <w:tcW w:w="269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299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24,100 </w:t>
            </w:r>
          </w:p>
        </w:tc>
      </w:tr>
      <w:tr w:rsidR="003E6989" w:rsidTr="006A5410">
        <w:trPr>
          <w:trHeight w:val="255"/>
        </w:trPr>
        <w:tc>
          <w:tcPr>
            <w:tcW w:w="3156" w:type="dxa"/>
            <w:tcBorders>
              <w:top w:val="nil"/>
              <w:left w:val="nil"/>
              <w:bottom w:val="nil"/>
              <w:right w:val="nil"/>
            </w:tcBorders>
            <w:shd w:val="clear" w:color="FFFFFF" w:fill="FFFFFF"/>
            <w:noWrap/>
            <w:vAlign w:val="bottom"/>
            <w:hideMark/>
          </w:tcPr>
          <w:p w:rsidR="003E6989" w:rsidRDefault="003E6989" w:rsidP="003E6989">
            <w:pPr>
              <w:ind w:leftChars="100" w:left="180"/>
              <w:rPr>
                <w:rFonts w:cs="Calibri"/>
                <w:szCs w:val="18"/>
              </w:rPr>
            </w:pPr>
            <w:r>
              <w:rPr>
                <w:rFonts w:cs="Calibri"/>
                <w:szCs w:val="18"/>
              </w:rPr>
              <w:t>Property, plant and equipment</w:t>
            </w:r>
          </w:p>
        </w:tc>
        <w:tc>
          <w:tcPr>
            <w:tcW w:w="269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299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 </w:t>
            </w:r>
          </w:p>
        </w:tc>
      </w:tr>
      <w:tr w:rsidR="003E6989" w:rsidTr="006A5410">
        <w:trPr>
          <w:trHeight w:val="255"/>
        </w:trPr>
        <w:tc>
          <w:tcPr>
            <w:tcW w:w="3156" w:type="dxa"/>
            <w:tcBorders>
              <w:top w:val="nil"/>
              <w:left w:val="nil"/>
              <w:bottom w:val="nil"/>
              <w:right w:val="nil"/>
            </w:tcBorders>
            <w:shd w:val="clear" w:color="FFFFFF" w:fill="FFFFFF"/>
            <w:noWrap/>
            <w:vAlign w:val="bottom"/>
            <w:hideMark/>
          </w:tcPr>
          <w:p w:rsidR="003E6989" w:rsidRDefault="003E6989" w:rsidP="003E6989">
            <w:pPr>
              <w:ind w:leftChars="100" w:left="180"/>
              <w:rPr>
                <w:rFonts w:cs="Calibri"/>
                <w:szCs w:val="18"/>
              </w:rPr>
            </w:pPr>
            <w:r>
              <w:rPr>
                <w:rFonts w:cs="Calibri"/>
                <w:szCs w:val="18"/>
              </w:rPr>
              <w:t>Intangibles</w:t>
            </w:r>
          </w:p>
        </w:tc>
        <w:tc>
          <w:tcPr>
            <w:tcW w:w="269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299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14,712 </w:t>
            </w:r>
          </w:p>
        </w:tc>
      </w:tr>
      <w:tr w:rsidR="003E6989" w:rsidTr="006A5410">
        <w:trPr>
          <w:trHeight w:val="255"/>
        </w:trPr>
        <w:tc>
          <w:tcPr>
            <w:tcW w:w="3156" w:type="dxa"/>
            <w:tcBorders>
              <w:top w:val="single" w:sz="4" w:space="0" w:color="auto"/>
              <w:left w:val="nil"/>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Total assets recognised</w:t>
            </w:r>
          </w:p>
        </w:tc>
        <w:tc>
          <w:tcPr>
            <w:tcW w:w="269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w:t>
            </w:r>
          </w:p>
        </w:tc>
        <w:tc>
          <w:tcPr>
            <w:tcW w:w="299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38,813</w:t>
            </w:r>
          </w:p>
        </w:tc>
      </w:tr>
      <w:tr w:rsidR="003E6989" w:rsidTr="006A5410">
        <w:trPr>
          <w:trHeight w:val="109"/>
        </w:trPr>
        <w:tc>
          <w:tcPr>
            <w:tcW w:w="3156"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 </w:t>
            </w:r>
          </w:p>
        </w:tc>
        <w:tc>
          <w:tcPr>
            <w:tcW w:w="2696"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w:t>
            </w:r>
          </w:p>
        </w:tc>
        <w:tc>
          <w:tcPr>
            <w:tcW w:w="2996"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3156"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Liabilities recognised</w:t>
            </w:r>
          </w:p>
        </w:tc>
        <w:tc>
          <w:tcPr>
            <w:tcW w:w="2696"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w:t>
            </w:r>
          </w:p>
        </w:tc>
        <w:tc>
          <w:tcPr>
            <w:tcW w:w="2996"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3156" w:type="dxa"/>
            <w:tcBorders>
              <w:top w:val="nil"/>
              <w:left w:val="nil"/>
              <w:bottom w:val="nil"/>
              <w:right w:val="nil"/>
            </w:tcBorders>
            <w:shd w:val="clear" w:color="FFFFFF" w:fill="FFFFFF"/>
            <w:noWrap/>
            <w:vAlign w:val="bottom"/>
            <w:hideMark/>
          </w:tcPr>
          <w:p w:rsidR="003E6989" w:rsidRDefault="003E6989" w:rsidP="003E6989">
            <w:pPr>
              <w:ind w:leftChars="100" w:left="180"/>
              <w:rPr>
                <w:rFonts w:cs="Calibri"/>
                <w:szCs w:val="18"/>
              </w:rPr>
            </w:pPr>
            <w:r>
              <w:rPr>
                <w:rFonts w:cs="Calibri"/>
                <w:szCs w:val="18"/>
              </w:rPr>
              <w:t>Employee provisions</w:t>
            </w:r>
          </w:p>
        </w:tc>
        <w:tc>
          <w:tcPr>
            <w:tcW w:w="269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299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14,256 </w:t>
            </w:r>
          </w:p>
        </w:tc>
      </w:tr>
      <w:tr w:rsidR="003E6989" w:rsidTr="006A5410">
        <w:trPr>
          <w:trHeight w:val="255"/>
        </w:trPr>
        <w:tc>
          <w:tcPr>
            <w:tcW w:w="3156" w:type="dxa"/>
            <w:tcBorders>
              <w:top w:val="single" w:sz="4" w:space="0" w:color="auto"/>
              <w:left w:val="nil"/>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Total liabilities recognised</w:t>
            </w:r>
          </w:p>
        </w:tc>
        <w:tc>
          <w:tcPr>
            <w:tcW w:w="269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w:t>
            </w:r>
          </w:p>
        </w:tc>
        <w:tc>
          <w:tcPr>
            <w:tcW w:w="299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14,256</w:t>
            </w:r>
          </w:p>
        </w:tc>
      </w:tr>
      <w:tr w:rsidR="003E6989" w:rsidTr="006A5410">
        <w:trPr>
          <w:trHeight w:val="255"/>
        </w:trPr>
        <w:tc>
          <w:tcPr>
            <w:tcW w:w="3156" w:type="dxa"/>
            <w:tcBorders>
              <w:top w:val="nil"/>
              <w:left w:val="nil"/>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Net assets recognised</w:t>
            </w:r>
          </w:p>
        </w:tc>
        <w:tc>
          <w:tcPr>
            <w:tcW w:w="2696" w:type="dxa"/>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w:t>
            </w:r>
          </w:p>
        </w:tc>
        <w:tc>
          <w:tcPr>
            <w:tcW w:w="2996" w:type="dxa"/>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24,557</w:t>
            </w:r>
          </w:p>
        </w:tc>
      </w:tr>
      <w:tr w:rsidR="003E6989" w:rsidTr="006A5410">
        <w:trPr>
          <w:trHeight w:val="192"/>
        </w:trPr>
        <w:tc>
          <w:tcPr>
            <w:tcW w:w="3156" w:type="dxa"/>
            <w:tcBorders>
              <w:top w:val="nil"/>
              <w:left w:val="nil"/>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 </w:t>
            </w:r>
          </w:p>
        </w:tc>
        <w:tc>
          <w:tcPr>
            <w:tcW w:w="2696" w:type="dxa"/>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c>
          <w:tcPr>
            <w:tcW w:w="2996" w:type="dxa"/>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3156" w:type="dxa"/>
            <w:tcBorders>
              <w:top w:val="nil"/>
              <w:left w:val="nil"/>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Income assumed</w:t>
            </w:r>
          </w:p>
        </w:tc>
        <w:tc>
          <w:tcPr>
            <w:tcW w:w="2696" w:type="dxa"/>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szCs w:val="18"/>
              </w:rPr>
            </w:pPr>
            <w:r>
              <w:rPr>
                <w:rFonts w:cs="Calibri"/>
                <w:szCs w:val="18"/>
              </w:rPr>
              <w:t> </w:t>
            </w:r>
          </w:p>
        </w:tc>
        <w:tc>
          <w:tcPr>
            <w:tcW w:w="2996" w:type="dxa"/>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3156" w:type="dxa"/>
            <w:tcBorders>
              <w:top w:val="nil"/>
              <w:left w:val="nil"/>
              <w:bottom w:val="nil"/>
              <w:right w:val="nil"/>
            </w:tcBorders>
            <w:shd w:val="clear" w:color="FFFFFF" w:fill="FFFFFF"/>
            <w:noWrap/>
            <w:vAlign w:val="bottom"/>
            <w:hideMark/>
          </w:tcPr>
          <w:p w:rsidR="003E6989" w:rsidRDefault="003E6989" w:rsidP="003E6989">
            <w:pPr>
              <w:ind w:leftChars="100" w:left="180"/>
              <w:rPr>
                <w:rFonts w:cs="Calibri"/>
                <w:szCs w:val="18"/>
              </w:rPr>
            </w:pPr>
            <w:r>
              <w:rPr>
                <w:rFonts w:cs="Calibri"/>
                <w:szCs w:val="18"/>
              </w:rPr>
              <w:t>Recognised by the receiving entity</w:t>
            </w:r>
          </w:p>
        </w:tc>
        <w:tc>
          <w:tcPr>
            <w:tcW w:w="269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299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4,105 </w:t>
            </w:r>
          </w:p>
        </w:tc>
      </w:tr>
      <w:tr w:rsidR="003E6989" w:rsidTr="006A5410">
        <w:trPr>
          <w:trHeight w:val="255"/>
        </w:trPr>
        <w:tc>
          <w:tcPr>
            <w:tcW w:w="3156" w:type="dxa"/>
            <w:tcBorders>
              <w:top w:val="nil"/>
              <w:left w:val="nil"/>
              <w:bottom w:val="nil"/>
              <w:right w:val="nil"/>
            </w:tcBorders>
            <w:shd w:val="clear" w:color="FFFFFF" w:fill="FFFFFF"/>
            <w:noWrap/>
            <w:vAlign w:val="bottom"/>
            <w:hideMark/>
          </w:tcPr>
          <w:p w:rsidR="003E6989" w:rsidRDefault="003E6989" w:rsidP="003E6989">
            <w:pPr>
              <w:ind w:leftChars="100" w:left="180"/>
              <w:rPr>
                <w:rFonts w:cs="Calibri"/>
                <w:szCs w:val="18"/>
              </w:rPr>
            </w:pPr>
            <w:r>
              <w:rPr>
                <w:rFonts w:cs="Calibri"/>
                <w:szCs w:val="18"/>
              </w:rPr>
              <w:t>Recognised by the losing entity</w:t>
            </w:r>
          </w:p>
        </w:tc>
        <w:tc>
          <w:tcPr>
            <w:tcW w:w="269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299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2,863 </w:t>
            </w:r>
          </w:p>
        </w:tc>
      </w:tr>
      <w:tr w:rsidR="003E6989" w:rsidTr="006A5410">
        <w:trPr>
          <w:trHeight w:val="255"/>
        </w:trPr>
        <w:tc>
          <w:tcPr>
            <w:tcW w:w="3156" w:type="dxa"/>
            <w:tcBorders>
              <w:top w:val="single" w:sz="4" w:space="0" w:color="auto"/>
              <w:left w:val="nil"/>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Total income assumed</w:t>
            </w:r>
          </w:p>
        </w:tc>
        <w:tc>
          <w:tcPr>
            <w:tcW w:w="269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w:t>
            </w:r>
          </w:p>
        </w:tc>
        <w:tc>
          <w:tcPr>
            <w:tcW w:w="299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6,968</w:t>
            </w:r>
          </w:p>
        </w:tc>
      </w:tr>
      <w:tr w:rsidR="003E6989" w:rsidTr="006A5410">
        <w:trPr>
          <w:trHeight w:val="420"/>
        </w:trPr>
        <w:tc>
          <w:tcPr>
            <w:tcW w:w="3156" w:type="dxa"/>
            <w:tcBorders>
              <w:top w:val="nil"/>
              <w:left w:val="nil"/>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Expenses assumed</w:t>
            </w:r>
          </w:p>
        </w:tc>
        <w:tc>
          <w:tcPr>
            <w:tcW w:w="2696" w:type="dxa"/>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szCs w:val="18"/>
              </w:rPr>
            </w:pPr>
            <w:r>
              <w:rPr>
                <w:rFonts w:cs="Calibri"/>
                <w:szCs w:val="18"/>
              </w:rPr>
              <w:t> </w:t>
            </w:r>
          </w:p>
        </w:tc>
        <w:tc>
          <w:tcPr>
            <w:tcW w:w="2996" w:type="dxa"/>
            <w:tcBorders>
              <w:top w:val="nil"/>
              <w:left w:val="nil"/>
              <w:bottom w:val="single" w:sz="4" w:space="0" w:color="auto"/>
              <w:right w:val="nil"/>
            </w:tcBorders>
            <w:shd w:val="clear" w:color="FFFFFF" w:fill="FFFFFF"/>
            <w:vAlign w:val="bottom"/>
            <w:hideMark/>
          </w:tcPr>
          <w:p w:rsidR="003E6989" w:rsidRDefault="003E6989" w:rsidP="006A5410">
            <w:pPr>
              <w:jc w:val="right"/>
              <w:rPr>
                <w:rFonts w:cs="Calibri"/>
                <w:szCs w:val="18"/>
              </w:rPr>
            </w:pPr>
            <w:r>
              <w:rPr>
                <w:rFonts w:cs="Calibri"/>
                <w:szCs w:val="18"/>
              </w:rPr>
              <w:t> </w:t>
            </w:r>
          </w:p>
        </w:tc>
      </w:tr>
      <w:tr w:rsidR="003E6989" w:rsidTr="006A5410">
        <w:trPr>
          <w:trHeight w:val="255"/>
        </w:trPr>
        <w:tc>
          <w:tcPr>
            <w:tcW w:w="3156" w:type="dxa"/>
            <w:tcBorders>
              <w:top w:val="nil"/>
              <w:left w:val="nil"/>
              <w:bottom w:val="nil"/>
              <w:right w:val="nil"/>
            </w:tcBorders>
            <w:shd w:val="clear" w:color="FFFFFF" w:fill="FFFFFF"/>
            <w:noWrap/>
            <w:vAlign w:val="bottom"/>
            <w:hideMark/>
          </w:tcPr>
          <w:p w:rsidR="003E6989" w:rsidRDefault="003E6989" w:rsidP="003E6989">
            <w:pPr>
              <w:ind w:leftChars="100" w:left="180"/>
              <w:rPr>
                <w:rFonts w:cs="Calibri"/>
                <w:szCs w:val="18"/>
              </w:rPr>
            </w:pPr>
            <w:r>
              <w:rPr>
                <w:rFonts w:cs="Calibri"/>
                <w:szCs w:val="18"/>
              </w:rPr>
              <w:t>Recognised by the receiving entity</w:t>
            </w:r>
          </w:p>
        </w:tc>
        <w:tc>
          <w:tcPr>
            <w:tcW w:w="269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299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18,960 </w:t>
            </w:r>
          </w:p>
        </w:tc>
      </w:tr>
      <w:tr w:rsidR="003E6989" w:rsidTr="006A5410">
        <w:trPr>
          <w:trHeight w:val="255"/>
        </w:trPr>
        <w:tc>
          <w:tcPr>
            <w:tcW w:w="3156" w:type="dxa"/>
            <w:tcBorders>
              <w:top w:val="nil"/>
              <w:left w:val="nil"/>
              <w:bottom w:val="nil"/>
              <w:right w:val="nil"/>
            </w:tcBorders>
            <w:shd w:val="clear" w:color="FFFFFF" w:fill="FFFFFF"/>
            <w:noWrap/>
            <w:vAlign w:val="bottom"/>
            <w:hideMark/>
          </w:tcPr>
          <w:p w:rsidR="003E6989" w:rsidRDefault="003E6989" w:rsidP="003E6989">
            <w:pPr>
              <w:ind w:leftChars="100" w:left="180"/>
              <w:rPr>
                <w:rFonts w:cs="Calibri"/>
                <w:szCs w:val="18"/>
              </w:rPr>
            </w:pPr>
            <w:r>
              <w:rPr>
                <w:rFonts w:cs="Calibri"/>
                <w:szCs w:val="18"/>
              </w:rPr>
              <w:t>Recognised by the losing entity</w:t>
            </w:r>
          </w:p>
        </w:tc>
        <w:tc>
          <w:tcPr>
            <w:tcW w:w="269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c>
          <w:tcPr>
            <w:tcW w:w="299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38,212 </w:t>
            </w:r>
          </w:p>
        </w:tc>
      </w:tr>
      <w:tr w:rsidR="003E6989" w:rsidTr="006A5410">
        <w:trPr>
          <w:trHeight w:val="255"/>
        </w:trPr>
        <w:tc>
          <w:tcPr>
            <w:tcW w:w="3156" w:type="dxa"/>
            <w:tcBorders>
              <w:top w:val="single" w:sz="4" w:space="0" w:color="auto"/>
              <w:left w:val="nil"/>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Total expenses assumed</w:t>
            </w:r>
          </w:p>
        </w:tc>
        <w:tc>
          <w:tcPr>
            <w:tcW w:w="269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w:t>
            </w:r>
          </w:p>
        </w:tc>
        <w:tc>
          <w:tcPr>
            <w:tcW w:w="299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57,172</w:t>
            </w:r>
          </w:p>
        </w:tc>
      </w:tr>
      <w:tr w:rsidR="003E6989" w:rsidTr="006A5410">
        <w:trPr>
          <w:trHeight w:val="158"/>
        </w:trPr>
        <w:tc>
          <w:tcPr>
            <w:tcW w:w="315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69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99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3156"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FUNCTIONS RELINQUISHED</w:t>
            </w:r>
          </w:p>
        </w:tc>
        <w:tc>
          <w:tcPr>
            <w:tcW w:w="2696"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 </w:t>
            </w:r>
          </w:p>
        </w:tc>
        <w:tc>
          <w:tcPr>
            <w:tcW w:w="2996"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 </w:t>
            </w:r>
          </w:p>
        </w:tc>
      </w:tr>
      <w:tr w:rsidR="003E6989" w:rsidTr="006A5410">
        <w:trPr>
          <w:trHeight w:val="255"/>
        </w:trPr>
        <w:tc>
          <w:tcPr>
            <w:tcW w:w="3156"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Assets relinquished</w:t>
            </w:r>
          </w:p>
        </w:tc>
        <w:tc>
          <w:tcPr>
            <w:tcW w:w="2696"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 </w:t>
            </w:r>
          </w:p>
        </w:tc>
        <w:tc>
          <w:tcPr>
            <w:tcW w:w="2996" w:type="dxa"/>
            <w:tcBorders>
              <w:top w:val="nil"/>
              <w:left w:val="nil"/>
              <w:bottom w:val="nil"/>
              <w:right w:val="nil"/>
            </w:tcBorders>
            <w:shd w:val="clear" w:color="FFFFFF" w:fill="FFFFFF"/>
            <w:noWrap/>
            <w:vAlign w:val="bottom"/>
            <w:hideMark/>
          </w:tcPr>
          <w:p w:rsidR="003E6989" w:rsidRDefault="003E6989" w:rsidP="003E6989">
            <w:pPr>
              <w:ind w:firstLineChars="100" w:firstLine="180"/>
              <w:rPr>
                <w:rFonts w:cs="Calibri"/>
                <w:szCs w:val="18"/>
              </w:rPr>
            </w:pPr>
            <w:r>
              <w:rPr>
                <w:rFonts w:cs="Calibri"/>
                <w:szCs w:val="18"/>
              </w:rPr>
              <w:t> </w:t>
            </w:r>
          </w:p>
        </w:tc>
      </w:tr>
      <w:tr w:rsidR="003E6989" w:rsidTr="006A5410">
        <w:trPr>
          <w:trHeight w:val="255"/>
        </w:trPr>
        <w:tc>
          <w:tcPr>
            <w:tcW w:w="3156" w:type="dxa"/>
            <w:tcBorders>
              <w:top w:val="nil"/>
              <w:left w:val="nil"/>
              <w:bottom w:val="nil"/>
              <w:right w:val="nil"/>
            </w:tcBorders>
            <w:shd w:val="clear" w:color="FFFFFF" w:fill="FFFFFF"/>
            <w:noWrap/>
            <w:vAlign w:val="bottom"/>
            <w:hideMark/>
          </w:tcPr>
          <w:p w:rsidR="003E6989" w:rsidRDefault="003E6989" w:rsidP="003E6989">
            <w:pPr>
              <w:ind w:leftChars="100" w:left="180"/>
              <w:rPr>
                <w:rFonts w:cs="Calibri"/>
                <w:szCs w:val="18"/>
              </w:rPr>
            </w:pPr>
            <w:r>
              <w:rPr>
                <w:rFonts w:cs="Calibri"/>
                <w:szCs w:val="18"/>
              </w:rPr>
              <w:t>Trade and other receivables</w:t>
            </w:r>
          </w:p>
        </w:tc>
        <w:tc>
          <w:tcPr>
            <w:tcW w:w="269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13,085 </w:t>
            </w:r>
          </w:p>
        </w:tc>
        <w:tc>
          <w:tcPr>
            <w:tcW w:w="299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3156" w:type="dxa"/>
            <w:tcBorders>
              <w:top w:val="nil"/>
              <w:left w:val="nil"/>
              <w:bottom w:val="nil"/>
              <w:right w:val="nil"/>
            </w:tcBorders>
            <w:shd w:val="clear" w:color="FFFFFF" w:fill="FFFFFF"/>
            <w:noWrap/>
            <w:vAlign w:val="bottom"/>
            <w:hideMark/>
          </w:tcPr>
          <w:p w:rsidR="003E6989" w:rsidRDefault="003E6989" w:rsidP="003E6989">
            <w:pPr>
              <w:ind w:leftChars="100" w:left="180"/>
              <w:rPr>
                <w:rFonts w:cs="Calibri"/>
                <w:szCs w:val="18"/>
              </w:rPr>
            </w:pPr>
            <w:r>
              <w:rPr>
                <w:rFonts w:cs="Calibri"/>
                <w:szCs w:val="18"/>
              </w:rPr>
              <w:t>Land and buildings</w:t>
            </w:r>
          </w:p>
        </w:tc>
        <w:tc>
          <w:tcPr>
            <w:tcW w:w="269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2,583 </w:t>
            </w:r>
          </w:p>
        </w:tc>
        <w:tc>
          <w:tcPr>
            <w:tcW w:w="299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3156" w:type="dxa"/>
            <w:tcBorders>
              <w:top w:val="nil"/>
              <w:left w:val="nil"/>
              <w:bottom w:val="nil"/>
              <w:right w:val="nil"/>
            </w:tcBorders>
            <w:shd w:val="clear" w:color="FFFFFF" w:fill="FFFFFF"/>
            <w:noWrap/>
            <w:vAlign w:val="bottom"/>
            <w:hideMark/>
          </w:tcPr>
          <w:p w:rsidR="003E6989" w:rsidRDefault="003E6989" w:rsidP="003E6989">
            <w:pPr>
              <w:ind w:leftChars="100" w:left="180"/>
              <w:rPr>
                <w:rFonts w:cs="Calibri"/>
                <w:szCs w:val="18"/>
              </w:rPr>
            </w:pPr>
            <w:r>
              <w:rPr>
                <w:rFonts w:cs="Calibri"/>
                <w:szCs w:val="18"/>
              </w:rPr>
              <w:t>Property, plant and equipment</w:t>
            </w:r>
          </w:p>
        </w:tc>
        <w:tc>
          <w:tcPr>
            <w:tcW w:w="269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25 </w:t>
            </w:r>
          </w:p>
        </w:tc>
        <w:tc>
          <w:tcPr>
            <w:tcW w:w="299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3156" w:type="dxa"/>
            <w:tcBorders>
              <w:top w:val="nil"/>
              <w:left w:val="nil"/>
              <w:bottom w:val="nil"/>
              <w:right w:val="nil"/>
            </w:tcBorders>
            <w:shd w:val="clear" w:color="FFFFFF" w:fill="FFFFFF"/>
            <w:noWrap/>
            <w:vAlign w:val="bottom"/>
            <w:hideMark/>
          </w:tcPr>
          <w:p w:rsidR="003E6989" w:rsidRDefault="003E6989" w:rsidP="003E6989">
            <w:pPr>
              <w:ind w:leftChars="100" w:left="180"/>
              <w:rPr>
                <w:rFonts w:cs="Calibri"/>
                <w:szCs w:val="18"/>
              </w:rPr>
            </w:pPr>
            <w:r>
              <w:rPr>
                <w:rFonts w:cs="Calibri"/>
                <w:szCs w:val="18"/>
              </w:rPr>
              <w:t>Intangibles</w:t>
            </w:r>
          </w:p>
        </w:tc>
        <w:tc>
          <w:tcPr>
            <w:tcW w:w="269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8,557 </w:t>
            </w:r>
          </w:p>
        </w:tc>
        <w:tc>
          <w:tcPr>
            <w:tcW w:w="299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3156" w:type="dxa"/>
            <w:tcBorders>
              <w:top w:val="nil"/>
              <w:left w:val="nil"/>
              <w:bottom w:val="nil"/>
              <w:right w:val="nil"/>
            </w:tcBorders>
            <w:shd w:val="clear" w:color="FFFFFF" w:fill="FFFFFF"/>
            <w:noWrap/>
            <w:vAlign w:val="bottom"/>
            <w:hideMark/>
          </w:tcPr>
          <w:p w:rsidR="003E6989" w:rsidRDefault="003E6989" w:rsidP="003E6989">
            <w:pPr>
              <w:ind w:leftChars="100" w:left="180"/>
              <w:rPr>
                <w:rFonts w:cs="Calibri"/>
                <w:szCs w:val="18"/>
              </w:rPr>
            </w:pPr>
            <w:r>
              <w:rPr>
                <w:rFonts w:cs="Calibri"/>
                <w:szCs w:val="18"/>
              </w:rPr>
              <w:t>Other non financial assets</w:t>
            </w:r>
          </w:p>
        </w:tc>
        <w:tc>
          <w:tcPr>
            <w:tcW w:w="269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260 </w:t>
            </w:r>
          </w:p>
        </w:tc>
        <w:tc>
          <w:tcPr>
            <w:tcW w:w="299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3156" w:type="dxa"/>
            <w:tcBorders>
              <w:top w:val="single" w:sz="4" w:space="0" w:color="auto"/>
              <w:left w:val="nil"/>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Total assets relinquished</w:t>
            </w:r>
          </w:p>
        </w:tc>
        <w:tc>
          <w:tcPr>
            <w:tcW w:w="269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24,510</w:t>
            </w:r>
          </w:p>
        </w:tc>
        <w:tc>
          <w:tcPr>
            <w:tcW w:w="299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w:t>
            </w:r>
          </w:p>
        </w:tc>
      </w:tr>
      <w:tr w:rsidR="003E6989" w:rsidTr="006A5410">
        <w:trPr>
          <w:trHeight w:val="143"/>
        </w:trPr>
        <w:tc>
          <w:tcPr>
            <w:tcW w:w="315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69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c>
          <w:tcPr>
            <w:tcW w:w="2996" w:type="dxa"/>
            <w:tcBorders>
              <w:top w:val="nil"/>
              <w:left w:val="nil"/>
              <w:bottom w:val="nil"/>
              <w:right w:val="nil"/>
            </w:tcBorders>
            <w:shd w:val="clear" w:color="FFFFFF" w:fill="FFFFFF"/>
            <w:noWrap/>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3156" w:type="dxa"/>
            <w:tcBorders>
              <w:top w:val="nil"/>
              <w:left w:val="nil"/>
              <w:bottom w:val="nil"/>
              <w:right w:val="nil"/>
            </w:tcBorders>
            <w:shd w:val="clear" w:color="FFFFFF" w:fill="FFFFFF"/>
            <w:vAlign w:val="bottom"/>
            <w:hideMark/>
          </w:tcPr>
          <w:p w:rsidR="003E6989" w:rsidRDefault="003E6989" w:rsidP="006A5410">
            <w:pPr>
              <w:rPr>
                <w:rFonts w:cs="Calibri"/>
                <w:b/>
                <w:bCs/>
                <w:szCs w:val="18"/>
              </w:rPr>
            </w:pPr>
            <w:r>
              <w:rPr>
                <w:rFonts w:cs="Calibri"/>
                <w:b/>
                <w:bCs/>
                <w:szCs w:val="18"/>
              </w:rPr>
              <w:t>Liabilities relinquished</w:t>
            </w:r>
          </w:p>
        </w:tc>
        <w:tc>
          <w:tcPr>
            <w:tcW w:w="2696"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w:t>
            </w:r>
          </w:p>
        </w:tc>
        <w:tc>
          <w:tcPr>
            <w:tcW w:w="2996" w:type="dxa"/>
            <w:tcBorders>
              <w:top w:val="nil"/>
              <w:left w:val="nil"/>
              <w:bottom w:val="nil"/>
              <w:right w:val="nil"/>
            </w:tcBorders>
            <w:shd w:val="clear" w:color="FFFFFF" w:fill="FFFFFF"/>
            <w:vAlign w:val="bottom"/>
            <w:hideMark/>
          </w:tcPr>
          <w:p w:rsidR="003E6989" w:rsidRDefault="003E6989" w:rsidP="006A5410">
            <w:pPr>
              <w:rPr>
                <w:rFonts w:cs="Calibri"/>
                <w:szCs w:val="18"/>
              </w:rPr>
            </w:pPr>
            <w:r>
              <w:rPr>
                <w:rFonts w:cs="Calibri"/>
                <w:szCs w:val="18"/>
              </w:rPr>
              <w:t> </w:t>
            </w:r>
          </w:p>
        </w:tc>
      </w:tr>
      <w:tr w:rsidR="003E6989" w:rsidTr="006A5410">
        <w:trPr>
          <w:trHeight w:val="255"/>
        </w:trPr>
        <w:tc>
          <w:tcPr>
            <w:tcW w:w="3156" w:type="dxa"/>
            <w:tcBorders>
              <w:top w:val="nil"/>
              <w:left w:val="nil"/>
              <w:bottom w:val="nil"/>
              <w:right w:val="nil"/>
            </w:tcBorders>
            <w:shd w:val="clear" w:color="FFFFFF" w:fill="FFFFFF"/>
            <w:noWrap/>
            <w:vAlign w:val="bottom"/>
            <w:hideMark/>
          </w:tcPr>
          <w:p w:rsidR="003E6989" w:rsidRDefault="003E6989" w:rsidP="003E6989">
            <w:pPr>
              <w:ind w:leftChars="100" w:left="180"/>
              <w:rPr>
                <w:rFonts w:cs="Calibri"/>
                <w:szCs w:val="18"/>
              </w:rPr>
            </w:pPr>
            <w:r>
              <w:rPr>
                <w:rFonts w:cs="Calibri"/>
                <w:szCs w:val="18"/>
              </w:rPr>
              <w:t>Suppliers</w:t>
            </w:r>
          </w:p>
        </w:tc>
        <w:tc>
          <w:tcPr>
            <w:tcW w:w="269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4,073 </w:t>
            </w:r>
          </w:p>
        </w:tc>
        <w:tc>
          <w:tcPr>
            <w:tcW w:w="299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3156" w:type="dxa"/>
            <w:tcBorders>
              <w:top w:val="nil"/>
              <w:left w:val="nil"/>
              <w:bottom w:val="nil"/>
              <w:right w:val="nil"/>
            </w:tcBorders>
            <w:shd w:val="clear" w:color="FFFFFF" w:fill="FFFFFF"/>
            <w:noWrap/>
            <w:vAlign w:val="bottom"/>
            <w:hideMark/>
          </w:tcPr>
          <w:p w:rsidR="003E6989" w:rsidRDefault="003E6989" w:rsidP="003E6989">
            <w:pPr>
              <w:ind w:leftChars="100" w:left="180"/>
              <w:rPr>
                <w:rFonts w:cs="Calibri"/>
                <w:szCs w:val="18"/>
              </w:rPr>
            </w:pPr>
            <w:r>
              <w:rPr>
                <w:rFonts w:cs="Calibri"/>
                <w:szCs w:val="18"/>
              </w:rPr>
              <w:t>Employee provisions</w:t>
            </w:r>
          </w:p>
        </w:tc>
        <w:tc>
          <w:tcPr>
            <w:tcW w:w="269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13,416 </w:t>
            </w:r>
          </w:p>
        </w:tc>
        <w:tc>
          <w:tcPr>
            <w:tcW w:w="2996" w:type="dxa"/>
            <w:tcBorders>
              <w:top w:val="nil"/>
              <w:left w:val="nil"/>
              <w:bottom w:val="nil"/>
              <w:right w:val="nil"/>
            </w:tcBorders>
            <w:shd w:val="clear" w:color="FFFFFF" w:fill="FFFFFF"/>
            <w:noWrap/>
            <w:vAlign w:val="bottom"/>
            <w:hideMark/>
          </w:tcPr>
          <w:p w:rsidR="003E6989" w:rsidRDefault="003E6989" w:rsidP="006A5410">
            <w:pPr>
              <w:jc w:val="right"/>
              <w:rPr>
                <w:rFonts w:cs="Calibri"/>
                <w:szCs w:val="18"/>
              </w:rPr>
            </w:pPr>
            <w:r>
              <w:rPr>
                <w:rFonts w:cs="Calibri"/>
                <w:szCs w:val="18"/>
              </w:rPr>
              <w:t xml:space="preserve"> -</w:t>
            </w:r>
          </w:p>
        </w:tc>
      </w:tr>
      <w:tr w:rsidR="003E6989" w:rsidTr="006A5410">
        <w:trPr>
          <w:trHeight w:val="255"/>
        </w:trPr>
        <w:tc>
          <w:tcPr>
            <w:tcW w:w="3156" w:type="dxa"/>
            <w:tcBorders>
              <w:top w:val="single" w:sz="4" w:space="0" w:color="auto"/>
              <w:left w:val="nil"/>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Total liabilities relinquished</w:t>
            </w:r>
          </w:p>
        </w:tc>
        <w:tc>
          <w:tcPr>
            <w:tcW w:w="269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17,489</w:t>
            </w:r>
          </w:p>
        </w:tc>
        <w:tc>
          <w:tcPr>
            <w:tcW w:w="2996" w:type="dxa"/>
            <w:tcBorders>
              <w:top w:val="single" w:sz="4" w:space="0" w:color="auto"/>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w:t>
            </w:r>
          </w:p>
        </w:tc>
      </w:tr>
      <w:tr w:rsidR="003E6989" w:rsidTr="006A5410">
        <w:trPr>
          <w:trHeight w:val="255"/>
        </w:trPr>
        <w:tc>
          <w:tcPr>
            <w:tcW w:w="3156" w:type="dxa"/>
            <w:tcBorders>
              <w:top w:val="nil"/>
              <w:left w:val="nil"/>
              <w:bottom w:val="single" w:sz="4" w:space="0" w:color="auto"/>
              <w:right w:val="nil"/>
            </w:tcBorders>
            <w:shd w:val="clear" w:color="FFFFFF" w:fill="FFFFFF"/>
            <w:vAlign w:val="bottom"/>
            <w:hideMark/>
          </w:tcPr>
          <w:p w:rsidR="003E6989" w:rsidRDefault="003E6989" w:rsidP="006A5410">
            <w:pPr>
              <w:rPr>
                <w:rFonts w:cs="Calibri"/>
                <w:b/>
                <w:bCs/>
                <w:szCs w:val="18"/>
              </w:rPr>
            </w:pPr>
            <w:r>
              <w:rPr>
                <w:rFonts w:cs="Calibri"/>
                <w:b/>
                <w:bCs/>
                <w:szCs w:val="18"/>
              </w:rPr>
              <w:t>Net assets relinquished</w:t>
            </w:r>
          </w:p>
        </w:tc>
        <w:tc>
          <w:tcPr>
            <w:tcW w:w="2696" w:type="dxa"/>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7,021</w:t>
            </w:r>
          </w:p>
        </w:tc>
        <w:tc>
          <w:tcPr>
            <w:tcW w:w="2996" w:type="dxa"/>
            <w:tcBorders>
              <w:top w:val="nil"/>
              <w:left w:val="nil"/>
              <w:bottom w:val="single" w:sz="4" w:space="0" w:color="auto"/>
              <w:right w:val="nil"/>
            </w:tcBorders>
            <w:shd w:val="clear" w:color="FFFFFF" w:fill="FFFFFF"/>
            <w:noWrap/>
            <w:vAlign w:val="bottom"/>
            <w:hideMark/>
          </w:tcPr>
          <w:p w:rsidR="003E6989" w:rsidRDefault="003E6989" w:rsidP="006A5410">
            <w:pPr>
              <w:jc w:val="right"/>
              <w:rPr>
                <w:rFonts w:cs="Calibri"/>
                <w:szCs w:val="18"/>
              </w:rPr>
            </w:pPr>
            <w:r>
              <w:rPr>
                <w:rFonts w:cs="Calibri"/>
                <w:szCs w:val="18"/>
              </w:rPr>
              <w:t>-</w:t>
            </w:r>
          </w:p>
        </w:tc>
      </w:tr>
    </w:tbl>
    <w:p w:rsidR="003E6989" w:rsidRPr="00CB16D1" w:rsidRDefault="003E6989" w:rsidP="003E6989">
      <w:pPr>
        <w:pStyle w:val="ReferenceText"/>
      </w:pPr>
      <w:bookmarkStart w:id="742" w:name="RANGE!D63:F109"/>
      <w:bookmarkStart w:id="743" w:name="RANGE!D61:F107"/>
      <w:bookmarkStart w:id="744" w:name="RANGE!D62:F108"/>
      <w:bookmarkStart w:id="745" w:name="RANGE!D7:J111"/>
      <w:bookmarkStart w:id="746" w:name="RANGE!D7:J109"/>
      <w:bookmarkStart w:id="747" w:name="RANGE!D7:J56"/>
      <w:bookmarkStart w:id="748" w:name="RANGE!D7:J52"/>
      <w:bookmarkStart w:id="749" w:name="RANGE!D7:J25"/>
      <w:bookmarkStart w:id="750" w:name="RANGE!D6:K7"/>
      <w:bookmarkStart w:id="751" w:name="RANGE!D6:L7"/>
      <w:bookmarkEnd w:id="742"/>
      <w:bookmarkEnd w:id="743"/>
      <w:bookmarkEnd w:id="744"/>
      <w:bookmarkEnd w:id="745"/>
      <w:bookmarkEnd w:id="746"/>
      <w:bookmarkEnd w:id="747"/>
      <w:bookmarkEnd w:id="748"/>
      <w:bookmarkEnd w:id="749"/>
      <w:bookmarkEnd w:id="750"/>
      <w:bookmarkEnd w:id="751"/>
      <w:r w:rsidRPr="00CB16D1">
        <w:rPr>
          <w:vertAlign w:val="superscript"/>
        </w:rPr>
        <w:t>1</w:t>
      </w:r>
      <w:r w:rsidRPr="00CB16D1">
        <w:t>The Early Childhood Education and Care functions transferred to Department of Social Services following the Administrative Arrangement Orders of 23 December 2014.</w:t>
      </w:r>
    </w:p>
    <w:p w:rsidR="003E6989" w:rsidRPr="00CB16D1" w:rsidRDefault="003E6989" w:rsidP="003E6989">
      <w:pPr>
        <w:pStyle w:val="ReferenceText"/>
      </w:pPr>
      <w:r w:rsidRPr="00CB16D1">
        <w:rPr>
          <w:vertAlign w:val="superscript"/>
        </w:rPr>
        <w:t>2</w:t>
      </w:r>
      <w:r w:rsidRPr="00CB16D1">
        <w:t xml:space="preserve"> The Skills and Training functions were acquired from the Department of Industry and Science following the Administrative Arrangement Orders of 23 December 2014. </w:t>
      </w:r>
    </w:p>
    <w:p w:rsidR="003E6989" w:rsidRPr="00CB16D1" w:rsidRDefault="003E6989" w:rsidP="003E6989">
      <w:r w:rsidRPr="00CB16D1">
        <w:t>The net assets assumed from all entities total $24.557 million.</w:t>
      </w:r>
    </w:p>
    <w:p w:rsidR="003E6989" w:rsidRPr="00CB16D1" w:rsidRDefault="003E6989" w:rsidP="003E6989">
      <w:r w:rsidRPr="00CB16D1">
        <w:t>The net assets relinquished to all entities total $7.021 million.</w:t>
      </w:r>
    </w:p>
    <w:p w:rsidR="003E6989" w:rsidRDefault="003E6989" w:rsidP="003E6989">
      <w:pPr>
        <w:sectPr w:rsidR="003E6989" w:rsidSect="006A5410">
          <w:pgSz w:w="11906" w:h="16838"/>
          <w:pgMar w:top="1134" w:right="1134" w:bottom="1134" w:left="1134" w:header="958" w:footer="737" w:gutter="0"/>
          <w:cols w:space="720"/>
          <w:docGrid w:linePitch="245"/>
        </w:sectPr>
      </w:pPr>
      <w:r w:rsidRPr="00CB16D1">
        <w:t>The net book value of the assets and liabilities were transferred to the department for no consideration</w:t>
      </w:r>
      <w:r>
        <w:t>.</w:t>
      </w:r>
    </w:p>
    <w:tbl>
      <w:tblPr>
        <w:tblW w:w="9087" w:type="dxa"/>
        <w:tblInd w:w="80" w:type="dxa"/>
        <w:tblLayout w:type="fixed"/>
        <w:tblCellMar>
          <w:left w:w="6" w:type="dxa"/>
          <w:right w:w="6" w:type="dxa"/>
        </w:tblCellMar>
        <w:tblLook w:val="04A0" w:firstRow="1" w:lastRow="0" w:firstColumn="1" w:lastColumn="0" w:noHBand="0" w:noVBand="1"/>
      </w:tblPr>
      <w:tblGrid>
        <w:gridCol w:w="4555"/>
        <w:gridCol w:w="4532"/>
      </w:tblGrid>
      <w:tr w:rsidR="003E6989" w:rsidTr="006A5410">
        <w:trPr>
          <w:trHeight w:val="227"/>
        </w:trPr>
        <w:tc>
          <w:tcPr>
            <w:tcW w:w="7772" w:type="dxa"/>
            <w:gridSpan w:val="2"/>
            <w:tcBorders>
              <w:top w:val="nil"/>
              <w:left w:val="nil"/>
              <w:bottom w:val="single" w:sz="4" w:space="0" w:color="auto"/>
              <w:right w:val="nil"/>
            </w:tcBorders>
            <w:shd w:val="clear" w:color="000000" w:fill="D9D9D9"/>
            <w:noWrap/>
            <w:vAlign w:val="bottom"/>
            <w:hideMark/>
          </w:tcPr>
          <w:p w:rsidR="003E6989" w:rsidRDefault="003E6989" w:rsidP="006A5410">
            <w:pPr>
              <w:spacing w:line="240" w:lineRule="auto"/>
              <w:rPr>
                <w:rFonts w:cs="Calibri"/>
                <w:b/>
                <w:bCs/>
                <w:szCs w:val="18"/>
                <w:u w:val="single"/>
              </w:rPr>
            </w:pPr>
            <w:bookmarkStart w:id="752" w:name="Note_AESTABLE1" w:colFirst="0" w:colLast="0"/>
            <w:r>
              <w:rPr>
                <w:rFonts w:cs="Calibri"/>
                <w:b/>
                <w:bCs/>
                <w:szCs w:val="18"/>
                <w:u w:val="single"/>
              </w:rPr>
              <w:t>8.1B: Administered restructuring</w:t>
            </w:r>
          </w:p>
        </w:tc>
      </w:tr>
      <w:bookmarkEnd w:id="752"/>
      <w:tr w:rsidR="003E6989" w:rsidTr="006A5410">
        <w:trPr>
          <w:trHeight w:val="227"/>
        </w:trPr>
        <w:tc>
          <w:tcPr>
            <w:tcW w:w="3896" w:type="dxa"/>
            <w:tcBorders>
              <w:top w:val="nil"/>
              <w:left w:val="nil"/>
              <w:bottom w:val="single" w:sz="4" w:space="0" w:color="auto"/>
              <w:right w:val="nil"/>
            </w:tcBorders>
            <w:shd w:val="clear" w:color="000000" w:fill="D9D9D9"/>
            <w:noWrap/>
            <w:vAlign w:val="bottom"/>
            <w:hideMark/>
          </w:tcPr>
          <w:p w:rsidR="003E6989" w:rsidRDefault="003E6989" w:rsidP="006A5410">
            <w:pPr>
              <w:spacing w:line="240" w:lineRule="auto"/>
              <w:rPr>
                <w:rFonts w:ascii="Arial" w:hAnsi="Arial" w:cs="Arial"/>
                <w:sz w:val="16"/>
                <w:szCs w:val="16"/>
              </w:rPr>
            </w:pPr>
            <w:r>
              <w:rPr>
                <w:rFonts w:ascii="Arial" w:hAnsi="Arial" w:cs="Arial"/>
                <w:sz w:val="16"/>
                <w:szCs w:val="16"/>
              </w:rPr>
              <w:t> </w:t>
            </w:r>
          </w:p>
        </w:tc>
        <w:tc>
          <w:tcPr>
            <w:tcW w:w="3876" w:type="dxa"/>
            <w:tcBorders>
              <w:top w:val="nil"/>
              <w:left w:val="nil"/>
              <w:bottom w:val="single" w:sz="4" w:space="0" w:color="auto"/>
              <w:right w:val="nil"/>
            </w:tcBorders>
            <w:shd w:val="clear" w:color="000000" w:fill="D9D9D9"/>
            <w:vAlign w:val="bottom"/>
            <w:hideMark/>
          </w:tcPr>
          <w:p w:rsidR="003E6989" w:rsidRDefault="003E6989" w:rsidP="006A5410">
            <w:pPr>
              <w:spacing w:line="240" w:lineRule="auto"/>
              <w:jc w:val="center"/>
              <w:rPr>
                <w:rFonts w:cs="Calibri"/>
                <w:b/>
                <w:bCs/>
                <w:szCs w:val="18"/>
              </w:rPr>
            </w:pPr>
            <w:r>
              <w:rPr>
                <w:rFonts w:cs="Calibri"/>
                <w:b/>
                <w:bCs/>
                <w:szCs w:val="18"/>
              </w:rPr>
              <w:t>2016</w:t>
            </w:r>
          </w:p>
        </w:tc>
      </w:tr>
      <w:tr w:rsidR="003E6989" w:rsidTr="006A5410">
        <w:trPr>
          <w:trHeight w:val="227"/>
        </w:trPr>
        <w:tc>
          <w:tcPr>
            <w:tcW w:w="3896" w:type="dxa"/>
            <w:tcBorders>
              <w:top w:val="nil"/>
              <w:left w:val="nil"/>
              <w:bottom w:val="nil"/>
              <w:right w:val="nil"/>
            </w:tcBorders>
            <w:shd w:val="clear" w:color="000000" w:fill="D9D9D9"/>
            <w:noWrap/>
            <w:hideMark/>
          </w:tcPr>
          <w:p w:rsidR="003E6989" w:rsidRDefault="003E6989" w:rsidP="006A5410">
            <w:pPr>
              <w:spacing w:line="240" w:lineRule="auto"/>
              <w:rPr>
                <w:rFonts w:ascii="Arial" w:hAnsi="Arial" w:cs="Arial"/>
                <w:b/>
                <w:bCs/>
                <w:sz w:val="16"/>
                <w:szCs w:val="16"/>
              </w:rPr>
            </w:pPr>
            <w:r>
              <w:rPr>
                <w:rFonts w:ascii="Arial" w:hAnsi="Arial" w:cs="Arial"/>
                <w:b/>
                <w:bCs/>
                <w:sz w:val="16"/>
                <w:szCs w:val="16"/>
              </w:rPr>
              <w:t>Function</w:t>
            </w:r>
          </w:p>
        </w:tc>
        <w:tc>
          <w:tcPr>
            <w:tcW w:w="3876" w:type="dxa"/>
            <w:tcBorders>
              <w:top w:val="nil"/>
              <w:left w:val="nil"/>
              <w:bottom w:val="nil"/>
              <w:right w:val="nil"/>
            </w:tcBorders>
            <w:shd w:val="clear" w:color="000000" w:fill="D9D9D9"/>
            <w:hideMark/>
          </w:tcPr>
          <w:p w:rsidR="003E6989" w:rsidRDefault="003E6989" w:rsidP="006A5410">
            <w:pPr>
              <w:spacing w:line="240" w:lineRule="auto"/>
              <w:jc w:val="right"/>
              <w:rPr>
                <w:rFonts w:cs="Calibri"/>
                <w:b/>
                <w:bCs/>
                <w:szCs w:val="18"/>
              </w:rPr>
            </w:pPr>
            <w:r>
              <w:rPr>
                <w:rFonts w:cs="Calibri"/>
                <w:b/>
                <w:bCs/>
                <w:szCs w:val="18"/>
              </w:rPr>
              <w:t>Early Education: Early Childhood and Child Care</w:t>
            </w:r>
          </w:p>
        </w:tc>
      </w:tr>
      <w:tr w:rsidR="003E6989" w:rsidTr="006A5410">
        <w:trPr>
          <w:trHeight w:val="227"/>
        </w:trPr>
        <w:tc>
          <w:tcPr>
            <w:tcW w:w="3896" w:type="dxa"/>
            <w:tcBorders>
              <w:top w:val="nil"/>
              <w:left w:val="nil"/>
              <w:bottom w:val="nil"/>
              <w:right w:val="nil"/>
            </w:tcBorders>
            <w:shd w:val="clear" w:color="000000" w:fill="D9D9D9"/>
            <w:noWrap/>
            <w:hideMark/>
          </w:tcPr>
          <w:p w:rsidR="003E6989" w:rsidRDefault="003E6989" w:rsidP="006A5410">
            <w:pPr>
              <w:spacing w:line="240" w:lineRule="auto"/>
              <w:rPr>
                <w:rFonts w:ascii="Arial" w:hAnsi="Arial" w:cs="Arial"/>
                <w:b/>
                <w:bCs/>
                <w:sz w:val="16"/>
                <w:szCs w:val="16"/>
              </w:rPr>
            </w:pPr>
            <w:r>
              <w:rPr>
                <w:rFonts w:ascii="Arial" w:hAnsi="Arial" w:cs="Arial"/>
                <w:b/>
                <w:bCs/>
                <w:sz w:val="16"/>
                <w:szCs w:val="16"/>
              </w:rPr>
              <w:t>Entity</w:t>
            </w:r>
          </w:p>
        </w:tc>
        <w:tc>
          <w:tcPr>
            <w:tcW w:w="3876" w:type="dxa"/>
            <w:tcBorders>
              <w:top w:val="nil"/>
              <w:left w:val="nil"/>
              <w:bottom w:val="nil"/>
              <w:right w:val="nil"/>
            </w:tcBorders>
            <w:shd w:val="clear" w:color="000000" w:fill="D9D9D9"/>
            <w:hideMark/>
          </w:tcPr>
          <w:p w:rsidR="003E6989" w:rsidRDefault="003E6989" w:rsidP="006A5410">
            <w:pPr>
              <w:spacing w:line="240" w:lineRule="auto"/>
              <w:jc w:val="right"/>
              <w:rPr>
                <w:rFonts w:cs="Calibri"/>
                <w:b/>
                <w:bCs/>
                <w:szCs w:val="18"/>
              </w:rPr>
            </w:pPr>
            <w:r>
              <w:rPr>
                <w:rFonts w:cs="Calibri"/>
                <w:b/>
                <w:bCs/>
                <w:szCs w:val="18"/>
              </w:rPr>
              <w:t>Department of Social Services</w:t>
            </w:r>
            <w:r>
              <w:rPr>
                <w:rFonts w:cs="Calibri"/>
                <w:b/>
                <w:bCs/>
                <w:szCs w:val="18"/>
                <w:vertAlign w:val="superscript"/>
              </w:rPr>
              <w:t>1</w:t>
            </w:r>
          </w:p>
        </w:tc>
      </w:tr>
      <w:tr w:rsidR="003E6989" w:rsidTr="006A5410">
        <w:trPr>
          <w:trHeight w:val="227"/>
        </w:trPr>
        <w:tc>
          <w:tcPr>
            <w:tcW w:w="3896" w:type="dxa"/>
            <w:tcBorders>
              <w:top w:val="nil"/>
              <w:left w:val="nil"/>
              <w:bottom w:val="single" w:sz="4" w:space="0" w:color="auto"/>
              <w:right w:val="nil"/>
            </w:tcBorders>
            <w:shd w:val="clear" w:color="000000" w:fill="D9D9D9"/>
            <w:noWrap/>
            <w:vAlign w:val="bottom"/>
            <w:hideMark/>
          </w:tcPr>
          <w:p w:rsidR="003E6989" w:rsidRDefault="003E6989" w:rsidP="006A5410">
            <w:pPr>
              <w:spacing w:line="240" w:lineRule="auto"/>
              <w:rPr>
                <w:rFonts w:ascii="Arial" w:hAnsi="Arial" w:cs="Arial"/>
                <w:sz w:val="16"/>
                <w:szCs w:val="16"/>
              </w:rPr>
            </w:pPr>
            <w:r>
              <w:rPr>
                <w:rFonts w:ascii="Arial" w:hAnsi="Arial" w:cs="Arial"/>
                <w:sz w:val="16"/>
                <w:szCs w:val="16"/>
              </w:rPr>
              <w:t> </w:t>
            </w:r>
          </w:p>
        </w:tc>
        <w:tc>
          <w:tcPr>
            <w:tcW w:w="3876" w:type="dxa"/>
            <w:tcBorders>
              <w:top w:val="nil"/>
              <w:left w:val="nil"/>
              <w:bottom w:val="single" w:sz="4" w:space="0" w:color="auto"/>
              <w:right w:val="nil"/>
            </w:tcBorders>
            <w:shd w:val="clear" w:color="000000" w:fill="D9D9D9"/>
            <w:vAlign w:val="bottom"/>
            <w:hideMark/>
          </w:tcPr>
          <w:p w:rsidR="003E6989" w:rsidRDefault="003E6989" w:rsidP="006A5410">
            <w:pPr>
              <w:spacing w:line="240" w:lineRule="auto"/>
              <w:jc w:val="right"/>
              <w:rPr>
                <w:rFonts w:cs="Calibri"/>
                <w:b/>
                <w:bCs/>
                <w:szCs w:val="18"/>
              </w:rPr>
            </w:pPr>
            <w:r>
              <w:rPr>
                <w:rFonts w:cs="Calibri"/>
                <w:b/>
                <w:bCs/>
                <w:szCs w:val="18"/>
              </w:rPr>
              <w:t>$’000</w:t>
            </w:r>
          </w:p>
        </w:tc>
      </w:tr>
      <w:tr w:rsidR="003E6989" w:rsidTr="006A5410">
        <w:trPr>
          <w:trHeight w:val="227"/>
        </w:trPr>
        <w:tc>
          <w:tcPr>
            <w:tcW w:w="3896" w:type="dxa"/>
            <w:tcBorders>
              <w:top w:val="nil"/>
              <w:left w:val="nil"/>
              <w:bottom w:val="nil"/>
              <w:right w:val="nil"/>
            </w:tcBorders>
            <w:shd w:val="clear" w:color="000000" w:fill="D9D9D9"/>
            <w:vAlign w:val="bottom"/>
            <w:hideMark/>
          </w:tcPr>
          <w:p w:rsidR="003E6989" w:rsidRDefault="003E6989" w:rsidP="006A5410">
            <w:pPr>
              <w:spacing w:line="240" w:lineRule="auto"/>
              <w:rPr>
                <w:rFonts w:cs="Calibri"/>
                <w:b/>
                <w:bCs/>
                <w:szCs w:val="18"/>
              </w:rPr>
            </w:pPr>
            <w:r>
              <w:rPr>
                <w:rFonts w:cs="Calibri"/>
                <w:b/>
                <w:bCs/>
                <w:szCs w:val="18"/>
              </w:rPr>
              <w:t>FUNCTIONS ASSUMED</w:t>
            </w:r>
          </w:p>
        </w:tc>
        <w:tc>
          <w:tcPr>
            <w:tcW w:w="3876" w:type="dxa"/>
            <w:tcBorders>
              <w:top w:val="nil"/>
              <w:left w:val="nil"/>
              <w:bottom w:val="nil"/>
              <w:right w:val="nil"/>
            </w:tcBorders>
            <w:shd w:val="clear" w:color="000000" w:fill="D9D9D9"/>
            <w:noWrap/>
            <w:vAlign w:val="bottom"/>
            <w:hideMark/>
          </w:tcPr>
          <w:p w:rsidR="003E6989" w:rsidRDefault="003E6989" w:rsidP="006A5410">
            <w:pPr>
              <w:spacing w:line="240" w:lineRule="auto"/>
              <w:rPr>
                <w:rFonts w:ascii="Arial" w:hAnsi="Arial" w:cs="Arial"/>
                <w:sz w:val="16"/>
                <w:szCs w:val="16"/>
              </w:rPr>
            </w:pPr>
            <w:r>
              <w:rPr>
                <w:rFonts w:ascii="Arial" w:hAnsi="Arial" w:cs="Arial"/>
                <w:sz w:val="16"/>
                <w:szCs w:val="16"/>
              </w:rPr>
              <w:t> </w:t>
            </w:r>
          </w:p>
        </w:tc>
      </w:tr>
      <w:tr w:rsidR="003E6989" w:rsidTr="006A5410">
        <w:trPr>
          <w:trHeight w:val="227"/>
        </w:trPr>
        <w:tc>
          <w:tcPr>
            <w:tcW w:w="3896" w:type="dxa"/>
            <w:tcBorders>
              <w:top w:val="nil"/>
              <w:left w:val="nil"/>
              <w:bottom w:val="nil"/>
              <w:right w:val="nil"/>
            </w:tcBorders>
            <w:shd w:val="clear" w:color="000000" w:fill="D9D9D9"/>
            <w:vAlign w:val="bottom"/>
            <w:hideMark/>
          </w:tcPr>
          <w:p w:rsidR="003E6989" w:rsidRDefault="003E6989" w:rsidP="006A5410">
            <w:pPr>
              <w:spacing w:line="240" w:lineRule="auto"/>
              <w:rPr>
                <w:rFonts w:cs="Calibri"/>
                <w:b/>
                <w:bCs/>
                <w:szCs w:val="18"/>
              </w:rPr>
            </w:pPr>
            <w:r>
              <w:rPr>
                <w:rFonts w:cs="Calibri"/>
                <w:b/>
                <w:bCs/>
                <w:szCs w:val="18"/>
              </w:rPr>
              <w:t>Assets recognised</w:t>
            </w:r>
          </w:p>
        </w:tc>
        <w:tc>
          <w:tcPr>
            <w:tcW w:w="3876" w:type="dxa"/>
            <w:tcBorders>
              <w:top w:val="nil"/>
              <w:left w:val="nil"/>
              <w:bottom w:val="nil"/>
              <w:right w:val="nil"/>
            </w:tcBorders>
            <w:shd w:val="clear" w:color="000000" w:fill="D9D9D9"/>
            <w:noWrap/>
            <w:vAlign w:val="bottom"/>
            <w:hideMark/>
          </w:tcPr>
          <w:p w:rsidR="003E6989" w:rsidRDefault="003E6989" w:rsidP="006A5410">
            <w:pPr>
              <w:spacing w:line="240" w:lineRule="auto"/>
              <w:rPr>
                <w:rFonts w:ascii="Arial" w:hAnsi="Arial" w:cs="Arial"/>
                <w:sz w:val="16"/>
                <w:szCs w:val="16"/>
              </w:rPr>
            </w:pPr>
            <w:r>
              <w:rPr>
                <w:rFonts w:ascii="Arial" w:hAnsi="Arial" w:cs="Arial"/>
                <w:sz w:val="16"/>
                <w:szCs w:val="16"/>
              </w:rPr>
              <w:t> </w:t>
            </w:r>
          </w:p>
        </w:tc>
      </w:tr>
      <w:tr w:rsidR="003E6989" w:rsidTr="006A5410">
        <w:trPr>
          <w:trHeight w:val="227"/>
        </w:trPr>
        <w:tc>
          <w:tcPr>
            <w:tcW w:w="3896" w:type="dxa"/>
            <w:tcBorders>
              <w:top w:val="nil"/>
              <w:left w:val="nil"/>
              <w:bottom w:val="nil"/>
              <w:right w:val="nil"/>
            </w:tcBorders>
            <w:shd w:val="clear" w:color="000000" w:fill="D9D9D9"/>
            <w:noWrap/>
            <w:vAlign w:val="bottom"/>
            <w:hideMark/>
          </w:tcPr>
          <w:p w:rsidR="003E6989" w:rsidRDefault="003E6989" w:rsidP="003E6989">
            <w:pPr>
              <w:spacing w:line="240" w:lineRule="auto"/>
              <w:ind w:firstLineChars="100" w:firstLine="180"/>
              <w:rPr>
                <w:rFonts w:cs="Calibri"/>
                <w:szCs w:val="18"/>
              </w:rPr>
            </w:pPr>
            <w:r>
              <w:rPr>
                <w:rFonts w:cs="Calibri"/>
                <w:szCs w:val="18"/>
              </w:rPr>
              <w:t>Cash and cash equivalents</w:t>
            </w:r>
          </w:p>
        </w:tc>
        <w:tc>
          <w:tcPr>
            <w:tcW w:w="3876"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b/>
                <w:bCs/>
                <w:szCs w:val="18"/>
              </w:rPr>
            </w:pPr>
            <w:r>
              <w:rPr>
                <w:rFonts w:cs="Calibri"/>
                <w:b/>
                <w:bCs/>
                <w:szCs w:val="18"/>
              </w:rPr>
              <w:t xml:space="preserve">102,070 </w:t>
            </w:r>
          </w:p>
        </w:tc>
      </w:tr>
      <w:tr w:rsidR="003E6989" w:rsidTr="006A5410">
        <w:trPr>
          <w:trHeight w:val="227"/>
        </w:trPr>
        <w:tc>
          <w:tcPr>
            <w:tcW w:w="3896" w:type="dxa"/>
            <w:tcBorders>
              <w:top w:val="nil"/>
              <w:left w:val="nil"/>
              <w:bottom w:val="nil"/>
              <w:right w:val="nil"/>
            </w:tcBorders>
            <w:shd w:val="clear" w:color="000000" w:fill="D9D9D9"/>
            <w:noWrap/>
            <w:vAlign w:val="bottom"/>
            <w:hideMark/>
          </w:tcPr>
          <w:p w:rsidR="003E6989" w:rsidRDefault="003E6989" w:rsidP="003E6989">
            <w:pPr>
              <w:spacing w:line="240" w:lineRule="auto"/>
              <w:ind w:firstLineChars="100" w:firstLine="180"/>
              <w:rPr>
                <w:rFonts w:cs="Calibri"/>
                <w:szCs w:val="18"/>
              </w:rPr>
            </w:pPr>
            <w:r>
              <w:rPr>
                <w:rFonts w:cs="Calibri"/>
                <w:szCs w:val="18"/>
              </w:rPr>
              <w:t>Trade and other receivables</w:t>
            </w:r>
          </w:p>
        </w:tc>
        <w:tc>
          <w:tcPr>
            <w:tcW w:w="3876"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b/>
                <w:bCs/>
                <w:szCs w:val="18"/>
              </w:rPr>
            </w:pPr>
            <w:r>
              <w:rPr>
                <w:rFonts w:cs="Calibri"/>
                <w:b/>
                <w:bCs/>
                <w:szCs w:val="18"/>
              </w:rPr>
              <w:t xml:space="preserve">406,541 </w:t>
            </w:r>
          </w:p>
        </w:tc>
      </w:tr>
      <w:tr w:rsidR="003E6989" w:rsidTr="006A5410">
        <w:trPr>
          <w:trHeight w:val="227"/>
        </w:trPr>
        <w:tc>
          <w:tcPr>
            <w:tcW w:w="3896" w:type="dxa"/>
            <w:tcBorders>
              <w:top w:val="nil"/>
              <w:left w:val="nil"/>
              <w:bottom w:val="nil"/>
              <w:right w:val="nil"/>
            </w:tcBorders>
            <w:shd w:val="clear" w:color="000000" w:fill="D9D9D9"/>
            <w:noWrap/>
            <w:vAlign w:val="bottom"/>
            <w:hideMark/>
          </w:tcPr>
          <w:p w:rsidR="003E6989" w:rsidRDefault="003E6989" w:rsidP="003E6989">
            <w:pPr>
              <w:spacing w:line="240" w:lineRule="auto"/>
              <w:ind w:firstLineChars="100" w:firstLine="180"/>
              <w:rPr>
                <w:rFonts w:cs="Calibri"/>
                <w:szCs w:val="18"/>
              </w:rPr>
            </w:pPr>
            <w:r>
              <w:rPr>
                <w:rFonts w:cs="Calibri"/>
                <w:szCs w:val="18"/>
              </w:rPr>
              <w:t>Advances and loans</w:t>
            </w:r>
          </w:p>
        </w:tc>
        <w:tc>
          <w:tcPr>
            <w:tcW w:w="3876"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b/>
                <w:bCs/>
                <w:szCs w:val="18"/>
              </w:rPr>
            </w:pPr>
            <w:r>
              <w:rPr>
                <w:rFonts w:cs="Calibri"/>
                <w:b/>
                <w:bCs/>
                <w:szCs w:val="18"/>
              </w:rPr>
              <w:t xml:space="preserve">339 </w:t>
            </w:r>
          </w:p>
        </w:tc>
      </w:tr>
      <w:tr w:rsidR="003E6989" w:rsidTr="006A5410">
        <w:trPr>
          <w:trHeight w:val="227"/>
        </w:trPr>
        <w:tc>
          <w:tcPr>
            <w:tcW w:w="3896" w:type="dxa"/>
            <w:tcBorders>
              <w:top w:val="nil"/>
              <w:left w:val="nil"/>
              <w:bottom w:val="nil"/>
              <w:right w:val="nil"/>
            </w:tcBorders>
            <w:shd w:val="clear" w:color="000000" w:fill="D9D9D9"/>
            <w:noWrap/>
            <w:vAlign w:val="bottom"/>
            <w:hideMark/>
          </w:tcPr>
          <w:p w:rsidR="003E6989" w:rsidRDefault="003E6989" w:rsidP="003E6989">
            <w:pPr>
              <w:spacing w:line="240" w:lineRule="auto"/>
              <w:ind w:firstLineChars="100" w:firstLine="180"/>
              <w:rPr>
                <w:rFonts w:cs="Calibri"/>
                <w:szCs w:val="18"/>
              </w:rPr>
            </w:pPr>
            <w:r>
              <w:rPr>
                <w:rFonts w:cs="Calibri"/>
                <w:szCs w:val="18"/>
              </w:rPr>
              <w:t>Other non-financial assets</w:t>
            </w:r>
          </w:p>
        </w:tc>
        <w:tc>
          <w:tcPr>
            <w:tcW w:w="3876"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b/>
                <w:bCs/>
                <w:szCs w:val="18"/>
              </w:rPr>
            </w:pPr>
            <w:r>
              <w:rPr>
                <w:rFonts w:cs="Calibri"/>
                <w:b/>
                <w:bCs/>
                <w:szCs w:val="18"/>
              </w:rPr>
              <w:t xml:space="preserve">4,169 </w:t>
            </w:r>
          </w:p>
        </w:tc>
      </w:tr>
      <w:tr w:rsidR="003E6989" w:rsidTr="006A5410">
        <w:trPr>
          <w:trHeight w:val="227"/>
        </w:trPr>
        <w:tc>
          <w:tcPr>
            <w:tcW w:w="389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spacing w:line="240" w:lineRule="auto"/>
              <w:rPr>
                <w:rFonts w:cs="Calibri"/>
                <w:b/>
                <w:bCs/>
                <w:szCs w:val="18"/>
              </w:rPr>
            </w:pPr>
            <w:r>
              <w:rPr>
                <w:rFonts w:cs="Calibri"/>
                <w:b/>
                <w:bCs/>
                <w:szCs w:val="18"/>
              </w:rPr>
              <w:t>Total assets recognised</w:t>
            </w:r>
          </w:p>
        </w:tc>
        <w:tc>
          <w:tcPr>
            <w:tcW w:w="387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spacing w:line="240" w:lineRule="auto"/>
              <w:jc w:val="right"/>
              <w:rPr>
                <w:rFonts w:cs="Calibri"/>
                <w:b/>
                <w:bCs/>
                <w:szCs w:val="18"/>
              </w:rPr>
            </w:pPr>
            <w:r>
              <w:rPr>
                <w:rFonts w:cs="Calibri"/>
                <w:b/>
                <w:bCs/>
                <w:szCs w:val="18"/>
              </w:rPr>
              <w:t>513,119</w:t>
            </w:r>
          </w:p>
        </w:tc>
      </w:tr>
      <w:tr w:rsidR="003E6989" w:rsidTr="006A5410">
        <w:trPr>
          <w:trHeight w:val="227"/>
        </w:trPr>
        <w:tc>
          <w:tcPr>
            <w:tcW w:w="3896" w:type="dxa"/>
            <w:tcBorders>
              <w:top w:val="nil"/>
              <w:left w:val="nil"/>
              <w:bottom w:val="nil"/>
              <w:right w:val="nil"/>
            </w:tcBorders>
            <w:shd w:val="clear" w:color="000000" w:fill="D9D9D9"/>
            <w:vAlign w:val="bottom"/>
            <w:hideMark/>
          </w:tcPr>
          <w:p w:rsidR="003E6989" w:rsidRDefault="003E6989" w:rsidP="006A5410">
            <w:pPr>
              <w:spacing w:line="240" w:lineRule="auto"/>
              <w:rPr>
                <w:rFonts w:cs="Calibri"/>
                <w:b/>
                <w:bCs/>
                <w:szCs w:val="18"/>
              </w:rPr>
            </w:pPr>
            <w:r>
              <w:rPr>
                <w:rFonts w:cs="Calibri"/>
                <w:b/>
                <w:bCs/>
                <w:szCs w:val="18"/>
              </w:rPr>
              <w:t> </w:t>
            </w:r>
          </w:p>
        </w:tc>
        <w:tc>
          <w:tcPr>
            <w:tcW w:w="3876" w:type="dxa"/>
            <w:tcBorders>
              <w:top w:val="nil"/>
              <w:left w:val="nil"/>
              <w:bottom w:val="nil"/>
              <w:right w:val="nil"/>
            </w:tcBorders>
            <w:shd w:val="clear" w:color="000000" w:fill="D9D9D9"/>
            <w:noWrap/>
            <w:vAlign w:val="bottom"/>
            <w:hideMark/>
          </w:tcPr>
          <w:p w:rsidR="003E6989" w:rsidRDefault="003E6989" w:rsidP="006A5410">
            <w:pPr>
              <w:spacing w:line="240" w:lineRule="auto"/>
              <w:rPr>
                <w:rFonts w:ascii="Arial" w:hAnsi="Arial" w:cs="Arial"/>
                <w:sz w:val="16"/>
                <w:szCs w:val="16"/>
              </w:rPr>
            </w:pPr>
            <w:r>
              <w:rPr>
                <w:rFonts w:ascii="Arial" w:hAnsi="Arial" w:cs="Arial"/>
                <w:sz w:val="16"/>
                <w:szCs w:val="16"/>
              </w:rPr>
              <w:t> </w:t>
            </w:r>
          </w:p>
        </w:tc>
      </w:tr>
      <w:tr w:rsidR="003E6989" w:rsidTr="006A5410">
        <w:trPr>
          <w:trHeight w:val="227"/>
        </w:trPr>
        <w:tc>
          <w:tcPr>
            <w:tcW w:w="3896" w:type="dxa"/>
            <w:tcBorders>
              <w:top w:val="nil"/>
              <w:left w:val="nil"/>
              <w:bottom w:val="nil"/>
              <w:right w:val="nil"/>
            </w:tcBorders>
            <w:shd w:val="clear" w:color="000000" w:fill="D9D9D9"/>
            <w:vAlign w:val="bottom"/>
            <w:hideMark/>
          </w:tcPr>
          <w:p w:rsidR="003E6989" w:rsidRDefault="003E6989" w:rsidP="006A5410">
            <w:pPr>
              <w:spacing w:line="240" w:lineRule="auto"/>
              <w:rPr>
                <w:rFonts w:cs="Calibri"/>
                <w:b/>
                <w:bCs/>
                <w:szCs w:val="18"/>
              </w:rPr>
            </w:pPr>
            <w:r>
              <w:rPr>
                <w:rFonts w:cs="Calibri"/>
                <w:b/>
                <w:bCs/>
                <w:szCs w:val="18"/>
              </w:rPr>
              <w:t>Liabilities recognised</w:t>
            </w:r>
          </w:p>
        </w:tc>
        <w:tc>
          <w:tcPr>
            <w:tcW w:w="3876" w:type="dxa"/>
            <w:tcBorders>
              <w:top w:val="nil"/>
              <w:left w:val="nil"/>
              <w:bottom w:val="nil"/>
              <w:right w:val="nil"/>
            </w:tcBorders>
            <w:shd w:val="clear" w:color="000000" w:fill="D9D9D9"/>
            <w:noWrap/>
            <w:vAlign w:val="bottom"/>
            <w:hideMark/>
          </w:tcPr>
          <w:p w:rsidR="003E6989" w:rsidRDefault="003E6989" w:rsidP="006A5410">
            <w:pPr>
              <w:spacing w:line="240" w:lineRule="auto"/>
              <w:rPr>
                <w:rFonts w:ascii="Arial" w:hAnsi="Arial" w:cs="Arial"/>
                <w:sz w:val="16"/>
                <w:szCs w:val="16"/>
              </w:rPr>
            </w:pPr>
            <w:r>
              <w:rPr>
                <w:rFonts w:ascii="Arial" w:hAnsi="Arial" w:cs="Arial"/>
                <w:sz w:val="16"/>
                <w:szCs w:val="16"/>
              </w:rPr>
              <w:t> </w:t>
            </w:r>
          </w:p>
        </w:tc>
      </w:tr>
      <w:tr w:rsidR="003E6989" w:rsidTr="006A5410">
        <w:trPr>
          <w:trHeight w:val="227"/>
        </w:trPr>
        <w:tc>
          <w:tcPr>
            <w:tcW w:w="3896" w:type="dxa"/>
            <w:tcBorders>
              <w:top w:val="nil"/>
              <w:left w:val="nil"/>
              <w:bottom w:val="nil"/>
              <w:right w:val="nil"/>
            </w:tcBorders>
            <w:shd w:val="clear" w:color="000000" w:fill="D9D9D9"/>
            <w:noWrap/>
            <w:vAlign w:val="bottom"/>
            <w:hideMark/>
          </w:tcPr>
          <w:p w:rsidR="003E6989" w:rsidRDefault="003E6989" w:rsidP="003E6989">
            <w:pPr>
              <w:spacing w:line="240" w:lineRule="auto"/>
              <w:ind w:firstLineChars="100" w:firstLine="180"/>
              <w:rPr>
                <w:rFonts w:cs="Calibri"/>
                <w:szCs w:val="18"/>
              </w:rPr>
            </w:pPr>
            <w:r>
              <w:rPr>
                <w:rFonts w:cs="Calibri"/>
                <w:szCs w:val="18"/>
              </w:rPr>
              <w:t>Suppliers</w:t>
            </w:r>
          </w:p>
        </w:tc>
        <w:tc>
          <w:tcPr>
            <w:tcW w:w="3876"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b/>
                <w:bCs/>
                <w:szCs w:val="18"/>
              </w:rPr>
            </w:pPr>
            <w:r>
              <w:rPr>
                <w:rFonts w:cs="Calibri"/>
                <w:b/>
                <w:bCs/>
                <w:szCs w:val="18"/>
              </w:rPr>
              <w:t xml:space="preserve">95 </w:t>
            </w:r>
          </w:p>
        </w:tc>
      </w:tr>
      <w:tr w:rsidR="003E6989" w:rsidTr="006A5410">
        <w:trPr>
          <w:trHeight w:val="227"/>
        </w:trPr>
        <w:tc>
          <w:tcPr>
            <w:tcW w:w="3896" w:type="dxa"/>
            <w:tcBorders>
              <w:top w:val="nil"/>
              <w:left w:val="nil"/>
              <w:bottom w:val="nil"/>
              <w:right w:val="nil"/>
            </w:tcBorders>
            <w:shd w:val="clear" w:color="000000" w:fill="D9D9D9"/>
            <w:noWrap/>
            <w:vAlign w:val="bottom"/>
            <w:hideMark/>
          </w:tcPr>
          <w:p w:rsidR="003E6989" w:rsidRDefault="003E6989" w:rsidP="003E6989">
            <w:pPr>
              <w:spacing w:line="240" w:lineRule="auto"/>
              <w:ind w:firstLineChars="100" w:firstLine="180"/>
              <w:rPr>
                <w:rFonts w:cs="Calibri"/>
                <w:szCs w:val="18"/>
              </w:rPr>
            </w:pPr>
            <w:r>
              <w:rPr>
                <w:rFonts w:cs="Calibri"/>
                <w:szCs w:val="18"/>
              </w:rPr>
              <w:t>Personal benefits payable</w:t>
            </w:r>
          </w:p>
        </w:tc>
        <w:tc>
          <w:tcPr>
            <w:tcW w:w="3876"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b/>
                <w:bCs/>
                <w:szCs w:val="18"/>
              </w:rPr>
            </w:pPr>
            <w:r>
              <w:rPr>
                <w:rFonts w:cs="Calibri"/>
                <w:b/>
                <w:bCs/>
                <w:szCs w:val="18"/>
              </w:rPr>
              <w:t xml:space="preserve">197,991 </w:t>
            </w:r>
          </w:p>
        </w:tc>
      </w:tr>
      <w:tr w:rsidR="003E6989" w:rsidTr="006A5410">
        <w:trPr>
          <w:trHeight w:val="227"/>
        </w:trPr>
        <w:tc>
          <w:tcPr>
            <w:tcW w:w="3896" w:type="dxa"/>
            <w:tcBorders>
              <w:top w:val="nil"/>
              <w:left w:val="nil"/>
              <w:bottom w:val="nil"/>
              <w:right w:val="nil"/>
            </w:tcBorders>
            <w:shd w:val="clear" w:color="000000" w:fill="D9D9D9"/>
            <w:noWrap/>
            <w:vAlign w:val="bottom"/>
            <w:hideMark/>
          </w:tcPr>
          <w:p w:rsidR="003E6989" w:rsidRDefault="003E6989" w:rsidP="003E6989">
            <w:pPr>
              <w:spacing w:line="240" w:lineRule="auto"/>
              <w:ind w:firstLineChars="100" w:firstLine="180"/>
              <w:rPr>
                <w:rFonts w:cs="Calibri"/>
                <w:szCs w:val="18"/>
              </w:rPr>
            </w:pPr>
            <w:r>
              <w:rPr>
                <w:rFonts w:cs="Calibri"/>
                <w:szCs w:val="18"/>
              </w:rPr>
              <w:t>Grants payable</w:t>
            </w:r>
          </w:p>
        </w:tc>
        <w:tc>
          <w:tcPr>
            <w:tcW w:w="3876"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b/>
                <w:bCs/>
                <w:szCs w:val="18"/>
              </w:rPr>
            </w:pPr>
            <w:r>
              <w:rPr>
                <w:rFonts w:cs="Calibri"/>
                <w:b/>
                <w:bCs/>
                <w:szCs w:val="18"/>
              </w:rPr>
              <w:t xml:space="preserve">2,583 </w:t>
            </w:r>
          </w:p>
        </w:tc>
      </w:tr>
      <w:tr w:rsidR="003E6989" w:rsidTr="006A5410">
        <w:trPr>
          <w:trHeight w:val="227"/>
        </w:trPr>
        <w:tc>
          <w:tcPr>
            <w:tcW w:w="3896" w:type="dxa"/>
            <w:tcBorders>
              <w:top w:val="nil"/>
              <w:left w:val="nil"/>
              <w:bottom w:val="nil"/>
              <w:right w:val="nil"/>
            </w:tcBorders>
            <w:shd w:val="clear" w:color="000000" w:fill="D9D9D9"/>
            <w:noWrap/>
            <w:vAlign w:val="bottom"/>
            <w:hideMark/>
          </w:tcPr>
          <w:p w:rsidR="003E6989" w:rsidRDefault="003E6989" w:rsidP="003E6989">
            <w:pPr>
              <w:spacing w:line="240" w:lineRule="auto"/>
              <w:ind w:firstLineChars="100" w:firstLine="180"/>
              <w:rPr>
                <w:rFonts w:cs="Calibri"/>
                <w:szCs w:val="18"/>
              </w:rPr>
            </w:pPr>
            <w:r>
              <w:rPr>
                <w:rFonts w:cs="Calibri"/>
                <w:szCs w:val="18"/>
              </w:rPr>
              <w:t>Provision for personal benefits</w:t>
            </w:r>
          </w:p>
        </w:tc>
        <w:tc>
          <w:tcPr>
            <w:tcW w:w="3876"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b/>
                <w:bCs/>
                <w:szCs w:val="18"/>
              </w:rPr>
            </w:pPr>
            <w:r>
              <w:rPr>
                <w:rFonts w:cs="Calibri"/>
                <w:b/>
                <w:bCs/>
                <w:szCs w:val="18"/>
              </w:rPr>
              <w:t xml:space="preserve">746,777 </w:t>
            </w:r>
          </w:p>
        </w:tc>
      </w:tr>
      <w:tr w:rsidR="003E6989" w:rsidTr="006A5410">
        <w:trPr>
          <w:trHeight w:val="227"/>
        </w:trPr>
        <w:tc>
          <w:tcPr>
            <w:tcW w:w="389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spacing w:line="240" w:lineRule="auto"/>
              <w:rPr>
                <w:rFonts w:cs="Calibri"/>
                <w:b/>
                <w:bCs/>
                <w:szCs w:val="18"/>
              </w:rPr>
            </w:pPr>
            <w:r>
              <w:rPr>
                <w:rFonts w:cs="Calibri"/>
                <w:b/>
                <w:bCs/>
                <w:szCs w:val="18"/>
              </w:rPr>
              <w:t>Total liabilities recognised</w:t>
            </w:r>
          </w:p>
        </w:tc>
        <w:tc>
          <w:tcPr>
            <w:tcW w:w="387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spacing w:line="240" w:lineRule="auto"/>
              <w:jc w:val="right"/>
              <w:rPr>
                <w:rFonts w:cs="Calibri"/>
                <w:b/>
                <w:bCs/>
                <w:szCs w:val="18"/>
              </w:rPr>
            </w:pPr>
            <w:r>
              <w:rPr>
                <w:rFonts w:cs="Calibri"/>
                <w:b/>
                <w:bCs/>
                <w:szCs w:val="18"/>
              </w:rPr>
              <w:t>947,446</w:t>
            </w:r>
          </w:p>
        </w:tc>
      </w:tr>
      <w:tr w:rsidR="003E6989" w:rsidTr="006A5410">
        <w:trPr>
          <w:trHeight w:val="227"/>
        </w:trPr>
        <w:tc>
          <w:tcPr>
            <w:tcW w:w="3896" w:type="dxa"/>
            <w:tcBorders>
              <w:top w:val="nil"/>
              <w:left w:val="nil"/>
              <w:bottom w:val="single" w:sz="4" w:space="0" w:color="auto"/>
              <w:right w:val="nil"/>
            </w:tcBorders>
            <w:shd w:val="clear" w:color="000000" w:fill="D9D9D9"/>
            <w:noWrap/>
            <w:vAlign w:val="bottom"/>
            <w:hideMark/>
          </w:tcPr>
          <w:p w:rsidR="003E6989" w:rsidRDefault="003E6989" w:rsidP="006A5410">
            <w:pPr>
              <w:spacing w:line="240" w:lineRule="auto"/>
              <w:rPr>
                <w:rFonts w:cs="Calibri"/>
                <w:b/>
                <w:bCs/>
                <w:szCs w:val="18"/>
              </w:rPr>
            </w:pPr>
            <w:r>
              <w:rPr>
                <w:rFonts w:cs="Calibri"/>
                <w:b/>
                <w:bCs/>
                <w:szCs w:val="18"/>
              </w:rPr>
              <w:t>Net assets recognised</w:t>
            </w:r>
          </w:p>
        </w:tc>
        <w:tc>
          <w:tcPr>
            <w:tcW w:w="3876" w:type="dxa"/>
            <w:tcBorders>
              <w:top w:val="nil"/>
              <w:left w:val="nil"/>
              <w:bottom w:val="single" w:sz="4" w:space="0" w:color="auto"/>
              <w:right w:val="nil"/>
            </w:tcBorders>
            <w:shd w:val="clear" w:color="000000" w:fill="D9D9D9"/>
            <w:noWrap/>
            <w:vAlign w:val="bottom"/>
            <w:hideMark/>
          </w:tcPr>
          <w:p w:rsidR="003E6989" w:rsidRDefault="003E6989" w:rsidP="006A5410">
            <w:pPr>
              <w:spacing w:line="240" w:lineRule="auto"/>
              <w:jc w:val="right"/>
              <w:rPr>
                <w:rFonts w:cs="Calibri"/>
                <w:b/>
                <w:bCs/>
                <w:szCs w:val="18"/>
              </w:rPr>
            </w:pPr>
            <w:r>
              <w:rPr>
                <w:rFonts w:cs="Calibri"/>
                <w:b/>
                <w:bCs/>
                <w:szCs w:val="18"/>
              </w:rPr>
              <w:t>(434,327)</w:t>
            </w:r>
          </w:p>
        </w:tc>
      </w:tr>
      <w:tr w:rsidR="003E6989" w:rsidTr="006A5410">
        <w:trPr>
          <w:trHeight w:val="227"/>
        </w:trPr>
        <w:tc>
          <w:tcPr>
            <w:tcW w:w="3896" w:type="dxa"/>
            <w:tcBorders>
              <w:top w:val="nil"/>
              <w:left w:val="nil"/>
              <w:bottom w:val="single" w:sz="4" w:space="0" w:color="auto"/>
              <w:right w:val="nil"/>
            </w:tcBorders>
            <w:shd w:val="clear" w:color="000000" w:fill="D9D9D9"/>
            <w:noWrap/>
            <w:hideMark/>
          </w:tcPr>
          <w:p w:rsidR="003E6989" w:rsidRDefault="003E6989" w:rsidP="006A5410">
            <w:pPr>
              <w:spacing w:line="240" w:lineRule="auto"/>
              <w:rPr>
                <w:rFonts w:ascii="Arial" w:hAnsi="Arial" w:cs="Arial"/>
                <w:b/>
                <w:bCs/>
                <w:sz w:val="16"/>
                <w:szCs w:val="16"/>
              </w:rPr>
            </w:pPr>
            <w:r>
              <w:rPr>
                <w:rFonts w:ascii="Arial" w:hAnsi="Arial" w:cs="Arial"/>
                <w:b/>
                <w:bCs/>
                <w:sz w:val="16"/>
                <w:szCs w:val="16"/>
              </w:rPr>
              <w:t> </w:t>
            </w:r>
          </w:p>
        </w:tc>
        <w:tc>
          <w:tcPr>
            <w:tcW w:w="3876" w:type="dxa"/>
            <w:tcBorders>
              <w:top w:val="nil"/>
              <w:left w:val="nil"/>
              <w:bottom w:val="single" w:sz="4" w:space="0" w:color="auto"/>
              <w:right w:val="nil"/>
            </w:tcBorders>
            <w:shd w:val="clear" w:color="000000" w:fill="D9D9D9"/>
            <w:vAlign w:val="bottom"/>
            <w:hideMark/>
          </w:tcPr>
          <w:p w:rsidR="003E6989" w:rsidRDefault="003E6989" w:rsidP="006A5410">
            <w:pPr>
              <w:spacing w:line="240" w:lineRule="auto"/>
              <w:jc w:val="right"/>
              <w:rPr>
                <w:rFonts w:cs="Calibri"/>
                <w:b/>
                <w:bCs/>
                <w:szCs w:val="18"/>
              </w:rPr>
            </w:pPr>
            <w:r>
              <w:rPr>
                <w:rFonts w:cs="Calibri"/>
                <w:b/>
                <w:bCs/>
                <w:szCs w:val="18"/>
              </w:rPr>
              <w:t> </w:t>
            </w:r>
          </w:p>
        </w:tc>
      </w:tr>
      <w:tr w:rsidR="003E6989" w:rsidTr="006A5410">
        <w:trPr>
          <w:trHeight w:val="227"/>
        </w:trPr>
        <w:tc>
          <w:tcPr>
            <w:tcW w:w="3896" w:type="dxa"/>
            <w:tcBorders>
              <w:top w:val="nil"/>
              <w:left w:val="nil"/>
              <w:bottom w:val="nil"/>
              <w:right w:val="nil"/>
            </w:tcBorders>
            <w:shd w:val="clear" w:color="000000" w:fill="D9D9D9"/>
            <w:vAlign w:val="bottom"/>
            <w:hideMark/>
          </w:tcPr>
          <w:p w:rsidR="003E6989" w:rsidRDefault="003E6989" w:rsidP="006A5410">
            <w:pPr>
              <w:spacing w:line="240" w:lineRule="auto"/>
              <w:rPr>
                <w:rFonts w:cs="Calibri"/>
                <w:b/>
                <w:bCs/>
                <w:szCs w:val="18"/>
              </w:rPr>
            </w:pPr>
            <w:r>
              <w:rPr>
                <w:rFonts w:cs="Calibri"/>
                <w:b/>
                <w:bCs/>
                <w:szCs w:val="18"/>
              </w:rPr>
              <w:t>Income assumed</w:t>
            </w:r>
          </w:p>
        </w:tc>
        <w:tc>
          <w:tcPr>
            <w:tcW w:w="3876" w:type="dxa"/>
            <w:tcBorders>
              <w:top w:val="nil"/>
              <w:left w:val="nil"/>
              <w:bottom w:val="nil"/>
              <w:right w:val="nil"/>
            </w:tcBorders>
            <w:shd w:val="clear" w:color="000000" w:fill="D9D9D9"/>
            <w:noWrap/>
            <w:vAlign w:val="bottom"/>
            <w:hideMark/>
          </w:tcPr>
          <w:p w:rsidR="003E6989" w:rsidRDefault="003E6989" w:rsidP="006A5410">
            <w:pPr>
              <w:spacing w:line="240" w:lineRule="auto"/>
              <w:rPr>
                <w:rFonts w:cs="Calibri"/>
                <w:b/>
                <w:bCs/>
                <w:szCs w:val="18"/>
              </w:rPr>
            </w:pPr>
            <w:r>
              <w:rPr>
                <w:rFonts w:cs="Calibri"/>
                <w:b/>
                <w:bCs/>
                <w:szCs w:val="18"/>
              </w:rPr>
              <w:t> </w:t>
            </w:r>
          </w:p>
        </w:tc>
      </w:tr>
      <w:tr w:rsidR="003E6989" w:rsidTr="006A5410">
        <w:trPr>
          <w:trHeight w:val="227"/>
        </w:trPr>
        <w:tc>
          <w:tcPr>
            <w:tcW w:w="3896" w:type="dxa"/>
            <w:tcBorders>
              <w:top w:val="nil"/>
              <w:left w:val="nil"/>
              <w:bottom w:val="nil"/>
              <w:right w:val="nil"/>
            </w:tcBorders>
            <w:shd w:val="clear" w:color="000000" w:fill="D9D9D9"/>
            <w:noWrap/>
            <w:vAlign w:val="bottom"/>
            <w:hideMark/>
          </w:tcPr>
          <w:p w:rsidR="003E6989" w:rsidRDefault="003E6989" w:rsidP="003E6989">
            <w:pPr>
              <w:spacing w:line="240" w:lineRule="auto"/>
              <w:ind w:firstLineChars="100" w:firstLine="180"/>
              <w:rPr>
                <w:rFonts w:cs="Calibri"/>
                <w:szCs w:val="18"/>
              </w:rPr>
            </w:pPr>
            <w:r>
              <w:rPr>
                <w:rFonts w:cs="Calibri"/>
                <w:szCs w:val="18"/>
              </w:rPr>
              <w:t>Recognised by the receiving entity</w:t>
            </w:r>
          </w:p>
        </w:tc>
        <w:tc>
          <w:tcPr>
            <w:tcW w:w="3876"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b/>
                <w:bCs/>
                <w:szCs w:val="18"/>
              </w:rPr>
            </w:pPr>
            <w:r>
              <w:rPr>
                <w:rFonts w:cs="Calibri"/>
                <w:b/>
                <w:bCs/>
                <w:szCs w:val="18"/>
              </w:rPr>
              <w:t xml:space="preserve">5,226 </w:t>
            </w:r>
          </w:p>
        </w:tc>
      </w:tr>
      <w:tr w:rsidR="003E6989" w:rsidTr="006A5410">
        <w:trPr>
          <w:trHeight w:val="227"/>
        </w:trPr>
        <w:tc>
          <w:tcPr>
            <w:tcW w:w="3896" w:type="dxa"/>
            <w:tcBorders>
              <w:top w:val="nil"/>
              <w:left w:val="nil"/>
              <w:bottom w:val="nil"/>
              <w:right w:val="nil"/>
            </w:tcBorders>
            <w:shd w:val="clear" w:color="000000" w:fill="D9D9D9"/>
            <w:noWrap/>
            <w:vAlign w:val="bottom"/>
            <w:hideMark/>
          </w:tcPr>
          <w:p w:rsidR="003E6989" w:rsidRDefault="003E6989" w:rsidP="003E6989">
            <w:pPr>
              <w:spacing w:line="240" w:lineRule="auto"/>
              <w:ind w:firstLineChars="100" w:firstLine="180"/>
              <w:rPr>
                <w:rFonts w:cs="Calibri"/>
                <w:szCs w:val="18"/>
              </w:rPr>
            </w:pPr>
            <w:r>
              <w:rPr>
                <w:rFonts w:cs="Calibri"/>
                <w:szCs w:val="18"/>
              </w:rPr>
              <w:t>Recognised by the losing entity</w:t>
            </w:r>
          </w:p>
        </w:tc>
        <w:tc>
          <w:tcPr>
            <w:tcW w:w="3876"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b/>
                <w:bCs/>
                <w:szCs w:val="18"/>
              </w:rPr>
            </w:pPr>
            <w:r>
              <w:rPr>
                <w:rFonts w:cs="Calibri"/>
                <w:b/>
                <w:bCs/>
                <w:szCs w:val="18"/>
              </w:rPr>
              <w:t xml:space="preserve">408 </w:t>
            </w:r>
          </w:p>
        </w:tc>
      </w:tr>
      <w:tr w:rsidR="003E6989" w:rsidTr="006A5410">
        <w:trPr>
          <w:trHeight w:val="227"/>
        </w:trPr>
        <w:tc>
          <w:tcPr>
            <w:tcW w:w="389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spacing w:line="240" w:lineRule="auto"/>
              <w:rPr>
                <w:rFonts w:cs="Calibri"/>
                <w:b/>
                <w:bCs/>
                <w:szCs w:val="18"/>
              </w:rPr>
            </w:pPr>
            <w:r>
              <w:rPr>
                <w:rFonts w:cs="Calibri"/>
                <w:b/>
                <w:bCs/>
                <w:szCs w:val="18"/>
              </w:rPr>
              <w:t>Total income assumed</w:t>
            </w:r>
          </w:p>
        </w:tc>
        <w:tc>
          <w:tcPr>
            <w:tcW w:w="3876"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spacing w:line="240" w:lineRule="auto"/>
              <w:jc w:val="right"/>
              <w:rPr>
                <w:rFonts w:cs="Calibri"/>
                <w:b/>
                <w:bCs/>
                <w:szCs w:val="18"/>
              </w:rPr>
            </w:pPr>
            <w:r>
              <w:rPr>
                <w:rFonts w:cs="Calibri"/>
                <w:b/>
                <w:bCs/>
                <w:szCs w:val="18"/>
              </w:rPr>
              <w:t>5,634</w:t>
            </w:r>
          </w:p>
        </w:tc>
      </w:tr>
      <w:tr w:rsidR="003E6989" w:rsidTr="006A5410">
        <w:trPr>
          <w:trHeight w:val="227"/>
        </w:trPr>
        <w:tc>
          <w:tcPr>
            <w:tcW w:w="3896" w:type="dxa"/>
            <w:tcBorders>
              <w:top w:val="nil"/>
              <w:left w:val="nil"/>
              <w:bottom w:val="single" w:sz="4" w:space="0" w:color="D9D9D9"/>
              <w:right w:val="nil"/>
            </w:tcBorders>
            <w:shd w:val="clear" w:color="000000" w:fill="D9D9D9"/>
            <w:noWrap/>
            <w:vAlign w:val="bottom"/>
            <w:hideMark/>
          </w:tcPr>
          <w:p w:rsidR="003E6989" w:rsidRDefault="003E6989" w:rsidP="006A5410">
            <w:pPr>
              <w:spacing w:line="240" w:lineRule="auto"/>
              <w:rPr>
                <w:rFonts w:cs="Calibri"/>
                <w:sz w:val="16"/>
                <w:szCs w:val="16"/>
              </w:rPr>
            </w:pPr>
            <w:r>
              <w:rPr>
                <w:rFonts w:cs="Calibri"/>
                <w:sz w:val="16"/>
                <w:szCs w:val="16"/>
              </w:rPr>
              <w:t> </w:t>
            </w:r>
          </w:p>
        </w:tc>
        <w:tc>
          <w:tcPr>
            <w:tcW w:w="3876" w:type="dxa"/>
            <w:tcBorders>
              <w:top w:val="nil"/>
              <w:left w:val="nil"/>
              <w:bottom w:val="single" w:sz="4" w:space="0" w:color="D9D9D9"/>
              <w:right w:val="nil"/>
            </w:tcBorders>
            <w:shd w:val="clear" w:color="000000" w:fill="D9D9D9"/>
            <w:noWrap/>
            <w:vAlign w:val="bottom"/>
            <w:hideMark/>
          </w:tcPr>
          <w:p w:rsidR="003E6989" w:rsidRDefault="003E6989" w:rsidP="006A5410">
            <w:pPr>
              <w:spacing w:line="240" w:lineRule="auto"/>
              <w:rPr>
                <w:rFonts w:cs="Calibri"/>
                <w:sz w:val="16"/>
                <w:szCs w:val="16"/>
              </w:rPr>
            </w:pPr>
            <w:r>
              <w:rPr>
                <w:rFonts w:cs="Calibri"/>
                <w:sz w:val="16"/>
                <w:szCs w:val="16"/>
              </w:rPr>
              <w:t> </w:t>
            </w:r>
          </w:p>
        </w:tc>
      </w:tr>
      <w:tr w:rsidR="003E6989" w:rsidTr="006A5410">
        <w:trPr>
          <w:trHeight w:val="227"/>
        </w:trPr>
        <w:tc>
          <w:tcPr>
            <w:tcW w:w="3896" w:type="dxa"/>
            <w:tcBorders>
              <w:top w:val="nil"/>
              <w:left w:val="nil"/>
              <w:bottom w:val="nil"/>
              <w:right w:val="nil"/>
            </w:tcBorders>
            <w:shd w:val="clear" w:color="000000" w:fill="D9D9D9"/>
            <w:vAlign w:val="bottom"/>
            <w:hideMark/>
          </w:tcPr>
          <w:p w:rsidR="003E6989" w:rsidRDefault="003E6989" w:rsidP="006A5410">
            <w:pPr>
              <w:spacing w:line="240" w:lineRule="auto"/>
              <w:rPr>
                <w:rFonts w:cs="Calibri"/>
                <w:b/>
                <w:bCs/>
                <w:szCs w:val="18"/>
              </w:rPr>
            </w:pPr>
            <w:r>
              <w:rPr>
                <w:rFonts w:cs="Calibri"/>
                <w:b/>
                <w:bCs/>
                <w:szCs w:val="18"/>
              </w:rPr>
              <w:t>Expenses assumed</w:t>
            </w:r>
          </w:p>
        </w:tc>
        <w:tc>
          <w:tcPr>
            <w:tcW w:w="3876" w:type="dxa"/>
            <w:tcBorders>
              <w:top w:val="nil"/>
              <w:left w:val="nil"/>
              <w:bottom w:val="nil"/>
              <w:right w:val="nil"/>
            </w:tcBorders>
            <w:shd w:val="clear" w:color="000000" w:fill="D9D9D9"/>
            <w:noWrap/>
            <w:vAlign w:val="bottom"/>
            <w:hideMark/>
          </w:tcPr>
          <w:p w:rsidR="003E6989" w:rsidRDefault="003E6989" w:rsidP="006A5410">
            <w:pPr>
              <w:spacing w:line="240" w:lineRule="auto"/>
              <w:rPr>
                <w:rFonts w:ascii="Arial" w:hAnsi="Arial" w:cs="Arial"/>
                <w:sz w:val="16"/>
                <w:szCs w:val="16"/>
              </w:rPr>
            </w:pPr>
            <w:r>
              <w:rPr>
                <w:rFonts w:ascii="Arial" w:hAnsi="Arial" w:cs="Arial"/>
                <w:sz w:val="16"/>
                <w:szCs w:val="16"/>
              </w:rPr>
              <w:t> </w:t>
            </w:r>
          </w:p>
        </w:tc>
      </w:tr>
      <w:tr w:rsidR="003E6989" w:rsidTr="006A5410">
        <w:trPr>
          <w:trHeight w:val="227"/>
        </w:trPr>
        <w:tc>
          <w:tcPr>
            <w:tcW w:w="3896" w:type="dxa"/>
            <w:tcBorders>
              <w:top w:val="nil"/>
              <w:left w:val="nil"/>
              <w:bottom w:val="nil"/>
              <w:right w:val="nil"/>
            </w:tcBorders>
            <w:shd w:val="clear" w:color="000000" w:fill="D9D9D9"/>
            <w:noWrap/>
            <w:vAlign w:val="bottom"/>
            <w:hideMark/>
          </w:tcPr>
          <w:p w:rsidR="003E6989" w:rsidRDefault="003E6989" w:rsidP="003E6989">
            <w:pPr>
              <w:spacing w:line="240" w:lineRule="auto"/>
              <w:ind w:firstLineChars="100" w:firstLine="180"/>
              <w:rPr>
                <w:rFonts w:cs="Calibri"/>
                <w:szCs w:val="18"/>
              </w:rPr>
            </w:pPr>
            <w:r>
              <w:rPr>
                <w:rFonts w:cs="Calibri"/>
                <w:szCs w:val="18"/>
              </w:rPr>
              <w:t>Recognised by the receiving entity</w:t>
            </w:r>
          </w:p>
        </w:tc>
        <w:tc>
          <w:tcPr>
            <w:tcW w:w="3876"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b/>
                <w:bCs/>
                <w:szCs w:val="18"/>
              </w:rPr>
            </w:pPr>
            <w:r>
              <w:rPr>
                <w:rFonts w:cs="Calibri"/>
                <w:b/>
                <w:bCs/>
                <w:szCs w:val="18"/>
              </w:rPr>
              <w:t xml:space="preserve">4,670,116 </w:t>
            </w:r>
          </w:p>
        </w:tc>
      </w:tr>
      <w:tr w:rsidR="003E6989" w:rsidTr="006A5410">
        <w:trPr>
          <w:trHeight w:val="227"/>
        </w:trPr>
        <w:tc>
          <w:tcPr>
            <w:tcW w:w="3896" w:type="dxa"/>
            <w:tcBorders>
              <w:top w:val="nil"/>
              <w:left w:val="nil"/>
              <w:bottom w:val="single" w:sz="4" w:space="0" w:color="auto"/>
              <w:right w:val="nil"/>
            </w:tcBorders>
            <w:shd w:val="clear" w:color="000000" w:fill="D9D9D9"/>
            <w:noWrap/>
            <w:vAlign w:val="bottom"/>
            <w:hideMark/>
          </w:tcPr>
          <w:p w:rsidR="003E6989" w:rsidRDefault="003E6989" w:rsidP="003E6989">
            <w:pPr>
              <w:spacing w:line="240" w:lineRule="auto"/>
              <w:ind w:firstLineChars="100" w:firstLine="180"/>
              <w:rPr>
                <w:rFonts w:cs="Calibri"/>
                <w:szCs w:val="18"/>
              </w:rPr>
            </w:pPr>
            <w:r>
              <w:rPr>
                <w:rFonts w:cs="Calibri"/>
                <w:szCs w:val="18"/>
              </w:rPr>
              <w:t>Recognised by losing entity</w:t>
            </w:r>
          </w:p>
        </w:tc>
        <w:tc>
          <w:tcPr>
            <w:tcW w:w="3876" w:type="dxa"/>
            <w:tcBorders>
              <w:top w:val="nil"/>
              <w:left w:val="nil"/>
              <w:bottom w:val="single" w:sz="4" w:space="0" w:color="auto"/>
              <w:right w:val="nil"/>
            </w:tcBorders>
            <w:shd w:val="clear" w:color="000000" w:fill="D9D9D9"/>
            <w:noWrap/>
            <w:vAlign w:val="bottom"/>
            <w:hideMark/>
          </w:tcPr>
          <w:p w:rsidR="003E6989" w:rsidRDefault="003E6989" w:rsidP="006A5410">
            <w:pPr>
              <w:spacing w:line="240" w:lineRule="auto"/>
              <w:jc w:val="right"/>
              <w:rPr>
                <w:rFonts w:cs="Calibri"/>
                <w:b/>
                <w:bCs/>
                <w:szCs w:val="18"/>
              </w:rPr>
            </w:pPr>
            <w:r>
              <w:rPr>
                <w:rFonts w:cs="Calibri"/>
                <w:b/>
                <w:bCs/>
                <w:szCs w:val="18"/>
              </w:rPr>
              <w:t xml:space="preserve">2,098,320 </w:t>
            </w:r>
          </w:p>
        </w:tc>
      </w:tr>
      <w:tr w:rsidR="003E6989" w:rsidTr="006A5410">
        <w:trPr>
          <w:trHeight w:val="227"/>
        </w:trPr>
        <w:tc>
          <w:tcPr>
            <w:tcW w:w="3896" w:type="dxa"/>
            <w:tcBorders>
              <w:top w:val="nil"/>
              <w:left w:val="nil"/>
              <w:bottom w:val="single" w:sz="4" w:space="0" w:color="auto"/>
              <w:right w:val="nil"/>
            </w:tcBorders>
            <w:shd w:val="clear" w:color="000000" w:fill="D9D9D9"/>
            <w:noWrap/>
            <w:vAlign w:val="bottom"/>
            <w:hideMark/>
          </w:tcPr>
          <w:p w:rsidR="003E6989" w:rsidRDefault="003E6989" w:rsidP="006A5410">
            <w:pPr>
              <w:spacing w:line="240" w:lineRule="auto"/>
              <w:rPr>
                <w:rFonts w:cs="Calibri"/>
                <w:b/>
                <w:bCs/>
                <w:szCs w:val="18"/>
              </w:rPr>
            </w:pPr>
            <w:r>
              <w:rPr>
                <w:rFonts w:cs="Calibri"/>
                <w:b/>
                <w:bCs/>
                <w:szCs w:val="18"/>
              </w:rPr>
              <w:t>Total expenses assumed</w:t>
            </w:r>
          </w:p>
        </w:tc>
        <w:tc>
          <w:tcPr>
            <w:tcW w:w="3876" w:type="dxa"/>
            <w:tcBorders>
              <w:top w:val="nil"/>
              <w:left w:val="nil"/>
              <w:bottom w:val="single" w:sz="4" w:space="0" w:color="auto"/>
              <w:right w:val="nil"/>
            </w:tcBorders>
            <w:shd w:val="clear" w:color="000000" w:fill="D9D9D9"/>
            <w:noWrap/>
            <w:vAlign w:val="bottom"/>
            <w:hideMark/>
          </w:tcPr>
          <w:p w:rsidR="003E6989" w:rsidRDefault="003E6989" w:rsidP="006A5410">
            <w:pPr>
              <w:spacing w:line="240" w:lineRule="auto"/>
              <w:jc w:val="right"/>
              <w:rPr>
                <w:rFonts w:cs="Calibri"/>
                <w:b/>
                <w:bCs/>
                <w:szCs w:val="18"/>
              </w:rPr>
            </w:pPr>
            <w:r>
              <w:rPr>
                <w:rFonts w:cs="Calibri"/>
                <w:b/>
                <w:bCs/>
                <w:szCs w:val="18"/>
              </w:rPr>
              <w:t>6,768,436</w:t>
            </w:r>
          </w:p>
        </w:tc>
      </w:tr>
      <w:tr w:rsidR="003E6989" w:rsidTr="006A5410">
        <w:trPr>
          <w:trHeight w:val="227"/>
        </w:trPr>
        <w:tc>
          <w:tcPr>
            <w:tcW w:w="3896" w:type="dxa"/>
            <w:tcBorders>
              <w:top w:val="nil"/>
              <w:left w:val="nil"/>
              <w:bottom w:val="single" w:sz="4" w:space="0" w:color="auto"/>
              <w:right w:val="nil"/>
            </w:tcBorders>
            <w:shd w:val="clear" w:color="000000" w:fill="D9D9D9"/>
            <w:noWrap/>
            <w:vAlign w:val="bottom"/>
            <w:hideMark/>
          </w:tcPr>
          <w:p w:rsidR="003E6989" w:rsidRDefault="003E6989" w:rsidP="006A5410">
            <w:pPr>
              <w:spacing w:line="240" w:lineRule="auto"/>
              <w:rPr>
                <w:rFonts w:ascii="Arial" w:hAnsi="Arial" w:cs="Arial"/>
                <w:b/>
                <w:bCs/>
                <w:sz w:val="16"/>
                <w:szCs w:val="16"/>
              </w:rPr>
            </w:pPr>
            <w:r>
              <w:rPr>
                <w:rFonts w:ascii="Arial" w:hAnsi="Arial" w:cs="Arial"/>
                <w:b/>
                <w:bCs/>
                <w:sz w:val="16"/>
                <w:szCs w:val="16"/>
              </w:rPr>
              <w:t> </w:t>
            </w:r>
          </w:p>
        </w:tc>
        <w:tc>
          <w:tcPr>
            <w:tcW w:w="3876" w:type="dxa"/>
            <w:tcBorders>
              <w:top w:val="nil"/>
              <w:left w:val="nil"/>
              <w:bottom w:val="single" w:sz="4" w:space="0" w:color="auto"/>
              <w:right w:val="nil"/>
            </w:tcBorders>
            <w:shd w:val="clear" w:color="000000" w:fill="D9D9D9"/>
            <w:vAlign w:val="bottom"/>
            <w:hideMark/>
          </w:tcPr>
          <w:p w:rsidR="003E6989" w:rsidRDefault="003E6989" w:rsidP="006A5410">
            <w:pPr>
              <w:spacing w:line="240" w:lineRule="auto"/>
              <w:jc w:val="right"/>
              <w:rPr>
                <w:rFonts w:cs="Calibri"/>
                <w:b/>
                <w:bCs/>
                <w:szCs w:val="18"/>
              </w:rPr>
            </w:pPr>
            <w:r>
              <w:rPr>
                <w:rFonts w:cs="Calibri"/>
                <w:b/>
                <w:bCs/>
                <w:szCs w:val="18"/>
              </w:rPr>
              <w:t> </w:t>
            </w:r>
          </w:p>
        </w:tc>
      </w:tr>
    </w:tbl>
    <w:p w:rsidR="003E6989" w:rsidRDefault="003E6989" w:rsidP="003E6989">
      <w:pPr>
        <w:pStyle w:val="ReferenceText"/>
      </w:pPr>
      <w:bookmarkStart w:id="753" w:name="RANGE!D7:E52"/>
      <w:bookmarkStart w:id="754" w:name="RANGE!D7:F48"/>
      <w:bookmarkStart w:id="755" w:name="RANGE!D7:F52"/>
      <w:bookmarkStart w:id="756" w:name="RANGE!D7:F60"/>
      <w:bookmarkEnd w:id="753"/>
      <w:bookmarkEnd w:id="754"/>
      <w:bookmarkEnd w:id="755"/>
      <w:bookmarkEnd w:id="756"/>
    </w:p>
    <w:p w:rsidR="003E6989" w:rsidRDefault="003E6989" w:rsidP="003E6989">
      <w:pPr>
        <w:pStyle w:val="ReferenceText"/>
      </w:pPr>
      <w:r>
        <w:t>Notes:</w:t>
      </w:r>
    </w:p>
    <w:p w:rsidR="003E6989" w:rsidRDefault="003E6989" w:rsidP="003E6989">
      <w:pPr>
        <w:pStyle w:val="ReferenceText"/>
      </w:pPr>
      <w:r w:rsidRPr="00DF5B46">
        <w:rPr>
          <w:vertAlign w:val="superscript"/>
        </w:rPr>
        <w:t>1</w:t>
      </w:r>
      <w:r>
        <w:rPr>
          <w:vertAlign w:val="superscript"/>
        </w:rPr>
        <w:t xml:space="preserve"> </w:t>
      </w:r>
      <w:r>
        <w:t xml:space="preserve">The Early Childhood Education and Care functions transferred from the Department of Social Services following the </w:t>
      </w:r>
      <w:r w:rsidRPr="00DC68A9">
        <w:t>Administrative</w:t>
      </w:r>
      <w:r>
        <w:t xml:space="preserve"> Arrangement Orders of 21 September 2015. </w:t>
      </w:r>
    </w:p>
    <w:p w:rsidR="003E6989" w:rsidRDefault="003E6989" w:rsidP="003E6989">
      <w:r>
        <w:t>The net assets assumed from all entities total ($434.327) million.</w:t>
      </w:r>
    </w:p>
    <w:p w:rsidR="003E6989" w:rsidRDefault="003E6989" w:rsidP="003E6989">
      <w:pPr>
        <w:pStyle w:val="ReferenceText"/>
        <w:sectPr w:rsidR="003E6989" w:rsidSect="006A5410">
          <w:pgSz w:w="11906" w:h="16838"/>
          <w:pgMar w:top="1134" w:right="1134" w:bottom="1134" w:left="1134" w:header="958" w:footer="737" w:gutter="0"/>
          <w:cols w:space="720"/>
          <w:docGrid w:linePitch="245"/>
        </w:sectPr>
      </w:pPr>
      <w:r>
        <w:t>The net book value of the assets and liabilities were transferred to the department for no consideration.</w:t>
      </w:r>
    </w:p>
    <w:tbl>
      <w:tblPr>
        <w:tblW w:w="9087" w:type="dxa"/>
        <w:tblInd w:w="80" w:type="dxa"/>
        <w:tblLayout w:type="fixed"/>
        <w:tblCellMar>
          <w:left w:w="6" w:type="dxa"/>
          <w:right w:w="6" w:type="dxa"/>
        </w:tblCellMar>
        <w:tblLook w:val="04A0" w:firstRow="1" w:lastRow="0" w:firstColumn="1" w:lastColumn="0" w:noHBand="0" w:noVBand="1"/>
      </w:tblPr>
      <w:tblGrid>
        <w:gridCol w:w="3179"/>
        <w:gridCol w:w="3163"/>
        <w:gridCol w:w="2745"/>
      </w:tblGrid>
      <w:tr w:rsidR="003E6989" w:rsidTr="006A5410">
        <w:trPr>
          <w:trHeight w:val="227"/>
        </w:trPr>
        <w:tc>
          <w:tcPr>
            <w:tcW w:w="3177"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spacing w:line="240" w:lineRule="auto"/>
              <w:rPr>
                <w:rFonts w:ascii="Arial" w:hAnsi="Arial" w:cs="Arial"/>
                <w:sz w:val="16"/>
                <w:szCs w:val="16"/>
              </w:rPr>
            </w:pPr>
            <w:bookmarkStart w:id="757" w:name="Note_AESTABLE2" w:colFirst="0" w:colLast="0"/>
            <w:r>
              <w:rPr>
                <w:rFonts w:ascii="Arial" w:hAnsi="Arial" w:cs="Arial"/>
                <w:sz w:val="16"/>
                <w:szCs w:val="16"/>
              </w:rPr>
              <w:t> </w:t>
            </w:r>
          </w:p>
        </w:tc>
        <w:tc>
          <w:tcPr>
            <w:tcW w:w="5904" w:type="dxa"/>
            <w:gridSpan w:val="2"/>
            <w:tcBorders>
              <w:top w:val="single" w:sz="4" w:space="0" w:color="auto"/>
              <w:left w:val="nil"/>
              <w:bottom w:val="single" w:sz="4" w:space="0" w:color="auto"/>
              <w:right w:val="nil"/>
            </w:tcBorders>
            <w:shd w:val="clear" w:color="000000" w:fill="D9D9D9"/>
            <w:vAlign w:val="bottom"/>
            <w:hideMark/>
          </w:tcPr>
          <w:p w:rsidR="003E6989" w:rsidRDefault="003E6989" w:rsidP="006A5410">
            <w:pPr>
              <w:spacing w:line="240" w:lineRule="auto"/>
              <w:jc w:val="center"/>
              <w:rPr>
                <w:rFonts w:cs="Calibri"/>
                <w:szCs w:val="18"/>
              </w:rPr>
            </w:pPr>
            <w:r>
              <w:rPr>
                <w:rFonts w:cs="Calibri"/>
                <w:szCs w:val="18"/>
              </w:rPr>
              <w:t>2015</w:t>
            </w:r>
          </w:p>
        </w:tc>
      </w:tr>
      <w:bookmarkEnd w:id="757"/>
      <w:tr w:rsidR="003E6989" w:rsidTr="006A5410">
        <w:trPr>
          <w:trHeight w:val="227"/>
        </w:trPr>
        <w:tc>
          <w:tcPr>
            <w:tcW w:w="3177" w:type="dxa"/>
            <w:tcBorders>
              <w:top w:val="nil"/>
              <w:left w:val="nil"/>
              <w:bottom w:val="nil"/>
              <w:right w:val="nil"/>
            </w:tcBorders>
            <w:shd w:val="clear" w:color="000000" w:fill="D9D9D9"/>
            <w:noWrap/>
            <w:hideMark/>
          </w:tcPr>
          <w:p w:rsidR="003E6989" w:rsidRDefault="003E6989" w:rsidP="006A5410">
            <w:pPr>
              <w:spacing w:line="240" w:lineRule="auto"/>
              <w:rPr>
                <w:rFonts w:ascii="Arial" w:hAnsi="Arial" w:cs="Arial"/>
                <w:b/>
                <w:bCs/>
                <w:sz w:val="16"/>
                <w:szCs w:val="16"/>
              </w:rPr>
            </w:pPr>
            <w:r>
              <w:rPr>
                <w:rFonts w:ascii="Arial" w:hAnsi="Arial" w:cs="Arial"/>
                <w:b/>
                <w:bCs/>
                <w:sz w:val="16"/>
                <w:szCs w:val="16"/>
              </w:rPr>
              <w:t>Function</w:t>
            </w:r>
          </w:p>
        </w:tc>
        <w:tc>
          <w:tcPr>
            <w:tcW w:w="3161" w:type="dxa"/>
            <w:tcBorders>
              <w:top w:val="nil"/>
              <w:left w:val="nil"/>
              <w:bottom w:val="nil"/>
              <w:right w:val="nil"/>
            </w:tcBorders>
            <w:shd w:val="clear" w:color="000000" w:fill="D9D9D9"/>
            <w:hideMark/>
          </w:tcPr>
          <w:p w:rsidR="003E6989" w:rsidRDefault="003E6989" w:rsidP="006A5410">
            <w:pPr>
              <w:spacing w:line="240" w:lineRule="auto"/>
              <w:jc w:val="right"/>
              <w:rPr>
                <w:rFonts w:cs="Calibri"/>
                <w:szCs w:val="18"/>
              </w:rPr>
            </w:pPr>
            <w:r>
              <w:rPr>
                <w:rFonts w:cs="Calibri"/>
                <w:szCs w:val="18"/>
              </w:rPr>
              <w:t>Early Education: Early Childhood and Child Care</w:t>
            </w:r>
          </w:p>
        </w:tc>
        <w:tc>
          <w:tcPr>
            <w:tcW w:w="2743" w:type="dxa"/>
            <w:tcBorders>
              <w:top w:val="nil"/>
              <w:left w:val="nil"/>
              <w:bottom w:val="nil"/>
              <w:right w:val="nil"/>
            </w:tcBorders>
            <w:shd w:val="clear" w:color="000000" w:fill="D9D9D9"/>
            <w:hideMark/>
          </w:tcPr>
          <w:p w:rsidR="003E6989" w:rsidRDefault="003E6989" w:rsidP="006A5410">
            <w:pPr>
              <w:spacing w:line="240" w:lineRule="auto"/>
              <w:jc w:val="right"/>
              <w:rPr>
                <w:rFonts w:cs="Calibri"/>
                <w:szCs w:val="18"/>
              </w:rPr>
            </w:pPr>
            <w:r>
              <w:rPr>
                <w:rFonts w:cs="Calibri"/>
                <w:szCs w:val="18"/>
              </w:rPr>
              <w:t>Skills and Training</w:t>
            </w:r>
          </w:p>
        </w:tc>
      </w:tr>
      <w:tr w:rsidR="003E6989" w:rsidTr="006A5410">
        <w:trPr>
          <w:trHeight w:val="227"/>
        </w:trPr>
        <w:tc>
          <w:tcPr>
            <w:tcW w:w="3177" w:type="dxa"/>
            <w:tcBorders>
              <w:top w:val="nil"/>
              <w:left w:val="nil"/>
              <w:bottom w:val="nil"/>
              <w:right w:val="nil"/>
            </w:tcBorders>
            <w:shd w:val="clear" w:color="000000" w:fill="D9D9D9"/>
            <w:noWrap/>
            <w:hideMark/>
          </w:tcPr>
          <w:p w:rsidR="003E6989" w:rsidRDefault="003E6989" w:rsidP="006A5410">
            <w:pPr>
              <w:spacing w:line="240" w:lineRule="auto"/>
              <w:rPr>
                <w:rFonts w:ascii="Arial" w:hAnsi="Arial" w:cs="Arial"/>
                <w:b/>
                <w:bCs/>
                <w:sz w:val="16"/>
                <w:szCs w:val="16"/>
              </w:rPr>
            </w:pPr>
            <w:r>
              <w:rPr>
                <w:rFonts w:ascii="Arial" w:hAnsi="Arial" w:cs="Arial"/>
                <w:b/>
                <w:bCs/>
                <w:sz w:val="16"/>
                <w:szCs w:val="16"/>
              </w:rPr>
              <w:t>Entity</w:t>
            </w:r>
          </w:p>
        </w:tc>
        <w:tc>
          <w:tcPr>
            <w:tcW w:w="3161" w:type="dxa"/>
            <w:tcBorders>
              <w:top w:val="nil"/>
              <w:left w:val="nil"/>
              <w:bottom w:val="nil"/>
              <w:right w:val="nil"/>
            </w:tcBorders>
            <w:shd w:val="clear" w:color="000000" w:fill="D9D9D9"/>
            <w:hideMark/>
          </w:tcPr>
          <w:p w:rsidR="003E6989" w:rsidRDefault="003E6989" w:rsidP="006A5410">
            <w:pPr>
              <w:spacing w:line="240" w:lineRule="auto"/>
              <w:jc w:val="right"/>
              <w:rPr>
                <w:rFonts w:cs="Calibri"/>
                <w:szCs w:val="18"/>
              </w:rPr>
            </w:pPr>
            <w:r>
              <w:rPr>
                <w:rFonts w:cs="Calibri"/>
                <w:szCs w:val="18"/>
              </w:rPr>
              <w:t>Department of Social Services</w:t>
            </w:r>
            <w:r>
              <w:rPr>
                <w:rFonts w:cs="Calibri"/>
                <w:szCs w:val="18"/>
                <w:vertAlign w:val="superscript"/>
              </w:rPr>
              <w:t>1</w:t>
            </w:r>
          </w:p>
        </w:tc>
        <w:tc>
          <w:tcPr>
            <w:tcW w:w="2743" w:type="dxa"/>
            <w:tcBorders>
              <w:top w:val="nil"/>
              <w:left w:val="nil"/>
              <w:bottom w:val="nil"/>
              <w:right w:val="nil"/>
            </w:tcBorders>
            <w:shd w:val="clear" w:color="000000" w:fill="D9D9D9"/>
            <w:hideMark/>
          </w:tcPr>
          <w:p w:rsidR="003E6989" w:rsidRDefault="003E6989" w:rsidP="006A5410">
            <w:pPr>
              <w:spacing w:line="240" w:lineRule="auto"/>
              <w:jc w:val="right"/>
              <w:rPr>
                <w:rFonts w:cs="Calibri"/>
                <w:szCs w:val="18"/>
              </w:rPr>
            </w:pPr>
            <w:r>
              <w:rPr>
                <w:rFonts w:cs="Calibri"/>
                <w:szCs w:val="18"/>
              </w:rPr>
              <w:t>Department of Industry and Science</w:t>
            </w:r>
            <w:r>
              <w:rPr>
                <w:rFonts w:cs="Calibri"/>
                <w:szCs w:val="18"/>
                <w:vertAlign w:val="superscript"/>
              </w:rPr>
              <w:t>2</w:t>
            </w:r>
          </w:p>
        </w:tc>
      </w:tr>
      <w:tr w:rsidR="003E6989" w:rsidTr="006A5410">
        <w:trPr>
          <w:trHeight w:val="227"/>
        </w:trPr>
        <w:tc>
          <w:tcPr>
            <w:tcW w:w="3177" w:type="dxa"/>
            <w:tcBorders>
              <w:top w:val="nil"/>
              <w:left w:val="nil"/>
              <w:bottom w:val="single" w:sz="4" w:space="0" w:color="auto"/>
              <w:right w:val="nil"/>
            </w:tcBorders>
            <w:shd w:val="clear" w:color="000000" w:fill="D9D9D9"/>
            <w:noWrap/>
            <w:vAlign w:val="bottom"/>
            <w:hideMark/>
          </w:tcPr>
          <w:p w:rsidR="003E6989" w:rsidRDefault="003E6989" w:rsidP="006A5410">
            <w:pPr>
              <w:spacing w:line="240" w:lineRule="auto"/>
              <w:rPr>
                <w:rFonts w:ascii="Arial" w:hAnsi="Arial" w:cs="Arial"/>
                <w:sz w:val="16"/>
                <w:szCs w:val="16"/>
              </w:rPr>
            </w:pPr>
            <w:r>
              <w:rPr>
                <w:rFonts w:ascii="Arial" w:hAnsi="Arial" w:cs="Arial"/>
                <w:sz w:val="16"/>
                <w:szCs w:val="16"/>
              </w:rPr>
              <w:t> </w:t>
            </w:r>
          </w:p>
        </w:tc>
        <w:tc>
          <w:tcPr>
            <w:tcW w:w="3161" w:type="dxa"/>
            <w:tcBorders>
              <w:top w:val="nil"/>
              <w:left w:val="nil"/>
              <w:bottom w:val="single" w:sz="4" w:space="0" w:color="auto"/>
              <w:right w:val="nil"/>
            </w:tcBorders>
            <w:shd w:val="clear" w:color="000000" w:fill="D9D9D9"/>
            <w:vAlign w:val="bottom"/>
            <w:hideMark/>
          </w:tcPr>
          <w:p w:rsidR="003E6989" w:rsidRDefault="003E6989" w:rsidP="006A5410">
            <w:pPr>
              <w:spacing w:line="240" w:lineRule="auto"/>
              <w:jc w:val="right"/>
              <w:rPr>
                <w:rFonts w:cs="Calibri"/>
                <w:szCs w:val="18"/>
              </w:rPr>
            </w:pPr>
            <w:r>
              <w:rPr>
                <w:rFonts w:cs="Calibri"/>
                <w:szCs w:val="18"/>
              </w:rPr>
              <w:t>$’000</w:t>
            </w:r>
          </w:p>
        </w:tc>
        <w:tc>
          <w:tcPr>
            <w:tcW w:w="2743" w:type="dxa"/>
            <w:tcBorders>
              <w:top w:val="nil"/>
              <w:left w:val="nil"/>
              <w:bottom w:val="single" w:sz="4" w:space="0" w:color="auto"/>
              <w:right w:val="nil"/>
            </w:tcBorders>
            <w:shd w:val="clear" w:color="000000" w:fill="D9D9D9"/>
            <w:vAlign w:val="bottom"/>
            <w:hideMark/>
          </w:tcPr>
          <w:p w:rsidR="003E6989" w:rsidRDefault="003E6989" w:rsidP="006A5410">
            <w:pPr>
              <w:spacing w:line="240" w:lineRule="auto"/>
              <w:jc w:val="right"/>
              <w:rPr>
                <w:rFonts w:cs="Calibri"/>
                <w:szCs w:val="18"/>
              </w:rPr>
            </w:pPr>
            <w:r>
              <w:rPr>
                <w:rFonts w:cs="Calibri"/>
                <w:szCs w:val="18"/>
              </w:rPr>
              <w:t>$’000</w:t>
            </w:r>
          </w:p>
        </w:tc>
      </w:tr>
      <w:tr w:rsidR="003E6989" w:rsidTr="006A5410">
        <w:trPr>
          <w:trHeight w:val="227"/>
        </w:trPr>
        <w:tc>
          <w:tcPr>
            <w:tcW w:w="3177" w:type="dxa"/>
            <w:tcBorders>
              <w:top w:val="nil"/>
              <w:left w:val="nil"/>
              <w:bottom w:val="nil"/>
              <w:right w:val="nil"/>
            </w:tcBorders>
            <w:shd w:val="clear" w:color="000000" w:fill="D9D9D9"/>
            <w:vAlign w:val="bottom"/>
            <w:hideMark/>
          </w:tcPr>
          <w:p w:rsidR="003E6989" w:rsidRDefault="003E6989" w:rsidP="006A5410">
            <w:pPr>
              <w:spacing w:line="240" w:lineRule="auto"/>
              <w:rPr>
                <w:rFonts w:cs="Calibri"/>
                <w:b/>
                <w:bCs/>
                <w:szCs w:val="18"/>
              </w:rPr>
            </w:pPr>
            <w:r>
              <w:rPr>
                <w:rFonts w:cs="Calibri"/>
                <w:b/>
                <w:bCs/>
                <w:szCs w:val="18"/>
              </w:rPr>
              <w:t>FUNCTIONS ASSUMED</w:t>
            </w:r>
          </w:p>
        </w:tc>
        <w:tc>
          <w:tcPr>
            <w:tcW w:w="3161" w:type="dxa"/>
            <w:tcBorders>
              <w:top w:val="nil"/>
              <w:left w:val="nil"/>
              <w:bottom w:val="nil"/>
              <w:right w:val="nil"/>
            </w:tcBorders>
            <w:shd w:val="clear" w:color="000000" w:fill="D9D9D9"/>
            <w:noWrap/>
            <w:vAlign w:val="bottom"/>
            <w:hideMark/>
          </w:tcPr>
          <w:p w:rsidR="003E6989" w:rsidRDefault="003E6989" w:rsidP="006A5410">
            <w:pPr>
              <w:spacing w:line="240" w:lineRule="auto"/>
              <w:rPr>
                <w:rFonts w:ascii="Arial" w:hAnsi="Arial" w:cs="Arial"/>
                <w:sz w:val="16"/>
                <w:szCs w:val="16"/>
              </w:rPr>
            </w:pPr>
            <w:r>
              <w:rPr>
                <w:rFonts w:ascii="Arial" w:hAnsi="Arial" w:cs="Arial"/>
                <w:sz w:val="16"/>
                <w:szCs w:val="16"/>
              </w:rPr>
              <w:t> </w:t>
            </w:r>
          </w:p>
        </w:tc>
        <w:tc>
          <w:tcPr>
            <w:tcW w:w="2743" w:type="dxa"/>
            <w:tcBorders>
              <w:top w:val="nil"/>
              <w:left w:val="nil"/>
              <w:bottom w:val="nil"/>
              <w:right w:val="nil"/>
            </w:tcBorders>
            <w:shd w:val="clear" w:color="000000" w:fill="D9D9D9"/>
            <w:noWrap/>
            <w:vAlign w:val="bottom"/>
            <w:hideMark/>
          </w:tcPr>
          <w:p w:rsidR="003E6989" w:rsidRDefault="003E6989" w:rsidP="006A5410">
            <w:pPr>
              <w:spacing w:line="240" w:lineRule="auto"/>
              <w:rPr>
                <w:rFonts w:ascii="Arial" w:hAnsi="Arial" w:cs="Arial"/>
                <w:sz w:val="16"/>
                <w:szCs w:val="16"/>
              </w:rPr>
            </w:pPr>
            <w:r>
              <w:rPr>
                <w:rFonts w:ascii="Arial" w:hAnsi="Arial" w:cs="Arial"/>
                <w:sz w:val="16"/>
                <w:szCs w:val="16"/>
              </w:rPr>
              <w:t> </w:t>
            </w:r>
          </w:p>
        </w:tc>
      </w:tr>
      <w:tr w:rsidR="003E6989" w:rsidTr="006A5410">
        <w:trPr>
          <w:trHeight w:val="227"/>
        </w:trPr>
        <w:tc>
          <w:tcPr>
            <w:tcW w:w="3177" w:type="dxa"/>
            <w:tcBorders>
              <w:top w:val="nil"/>
              <w:left w:val="nil"/>
              <w:bottom w:val="nil"/>
              <w:right w:val="nil"/>
            </w:tcBorders>
            <w:shd w:val="clear" w:color="000000" w:fill="D9D9D9"/>
            <w:vAlign w:val="bottom"/>
            <w:hideMark/>
          </w:tcPr>
          <w:p w:rsidR="003E6989" w:rsidRDefault="003E6989" w:rsidP="006A5410">
            <w:pPr>
              <w:spacing w:line="240" w:lineRule="auto"/>
              <w:rPr>
                <w:rFonts w:cs="Calibri"/>
                <w:b/>
                <w:bCs/>
                <w:szCs w:val="18"/>
              </w:rPr>
            </w:pPr>
            <w:r>
              <w:rPr>
                <w:rFonts w:cs="Calibri"/>
                <w:b/>
                <w:bCs/>
                <w:szCs w:val="18"/>
              </w:rPr>
              <w:t>Assets recognised</w:t>
            </w:r>
          </w:p>
        </w:tc>
        <w:tc>
          <w:tcPr>
            <w:tcW w:w="3161" w:type="dxa"/>
            <w:tcBorders>
              <w:top w:val="nil"/>
              <w:left w:val="nil"/>
              <w:bottom w:val="nil"/>
              <w:right w:val="nil"/>
            </w:tcBorders>
            <w:shd w:val="clear" w:color="000000" w:fill="D9D9D9"/>
            <w:noWrap/>
            <w:vAlign w:val="bottom"/>
            <w:hideMark/>
          </w:tcPr>
          <w:p w:rsidR="003E6989" w:rsidRDefault="003E6989" w:rsidP="006A5410">
            <w:pPr>
              <w:spacing w:line="240" w:lineRule="auto"/>
              <w:rPr>
                <w:rFonts w:ascii="Arial" w:hAnsi="Arial" w:cs="Arial"/>
                <w:sz w:val="16"/>
                <w:szCs w:val="16"/>
              </w:rPr>
            </w:pPr>
            <w:r>
              <w:rPr>
                <w:rFonts w:ascii="Arial" w:hAnsi="Arial" w:cs="Arial"/>
                <w:sz w:val="16"/>
                <w:szCs w:val="16"/>
              </w:rPr>
              <w:t> </w:t>
            </w:r>
          </w:p>
        </w:tc>
        <w:tc>
          <w:tcPr>
            <w:tcW w:w="2743" w:type="dxa"/>
            <w:tcBorders>
              <w:top w:val="nil"/>
              <w:left w:val="nil"/>
              <w:bottom w:val="nil"/>
              <w:right w:val="nil"/>
            </w:tcBorders>
            <w:shd w:val="clear" w:color="000000" w:fill="D9D9D9"/>
            <w:noWrap/>
            <w:vAlign w:val="bottom"/>
            <w:hideMark/>
          </w:tcPr>
          <w:p w:rsidR="003E6989" w:rsidRDefault="003E6989" w:rsidP="006A5410">
            <w:pPr>
              <w:spacing w:line="240" w:lineRule="auto"/>
              <w:rPr>
                <w:rFonts w:ascii="Arial" w:hAnsi="Arial" w:cs="Arial"/>
                <w:sz w:val="16"/>
                <w:szCs w:val="16"/>
              </w:rPr>
            </w:pPr>
            <w:r>
              <w:rPr>
                <w:rFonts w:ascii="Arial" w:hAnsi="Arial" w:cs="Arial"/>
                <w:sz w:val="16"/>
                <w:szCs w:val="16"/>
              </w:rPr>
              <w:t> </w:t>
            </w:r>
          </w:p>
        </w:tc>
      </w:tr>
      <w:tr w:rsidR="003E6989" w:rsidTr="006A5410">
        <w:trPr>
          <w:trHeight w:val="227"/>
        </w:trPr>
        <w:tc>
          <w:tcPr>
            <w:tcW w:w="3177" w:type="dxa"/>
            <w:tcBorders>
              <w:top w:val="nil"/>
              <w:left w:val="nil"/>
              <w:bottom w:val="nil"/>
              <w:right w:val="nil"/>
            </w:tcBorders>
            <w:shd w:val="clear" w:color="000000" w:fill="D9D9D9"/>
            <w:noWrap/>
            <w:vAlign w:val="bottom"/>
            <w:hideMark/>
          </w:tcPr>
          <w:p w:rsidR="003E6989" w:rsidRDefault="003E6989" w:rsidP="003E6989">
            <w:pPr>
              <w:spacing w:line="240" w:lineRule="auto"/>
              <w:ind w:leftChars="100" w:left="180"/>
              <w:rPr>
                <w:rFonts w:cs="Calibri"/>
                <w:szCs w:val="18"/>
              </w:rPr>
            </w:pPr>
            <w:r>
              <w:rPr>
                <w:rFonts w:cs="Calibri"/>
                <w:szCs w:val="18"/>
              </w:rPr>
              <w:t>Cash and cash equivalents</w:t>
            </w:r>
          </w:p>
        </w:tc>
        <w:tc>
          <w:tcPr>
            <w:tcW w:w="3161"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2743"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 xml:space="preserve">737 </w:t>
            </w:r>
          </w:p>
        </w:tc>
      </w:tr>
      <w:tr w:rsidR="003E6989" w:rsidTr="006A5410">
        <w:trPr>
          <w:trHeight w:val="227"/>
        </w:trPr>
        <w:tc>
          <w:tcPr>
            <w:tcW w:w="3177" w:type="dxa"/>
            <w:tcBorders>
              <w:top w:val="nil"/>
              <w:left w:val="nil"/>
              <w:bottom w:val="nil"/>
              <w:right w:val="nil"/>
            </w:tcBorders>
            <w:shd w:val="clear" w:color="000000" w:fill="D9D9D9"/>
            <w:noWrap/>
            <w:vAlign w:val="bottom"/>
            <w:hideMark/>
          </w:tcPr>
          <w:p w:rsidR="003E6989" w:rsidRDefault="003E6989" w:rsidP="003E6989">
            <w:pPr>
              <w:spacing w:line="240" w:lineRule="auto"/>
              <w:ind w:leftChars="100" w:left="180"/>
              <w:rPr>
                <w:rFonts w:cs="Calibri"/>
                <w:szCs w:val="18"/>
              </w:rPr>
            </w:pPr>
            <w:r>
              <w:rPr>
                <w:rFonts w:cs="Calibri"/>
                <w:szCs w:val="18"/>
              </w:rPr>
              <w:t>Trade and other receivables</w:t>
            </w:r>
          </w:p>
        </w:tc>
        <w:tc>
          <w:tcPr>
            <w:tcW w:w="3161"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2743"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 xml:space="preserve">1,449 </w:t>
            </w:r>
          </w:p>
        </w:tc>
      </w:tr>
      <w:tr w:rsidR="003E6989" w:rsidTr="006A5410">
        <w:trPr>
          <w:trHeight w:val="227"/>
        </w:trPr>
        <w:tc>
          <w:tcPr>
            <w:tcW w:w="3177" w:type="dxa"/>
            <w:tcBorders>
              <w:top w:val="nil"/>
              <w:left w:val="nil"/>
              <w:bottom w:val="nil"/>
              <w:right w:val="nil"/>
            </w:tcBorders>
            <w:shd w:val="clear" w:color="000000" w:fill="D9D9D9"/>
            <w:noWrap/>
            <w:vAlign w:val="bottom"/>
            <w:hideMark/>
          </w:tcPr>
          <w:p w:rsidR="003E6989" w:rsidRDefault="003E6989" w:rsidP="003E6989">
            <w:pPr>
              <w:spacing w:line="240" w:lineRule="auto"/>
              <w:ind w:leftChars="100" w:left="180"/>
              <w:rPr>
                <w:rFonts w:cs="Calibri"/>
                <w:szCs w:val="18"/>
              </w:rPr>
            </w:pPr>
            <w:r>
              <w:rPr>
                <w:rFonts w:cs="Calibri"/>
                <w:szCs w:val="18"/>
              </w:rPr>
              <w:t>Advances and loans</w:t>
            </w:r>
          </w:p>
        </w:tc>
        <w:tc>
          <w:tcPr>
            <w:tcW w:w="3161"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2743"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 xml:space="preserve">23,850 </w:t>
            </w:r>
          </w:p>
        </w:tc>
      </w:tr>
      <w:tr w:rsidR="003E6989" w:rsidTr="006A5410">
        <w:trPr>
          <w:trHeight w:val="227"/>
        </w:trPr>
        <w:tc>
          <w:tcPr>
            <w:tcW w:w="3177"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spacing w:line="240" w:lineRule="auto"/>
              <w:rPr>
                <w:rFonts w:cs="Calibri"/>
                <w:b/>
                <w:bCs/>
                <w:szCs w:val="18"/>
              </w:rPr>
            </w:pPr>
            <w:r>
              <w:rPr>
                <w:rFonts w:cs="Calibri"/>
                <w:b/>
                <w:bCs/>
                <w:szCs w:val="18"/>
              </w:rPr>
              <w:t>Total assets recognised</w:t>
            </w:r>
          </w:p>
        </w:tc>
        <w:tc>
          <w:tcPr>
            <w:tcW w:w="3161"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w:t>
            </w:r>
          </w:p>
        </w:tc>
        <w:tc>
          <w:tcPr>
            <w:tcW w:w="2743"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26,036</w:t>
            </w:r>
          </w:p>
        </w:tc>
      </w:tr>
      <w:tr w:rsidR="003E6989" w:rsidTr="006A5410">
        <w:trPr>
          <w:trHeight w:val="227"/>
        </w:trPr>
        <w:tc>
          <w:tcPr>
            <w:tcW w:w="3177" w:type="dxa"/>
            <w:tcBorders>
              <w:top w:val="nil"/>
              <w:left w:val="nil"/>
              <w:bottom w:val="nil"/>
              <w:right w:val="nil"/>
            </w:tcBorders>
            <w:shd w:val="clear" w:color="000000" w:fill="D9D9D9"/>
            <w:vAlign w:val="bottom"/>
            <w:hideMark/>
          </w:tcPr>
          <w:p w:rsidR="003E6989" w:rsidRDefault="003E6989" w:rsidP="006A5410">
            <w:pPr>
              <w:spacing w:line="240" w:lineRule="auto"/>
              <w:rPr>
                <w:rFonts w:cs="Calibri"/>
                <w:b/>
                <w:bCs/>
                <w:szCs w:val="18"/>
              </w:rPr>
            </w:pPr>
            <w:r>
              <w:rPr>
                <w:rFonts w:cs="Calibri"/>
                <w:b/>
                <w:bCs/>
                <w:szCs w:val="18"/>
              </w:rPr>
              <w:t> </w:t>
            </w:r>
          </w:p>
        </w:tc>
        <w:tc>
          <w:tcPr>
            <w:tcW w:w="3161" w:type="dxa"/>
            <w:tcBorders>
              <w:top w:val="nil"/>
              <w:left w:val="nil"/>
              <w:bottom w:val="nil"/>
              <w:right w:val="nil"/>
            </w:tcBorders>
            <w:shd w:val="clear" w:color="000000" w:fill="D9D9D9"/>
            <w:noWrap/>
            <w:vAlign w:val="bottom"/>
            <w:hideMark/>
          </w:tcPr>
          <w:p w:rsidR="003E6989" w:rsidRDefault="003E6989" w:rsidP="006A5410">
            <w:pPr>
              <w:spacing w:line="240" w:lineRule="auto"/>
              <w:rPr>
                <w:rFonts w:ascii="Arial" w:hAnsi="Arial" w:cs="Arial"/>
                <w:sz w:val="16"/>
                <w:szCs w:val="16"/>
              </w:rPr>
            </w:pPr>
            <w:r>
              <w:rPr>
                <w:rFonts w:ascii="Arial" w:hAnsi="Arial" w:cs="Arial"/>
                <w:sz w:val="16"/>
                <w:szCs w:val="16"/>
              </w:rPr>
              <w:t> </w:t>
            </w:r>
          </w:p>
        </w:tc>
        <w:tc>
          <w:tcPr>
            <w:tcW w:w="2743" w:type="dxa"/>
            <w:tcBorders>
              <w:top w:val="nil"/>
              <w:left w:val="nil"/>
              <w:bottom w:val="nil"/>
              <w:right w:val="nil"/>
            </w:tcBorders>
            <w:shd w:val="clear" w:color="000000" w:fill="D9D9D9"/>
            <w:noWrap/>
            <w:vAlign w:val="bottom"/>
            <w:hideMark/>
          </w:tcPr>
          <w:p w:rsidR="003E6989" w:rsidRDefault="003E6989" w:rsidP="006A5410">
            <w:pPr>
              <w:spacing w:line="240" w:lineRule="auto"/>
              <w:rPr>
                <w:rFonts w:ascii="Arial" w:hAnsi="Arial" w:cs="Arial"/>
                <w:sz w:val="16"/>
                <w:szCs w:val="16"/>
              </w:rPr>
            </w:pPr>
            <w:r>
              <w:rPr>
                <w:rFonts w:ascii="Arial" w:hAnsi="Arial" w:cs="Arial"/>
                <w:sz w:val="16"/>
                <w:szCs w:val="16"/>
              </w:rPr>
              <w:t> </w:t>
            </w:r>
          </w:p>
        </w:tc>
      </w:tr>
      <w:tr w:rsidR="003E6989" w:rsidTr="006A5410">
        <w:trPr>
          <w:trHeight w:val="227"/>
        </w:trPr>
        <w:tc>
          <w:tcPr>
            <w:tcW w:w="3177" w:type="dxa"/>
            <w:tcBorders>
              <w:top w:val="nil"/>
              <w:left w:val="nil"/>
              <w:bottom w:val="nil"/>
              <w:right w:val="nil"/>
            </w:tcBorders>
            <w:shd w:val="clear" w:color="000000" w:fill="D9D9D9"/>
            <w:vAlign w:val="bottom"/>
            <w:hideMark/>
          </w:tcPr>
          <w:p w:rsidR="003E6989" w:rsidRDefault="003E6989" w:rsidP="006A5410">
            <w:pPr>
              <w:spacing w:line="240" w:lineRule="auto"/>
              <w:rPr>
                <w:rFonts w:cs="Calibri"/>
                <w:b/>
                <w:bCs/>
                <w:szCs w:val="18"/>
              </w:rPr>
            </w:pPr>
            <w:r>
              <w:rPr>
                <w:rFonts w:cs="Calibri"/>
                <w:b/>
                <w:bCs/>
                <w:szCs w:val="18"/>
              </w:rPr>
              <w:t>Liabilities recognised</w:t>
            </w:r>
          </w:p>
        </w:tc>
        <w:tc>
          <w:tcPr>
            <w:tcW w:w="3161" w:type="dxa"/>
            <w:tcBorders>
              <w:top w:val="nil"/>
              <w:left w:val="nil"/>
              <w:bottom w:val="nil"/>
              <w:right w:val="nil"/>
            </w:tcBorders>
            <w:shd w:val="clear" w:color="000000" w:fill="D9D9D9"/>
            <w:noWrap/>
            <w:vAlign w:val="bottom"/>
            <w:hideMark/>
          </w:tcPr>
          <w:p w:rsidR="003E6989" w:rsidRDefault="003E6989" w:rsidP="006A5410">
            <w:pPr>
              <w:spacing w:line="240" w:lineRule="auto"/>
              <w:rPr>
                <w:rFonts w:ascii="Arial" w:hAnsi="Arial" w:cs="Arial"/>
                <w:sz w:val="16"/>
                <w:szCs w:val="16"/>
              </w:rPr>
            </w:pPr>
            <w:r>
              <w:rPr>
                <w:rFonts w:ascii="Arial" w:hAnsi="Arial" w:cs="Arial"/>
                <w:sz w:val="16"/>
                <w:szCs w:val="16"/>
              </w:rPr>
              <w:t> </w:t>
            </w:r>
          </w:p>
        </w:tc>
        <w:tc>
          <w:tcPr>
            <w:tcW w:w="2743" w:type="dxa"/>
            <w:tcBorders>
              <w:top w:val="nil"/>
              <w:left w:val="nil"/>
              <w:bottom w:val="nil"/>
              <w:right w:val="nil"/>
            </w:tcBorders>
            <w:shd w:val="clear" w:color="000000" w:fill="D9D9D9"/>
            <w:noWrap/>
            <w:vAlign w:val="bottom"/>
            <w:hideMark/>
          </w:tcPr>
          <w:p w:rsidR="003E6989" w:rsidRDefault="003E6989" w:rsidP="006A5410">
            <w:pPr>
              <w:spacing w:line="240" w:lineRule="auto"/>
              <w:rPr>
                <w:rFonts w:ascii="Arial" w:hAnsi="Arial" w:cs="Arial"/>
                <w:sz w:val="16"/>
                <w:szCs w:val="16"/>
              </w:rPr>
            </w:pPr>
            <w:r>
              <w:rPr>
                <w:rFonts w:ascii="Arial" w:hAnsi="Arial" w:cs="Arial"/>
                <w:sz w:val="16"/>
                <w:szCs w:val="16"/>
              </w:rPr>
              <w:t> </w:t>
            </w:r>
          </w:p>
        </w:tc>
      </w:tr>
      <w:tr w:rsidR="003E6989" w:rsidTr="006A5410">
        <w:trPr>
          <w:trHeight w:val="227"/>
        </w:trPr>
        <w:tc>
          <w:tcPr>
            <w:tcW w:w="3177" w:type="dxa"/>
            <w:tcBorders>
              <w:top w:val="nil"/>
              <w:left w:val="nil"/>
              <w:bottom w:val="nil"/>
              <w:right w:val="nil"/>
            </w:tcBorders>
            <w:shd w:val="clear" w:color="000000" w:fill="D9D9D9"/>
            <w:noWrap/>
            <w:vAlign w:val="bottom"/>
            <w:hideMark/>
          </w:tcPr>
          <w:p w:rsidR="003E6989" w:rsidRDefault="003E6989" w:rsidP="003E6989">
            <w:pPr>
              <w:spacing w:line="240" w:lineRule="auto"/>
              <w:ind w:leftChars="100" w:left="180"/>
              <w:rPr>
                <w:rFonts w:cs="Calibri"/>
                <w:szCs w:val="18"/>
              </w:rPr>
            </w:pPr>
            <w:r>
              <w:rPr>
                <w:rFonts w:cs="Calibri"/>
                <w:szCs w:val="18"/>
              </w:rPr>
              <w:t>Suppliers</w:t>
            </w:r>
          </w:p>
        </w:tc>
        <w:tc>
          <w:tcPr>
            <w:tcW w:w="3161"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2743"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 xml:space="preserve">34,605 </w:t>
            </w:r>
          </w:p>
        </w:tc>
      </w:tr>
      <w:tr w:rsidR="003E6989" w:rsidTr="006A5410">
        <w:trPr>
          <w:trHeight w:val="227"/>
        </w:trPr>
        <w:tc>
          <w:tcPr>
            <w:tcW w:w="3177"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spacing w:line="240" w:lineRule="auto"/>
              <w:rPr>
                <w:rFonts w:cs="Calibri"/>
                <w:b/>
                <w:bCs/>
                <w:szCs w:val="18"/>
              </w:rPr>
            </w:pPr>
            <w:r>
              <w:rPr>
                <w:rFonts w:cs="Calibri"/>
                <w:b/>
                <w:bCs/>
                <w:szCs w:val="18"/>
              </w:rPr>
              <w:t>Total liabilities recognised</w:t>
            </w:r>
          </w:p>
        </w:tc>
        <w:tc>
          <w:tcPr>
            <w:tcW w:w="3161"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w:t>
            </w:r>
          </w:p>
        </w:tc>
        <w:tc>
          <w:tcPr>
            <w:tcW w:w="2743"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34,605</w:t>
            </w:r>
          </w:p>
        </w:tc>
      </w:tr>
      <w:tr w:rsidR="003E6989" w:rsidTr="006A5410">
        <w:trPr>
          <w:trHeight w:val="227"/>
        </w:trPr>
        <w:tc>
          <w:tcPr>
            <w:tcW w:w="3177" w:type="dxa"/>
            <w:tcBorders>
              <w:top w:val="nil"/>
              <w:left w:val="nil"/>
              <w:bottom w:val="single" w:sz="4" w:space="0" w:color="auto"/>
              <w:right w:val="nil"/>
            </w:tcBorders>
            <w:shd w:val="clear" w:color="000000" w:fill="D9D9D9"/>
            <w:noWrap/>
            <w:vAlign w:val="bottom"/>
            <w:hideMark/>
          </w:tcPr>
          <w:p w:rsidR="003E6989" w:rsidRDefault="003E6989" w:rsidP="006A5410">
            <w:pPr>
              <w:spacing w:line="240" w:lineRule="auto"/>
              <w:rPr>
                <w:rFonts w:cs="Calibri"/>
                <w:b/>
                <w:bCs/>
                <w:szCs w:val="18"/>
              </w:rPr>
            </w:pPr>
            <w:r>
              <w:rPr>
                <w:rFonts w:cs="Calibri"/>
                <w:b/>
                <w:bCs/>
                <w:szCs w:val="18"/>
              </w:rPr>
              <w:t>Net assets recognised</w:t>
            </w:r>
          </w:p>
        </w:tc>
        <w:tc>
          <w:tcPr>
            <w:tcW w:w="3161" w:type="dxa"/>
            <w:tcBorders>
              <w:top w:val="nil"/>
              <w:left w:val="nil"/>
              <w:bottom w:val="single" w:sz="4" w:space="0" w:color="auto"/>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w:t>
            </w:r>
          </w:p>
        </w:tc>
        <w:tc>
          <w:tcPr>
            <w:tcW w:w="2743" w:type="dxa"/>
            <w:tcBorders>
              <w:top w:val="nil"/>
              <w:left w:val="nil"/>
              <w:bottom w:val="single" w:sz="4" w:space="0" w:color="auto"/>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(8,569)</w:t>
            </w:r>
          </w:p>
        </w:tc>
      </w:tr>
      <w:tr w:rsidR="003E6989" w:rsidTr="006A5410">
        <w:trPr>
          <w:trHeight w:val="227"/>
        </w:trPr>
        <w:tc>
          <w:tcPr>
            <w:tcW w:w="3177" w:type="dxa"/>
            <w:tcBorders>
              <w:top w:val="nil"/>
              <w:left w:val="nil"/>
              <w:bottom w:val="single" w:sz="4" w:space="0" w:color="auto"/>
              <w:right w:val="nil"/>
            </w:tcBorders>
            <w:shd w:val="clear" w:color="000000" w:fill="D9D9D9"/>
            <w:noWrap/>
            <w:hideMark/>
          </w:tcPr>
          <w:p w:rsidR="003E6989" w:rsidRDefault="003E6989" w:rsidP="006A5410">
            <w:pPr>
              <w:spacing w:line="240" w:lineRule="auto"/>
              <w:rPr>
                <w:rFonts w:ascii="Arial" w:hAnsi="Arial" w:cs="Arial"/>
                <w:b/>
                <w:bCs/>
                <w:sz w:val="16"/>
                <w:szCs w:val="16"/>
              </w:rPr>
            </w:pPr>
            <w:r>
              <w:rPr>
                <w:rFonts w:ascii="Arial" w:hAnsi="Arial" w:cs="Arial"/>
                <w:b/>
                <w:bCs/>
                <w:sz w:val="16"/>
                <w:szCs w:val="16"/>
              </w:rPr>
              <w:t> </w:t>
            </w:r>
          </w:p>
        </w:tc>
        <w:tc>
          <w:tcPr>
            <w:tcW w:w="3161" w:type="dxa"/>
            <w:tcBorders>
              <w:top w:val="nil"/>
              <w:left w:val="nil"/>
              <w:bottom w:val="single" w:sz="4" w:space="0" w:color="auto"/>
              <w:right w:val="nil"/>
            </w:tcBorders>
            <w:shd w:val="clear" w:color="000000" w:fill="D9D9D9"/>
            <w:vAlign w:val="bottom"/>
            <w:hideMark/>
          </w:tcPr>
          <w:p w:rsidR="003E6989" w:rsidRDefault="003E6989" w:rsidP="006A5410">
            <w:pPr>
              <w:spacing w:line="240" w:lineRule="auto"/>
              <w:jc w:val="right"/>
              <w:rPr>
                <w:rFonts w:cs="Calibri"/>
                <w:szCs w:val="18"/>
              </w:rPr>
            </w:pPr>
            <w:r>
              <w:rPr>
                <w:rFonts w:cs="Calibri"/>
                <w:szCs w:val="18"/>
              </w:rPr>
              <w:t> </w:t>
            </w:r>
          </w:p>
        </w:tc>
        <w:tc>
          <w:tcPr>
            <w:tcW w:w="2743" w:type="dxa"/>
            <w:tcBorders>
              <w:top w:val="nil"/>
              <w:left w:val="nil"/>
              <w:bottom w:val="single" w:sz="4" w:space="0" w:color="auto"/>
              <w:right w:val="nil"/>
            </w:tcBorders>
            <w:shd w:val="clear" w:color="000000" w:fill="D9D9D9"/>
            <w:vAlign w:val="bottom"/>
            <w:hideMark/>
          </w:tcPr>
          <w:p w:rsidR="003E6989" w:rsidRDefault="003E6989" w:rsidP="006A5410">
            <w:pPr>
              <w:spacing w:line="240" w:lineRule="auto"/>
              <w:jc w:val="right"/>
              <w:rPr>
                <w:rFonts w:cs="Calibri"/>
                <w:szCs w:val="18"/>
              </w:rPr>
            </w:pPr>
            <w:r>
              <w:rPr>
                <w:rFonts w:cs="Calibri"/>
                <w:szCs w:val="18"/>
              </w:rPr>
              <w:t> </w:t>
            </w:r>
          </w:p>
        </w:tc>
      </w:tr>
      <w:tr w:rsidR="003E6989" w:rsidTr="006A5410">
        <w:trPr>
          <w:trHeight w:val="227"/>
        </w:trPr>
        <w:tc>
          <w:tcPr>
            <w:tcW w:w="3177" w:type="dxa"/>
            <w:tcBorders>
              <w:top w:val="nil"/>
              <w:left w:val="nil"/>
              <w:bottom w:val="nil"/>
              <w:right w:val="nil"/>
            </w:tcBorders>
            <w:shd w:val="clear" w:color="000000" w:fill="D9D9D9"/>
            <w:vAlign w:val="bottom"/>
            <w:hideMark/>
          </w:tcPr>
          <w:p w:rsidR="003E6989" w:rsidRDefault="003E6989" w:rsidP="006A5410">
            <w:pPr>
              <w:spacing w:line="240" w:lineRule="auto"/>
              <w:rPr>
                <w:rFonts w:cs="Calibri"/>
                <w:b/>
                <w:bCs/>
                <w:szCs w:val="18"/>
              </w:rPr>
            </w:pPr>
            <w:r>
              <w:rPr>
                <w:rFonts w:cs="Calibri"/>
                <w:b/>
                <w:bCs/>
                <w:szCs w:val="18"/>
              </w:rPr>
              <w:t>Income assumed</w:t>
            </w:r>
          </w:p>
        </w:tc>
        <w:tc>
          <w:tcPr>
            <w:tcW w:w="3161" w:type="dxa"/>
            <w:tcBorders>
              <w:top w:val="nil"/>
              <w:left w:val="nil"/>
              <w:bottom w:val="nil"/>
              <w:right w:val="nil"/>
            </w:tcBorders>
            <w:shd w:val="clear" w:color="000000" w:fill="D9D9D9"/>
            <w:noWrap/>
            <w:vAlign w:val="bottom"/>
            <w:hideMark/>
          </w:tcPr>
          <w:p w:rsidR="003E6989" w:rsidRDefault="003E6989" w:rsidP="006A5410">
            <w:pPr>
              <w:spacing w:line="240" w:lineRule="auto"/>
              <w:rPr>
                <w:rFonts w:cs="Calibri"/>
                <w:szCs w:val="18"/>
              </w:rPr>
            </w:pPr>
            <w:r>
              <w:rPr>
                <w:rFonts w:cs="Calibri"/>
                <w:szCs w:val="18"/>
              </w:rPr>
              <w:t> </w:t>
            </w:r>
          </w:p>
        </w:tc>
        <w:tc>
          <w:tcPr>
            <w:tcW w:w="2743" w:type="dxa"/>
            <w:tcBorders>
              <w:top w:val="nil"/>
              <w:left w:val="nil"/>
              <w:bottom w:val="nil"/>
              <w:right w:val="nil"/>
            </w:tcBorders>
            <w:shd w:val="clear" w:color="000000" w:fill="D9D9D9"/>
            <w:noWrap/>
            <w:vAlign w:val="bottom"/>
            <w:hideMark/>
          </w:tcPr>
          <w:p w:rsidR="003E6989" w:rsidRDefault="003E6989" w:rsidP="006A5410">
            <w:pPr>
              <w:spacing w:line="240" w:lineRule="auto"/>
              <w:rPr>
                <w:rFonts w:cs="Calibri"/>
                <w:szCs w:val="18"/>
              </w:rPr>
            </w:pPr>
            <w:r>
              <w:rPr>
                <w:rFonts w:cs="Calibri"/>
                <w:szCs w:val="18"/>
              </w:rPr>
              <w:t> </w:t>
            </w:r>
          </w:p>
        </w:tc>
      </w:tr>
      <w:tr w:rsidR="003E6989" w:rsidTr="006A5410">
        <w:trPr>
          <w:trHeight w:val="227"/>
        </w:trPr>
        <w:tc>
          <w:tcPr>
            <w:tcW w:w="3177" w:type="dxa"/>
            <w:tcBorders>
              <w:top w:val="nil"/>
              <w:left w:val="nil"/>
              <w:bottom w:val="nil"/>
              <w:right w:val="nil"/>
            </w:tcBorders>
            <w:shd w:val="clear" w:color="000000" w:fill="D9D9D9"/>
            <w:noWrap/>
            <w:vAlign w:val="bottom"/>
            <w:hideMark/>
          </w:tcPr>
          <w:p w:rsidR="003E6989" w:rsidRDefault="003E6989" w:rsidP="003E6989">
            <w:pPr>
              <w:spacing w:line="240" w:lineRule="auto"/>
              <w:ind w:leftChars="100" w:left="180"/>
              <w:rPr>
                <w:rFonts w:cs="Calibri"/>
                <w:szCs w:val="18"/>
              </w:rPr>
            </w:pPr>
            <w:r>
              <w:rPr>
                <w:rFonts w:cs="Calibri"/>
                <w:szCs w:val="18"/>
              </w:rPr>
              <w:t>Recognised by the receiving entity</w:t>
            </w:r>
          </w:p>
        </w:tc>
        <w:tc>
          <w:tcPr>
            <w:tcW w:w="3161"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2743"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 xml:space="preserve">3,610 </w:t>
            </w:r>
          </w:p>
        </w:tc>
      </w:tr>
      <w:tr w:rsidR="003E6989" w:rsidTr="006A5410">
        <w:trPr>
          <w:trHeight w:val="227"/>
        </w:trPr>
        <w:tc>
          <w:tcPr>
            <w:tcW w:w="3177" w:type="dxa"/>
            <w:tcBorders>
              <w:top w:val="nil"/>
              <w:left w:val="nil"/>
              <w:bottom w:val="nil"/>
              <w:right w:val="nil"/>
            </w:tcBorders>
            <w:shd w:val="clear" w:color="000000" w:fill="D9D9D9"/>
            <w:noWrap/>
            <w:vAlign w:val="bottom"/>
            <w:hideMark/>
          </w:tcPr>
          <w:p w:rsidR="003E6989" w:rsidRDefault="003E6989" w:rsidP="003E6989">
            <w:pPr>
              <w:spacing w:line="240" w:lineRule="auto"/>
              <w:ind w:leftChars="100" w:left="180"/>
              <w:rPr>
                <w:rFonts w:cs="Calibri"/>
                <w:szCs w:val="18"/>
              </w:rPr>
            </w:pPr>
            <w:r>
              <w:rPr>
                <w:rFonts w:cs="Calibri"/>
                <w:szCs w:val="18"/>
              </w:rPr>
              <w:t>Recognised by the losing entity</w:t>
            </w:r>
          </w:p>
        </w:tc>
        <w:tc>
          <w:tcPr>
            <w:tcW w:w="3161"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2743"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 xml:space="preserve">8,912 </w:t>
            </w:r>
          </w:p>
        </w:tc>
      </w:tr>
      <w:tr w:rsidR="003E6989" w:rsidTr="006A5410">
        <w:trPr>
          <w:trHeight w:val="227"/>
        </w:trPr>
        <w:tc>
          <w:tcPr>
            <w:tcW w:w="3177"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spacing w:line="240" w:lineRule="auto"/>
              <w:rPr>
                <w:rFonts w:cs="Calibri"/>
                <w:b/>
                <w:bCs/>
                <w:szCs w:val="18"/>
              </w:rPr>
            </w:pPr>
            <w:r>
              <w:rPr>
                <w:rFonts w:cs="Calibri"/>
                <w:b/>
                <w:bCs/>
                <w:szCs w:val="18"/>
              </w:rPr>
              <w:t>Total income assumed</w:t>
            </w:r>
          </w:p>
        </w:tc>
        <w:tc>
          <w:tcPr>
            <w:tcW w:w="3161"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w:t>
            </w:r>
          </w:p>
        </w:tc>
        <w:tc>
          <w:tcPr>
            <w:tcW w:w="2743"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12,522</w:t>
            </w:r>
          </w:p>
        </w:tc>
      </w:tr>
      <w:tr w:rsidR="003E6989" w:rsidTr="006A5410">
        <w:trPr>
          <w:trHeight w:val="227"/>
        </w:trPr>
        <w:tc>
          <w:tcPr>
            <w:tcW w:w="3177" w:type="dxa"/>
            <w:tcBorders>
              <w:top w:val="nil"/>
              <w:left w:val="nil"/>
              <w:bottom w:val="single" w:sz="4" w:space="0" w:color="D9D9D9"/>
              <w:right w:val="nil"/>
            </w:tcBorders>
            <w:shd w:val="clear" w:color="000000" w:fill="D9D9D9"/>
            <w:noWrap/>
            <w:vAlign w:val="bottom"/>
            <w:hideMark/>
          </w:tcPr>
          <w:p w:rsidR="003E6989" w:rsidRDefault="003E6989" w:rsidP="006A5410">
            <w:pPr>
              <w:spacing w:line="240" w:lineRule="auto"/>
              <w:rPr>
                <w:rFonts w:cs="Calibri"/>
                <w:sz w:val="16"/>
                <w:szCs w:val="16"/>
              </w:rPr>
            </w:pPr>
            <w:r>
              <w:rPr>
                <w:rFonts w:cs="Calibri"/>
                <w:sz w:val="16"/>
                <w:szCs w:val="16"/>
              </w:rPr>
              <w:t> </w:t>
            </w:r>
          </w:p>
        </w:tc>
        <w:tc>
          <w:tcPr>
            <w:tcW w:w="3161" w:type="dxa"/>
            <w:tcBorders>
              <w:top w:val="nil"/>
              <w:left w:val="nil"/>
              <w:bottom w:val="single" w:sz="4" w:space="0" w:color="D9D9D9"/>
              <w:right w:val="nil"/>
            </w:tcBorders>
            <w:shd w:val="clear" w:color="000000" w:fill="D9D9D9"/>
            <w:noWrap/>
            <w:vAlign w:val="bottom"/>
            <w:hideMark/>
          </w:tcPr>
          <w:p w:rsidR="003E6989" w:rsidRDefault="003E6989" w:rsidP="006A5410">
            <w:pPr>
              <w:spacing w:line="240" w:lineRule="auto"/>
              <w:rPr>
                <w:rFonts w:cs="Calibri"/>
                <w:sz w:val="16"/>
                <w:szCs w:val="16"/>
              </w:rPr>
            </w:pPr>
            <w:r>
              <w:rPr>
                <w:rFonts w:cs="Calibri"/>
                <w:sz w:val="16"/>
                <w:szCs w:val="16"/>
              </w:rPr>
              <w:t> </w:t>
            </w:r>
          </w:p>
        </w:tc>
        <w:tc>
          <w:tcPr>
            <w:tcW w:w="2743" w:type="dxa"/>
            <w:tcBorders>
              <w:top w:val="nil"/>
              <w:left w:val="nil"/>
              <w:bottom w:val="single" w:sz="4" w:space="0" w:color="D9D9D9"/>
              <w:right w:val="nil"/>
            </w:tcBorders>
            <w:shd w:val="clear" w:color="000000" w:fill="D9D9D9"/>
            <w:noWrap/>
            <w:vAlign w:val="bottom"/>
            <w:hideMark/>
          </w:tcPr>
          <w:p w:rsidR="003E6989" w:rsidRDefault="003E6989" w:rsidP="006A5410">
            <w:pPr>
              <w:spacing w:line="240" w:lineRule="auto"/>
              <w:rPr>
                <w:rFonts w:cs="Calibri"/>
                <w:sz w:val="16"/>
                <w:szCs w:val="16"/>
              </w:rPr>
            </w:pPr>
            <w:r>
              <w:rPr>
                <w:rFonts w:cs="Calibri"/>
                <w:sz w:val="16"/>
                <w:szCs w:val="16"/>
              </w:rPr>
              <w:t> </w:t>
            </w:r>
          </w:p>
        </w:tc>
      </w:tr>
      <w:tr w:rsidR="003E6989" w:rsidTr="006A5410">
        <w:trPr>
          <w:trHeight w:val="227"/>
        </w:trPr>
        <w:tc>
          <w:tcPr>
            <w:tcW w:w="3177" w:type="dxa"/>
            <w:tcBorders>
              <w:top w:val="nil"/>
              <w:left w:val="nil"/>
              <w:bottom w:val="nil"/>
              <w:right w:val="nil"/>
            </w:tcBorders>
            <w:shd w:val="clear" w:color="000000" w:fill="D9D9D9"/>
            <w:vAlign w:val="bottom"/>
            <w:hideMark/>
          </w:tcPr>
          <w:p w:rsidR="003E6989" w:rsidRDefault="003E6989" w:rsidP="006A5410">
            <w:pPr>
              <w:spacing w:line="240" w:lineRule="auto"/>
              <w:rPr>
                <w:rFonts w:cs="Calibri"/>
                <w:b/>
                <w:bCs/>
                <w:szCs w:val="18"/>
              </w:rPr>
            </w:pPr>
            <w:r>
              <w:rPr>
                <w:rFonts w:cs="Calibri"/>
                <w:b/>
                <w:bCs/>
                <w:szCs w:val="18"/>
              </w:rPr>
              <w:t>Expenses assumed</w:t>
            </w:r>
          </w:p>
        </w:tc>
        <w:tc>
          <w:tcPr>
            <w:tcW w:w="3161" w:type="dxa"/>
            <w:tcBorders>
              <w:top w:val="nil"/>
              <w:left w:val="nil"/>
              <w:bottom w:val="nil"/>
              <w:right w:val="nil"/>
            </w:tcBorders>
            <w:shd w:val="clear" w:color="000000" w:fill="D9D9D9"/>
            <w:noWrap/>
            <w:vAlign w:val="bottom"/>
            <w:hideMark/>
          </w:tcPr>
          <w:p w:rsidR="003E6989" w:rsidRDefault="003E6989" w:rsidP="006A5410">
            <w:pPr>
              <w:spacing w:line="240" w:lineRule="auto"/>
              <w:rPr>
                <w:rFonts w:ascii="Arial" w:hAnsi="Arial" w:cs="Arial"/>
                <w:sz w:val="16"/>
                <w:szCs w:val="16"/>
              </w:rPr>
            </w:pPr>
            <w:r>
              <w:rPr>
                <w:rFonts w:ascii="Arial" w:hAnsi="Arial" w:cs="Arial"/>
                <w:sz w:val="16"/>
                <w:szCs w:val="16"/>
              </w:rPr>
              <w:t> </w:t>
            </w:r>
          </w:p>
        </w:tc>
        <w:tc>
          <w:tcPr>
            <w:tcW w:w="2743" w:type="dxa"/>
            <w:tcBorders>
              <w:top w:val="nil"/>
              <w:left w:val="nil"/>
              <w:bottom w:val="nil"/>
              <w:right w:val="nil"/>
            </w:tcBorders>
            <w:shd w:val="clear" w:color="000000" w:fill="D9D9D9"/>
            <w:noWrap/>
            <w:vAlign w:val="bottom"/>
            <w:hideMark/>
          </w:tcPr>
          <w:p w:rsidR="003E6989" w:rsidRDefault="003E6989" w:rsidP="006A5410">
            <w:pPr>
              <w:spacing w:line="240" w:lineRule="auto"/>
              <w:rPr>
                <w:rFonts w:ascii="Arial" w:hAnsi="Arial" w:cs="Arial"/>
                <w:sz w:val="16"/>
                <w:szCs w:val="16"/>
              </w:rPr>
            </w:pPr>
            <w:r>
              <w:rPr>
                <w:rFonts w:ascii="Arial" w:hAnsi="Arial" w:cs="Arial"/>
                <w:sz w:val="16"/>
                <w:szCs w:val="16"/>
              </w:rPr>
              <w:t> </w:t>
            </w:r>
          </w:p>
        </w:tc>
      </w:tr>
      <w:tr w:rsidR="003E6989" w:rsidTr="006A5410">
        <w:trPr>
          <w:trHeight w:val="227"/>
        </w:trPr>
        <w:tc>
          <w:tcPr>
            <w:tcW w:w="3177" w:type="dxa"/>
            <w:tcBorders>
              <w:top w:val="nil"/>
              <w:left w:val="nil"/>
              <w:bottom w:val="nil"/>
              <w:right w:val="nil"/>
            </w:tcBorders>
            <w:shd w:val="clear" w:color="000000" w:fill="D9D9D9"/>
            <w:noWrap/>
            <w:vAlign w:val="bottom"/>
            <w:hideMark/>
          </w:tcPr>
          <w:p w:rsidR="003E6989" w:rsidRDefault="003E6989" w:rsidP="003E6989">
            <w:pPr>
              <w:spacing w:line="240" w:lineRule="auto"/>
              <w:ind w:leftChars="100" w:left="180"/>
              <w:rPr>
                <w:rFonts w:cs="Calibri"/>
                <w:szCs w:val="18"/>
              </w:rPr>
            </w:pPr>
            <w:r>
              <w:rPr>
                <w:rFonts w:cs="Calibri"/>
                <w:szCs w:val="18"/>
              </w:rPr>
              <w:t>Recognised by the receiving entity</w:t>
            </w:r>
          </w:p>
        </w:tc>
        <w:tc>
          <w:tcPr>
            <w:tcW w:w="3161"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2743"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 xml:space="preserve">414,257 </w:t>
            </w:r>
          </w:p>
        </w:tc>
      </w:tr>
      <w:tr w:rsidR="003E6989" w:rsidTr="006A5410">
        <w:trPr>
          <w:trHeight w:val="227"/>
        </w:trPr>
        <w:tc>
          <w:tcPr>
            <w:tcW w:w="3177" w:type="dxa"/>
            <w:tcBorders>
              <w:top w:val="nil"/>
              <w:left w:val="nil"/>
              <w:bottom w:val="single" w:sz="4" w:space="0" w:color="auto"/>
              <w:right w:val="nil"/>
            </w:tcBorders>
            <w:shd w:val="clear" w:color="000000" w:fill="D9D9D9"/>
            <w:noWrap/>
            <w:vAlign w:val="bottom"/>
            <w:hideMark/>
          </w:tcPr>
          <w:p w:rsidR="003E6989" w:rsidRDefault="003E6989" w:rsidP="003E6989">
            <w:pPr>
              <w:spacing w:line="240" w:lineRule="auto"/>
              <w:ind w:leftChars="100" w:left="180"/>
              <w:rPr>
                <w:rFonts w:cs="Calibri"/>
                <w:szCs w:val="18"/>
              </w:rPr>
            </w:pPr>
            <w:r>
              <w:rPr>
                <w:rFonts w:cs="Calibri"/>
                <w:szCs w:val="18"/>
              </w:rPr>
              <w:t>Recognised by losing entity</w:t>
            </w:r>
          </w:p>
        </w:tc>
        <w:tc>
          <w:tcPr>
            <w:tcW w:w="3161" w:type="dxa"/>
            <w:tcBorders>
              <w:top w:val="nil"/>
              <w:left w:val="nil"/>
              <w:bottom w:val="single" w:sz="4" w:space="0" w:color="auto"/>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 xml:space="preserve"> -</w:t>
            </w:r>
          </w:p>
        </w:tc>
        <w:tc>
          <w:tcPr>
            <w:tcW w:w="2743" w:type="dxa"/>
            <w:tcBorders>
              <w:top w:val="nil"/>
              <w:left w:val="nil"/>
              <w:bottom w:val="single" w:sz="4" w:space="0" w:color="auto"/>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 xml:space="preserve">853,436 </w:t>
            </w:r>
          </w:p>
        </w:tc>
      </w:tr>
      <w:tr w:rsidR="003E6989" w:rsidTr="006A5410">
        <w:trPr>
          <w:trHeight w:val="227"/>
        </w:trPr>
        <w:tc>
          <w:tcPr>
            <w:tcW w:w="3177" w:type="dxa"/>
            <w:tcBorders>
              <w:top w:val="nil"/>
              <w:left w:val="nil"/>
              <w:bottom w:val="single" w:sz="4" w:space="0" w:color="auto"/>
              <w:right w:val="nil"/>
            </w:tcBorders>
            <w:shd w:val="clear" w:color="000000" w:fill="D9D9D9"/>
            <w:noWrap/>
            <w:vAlign w:val="bottom"/>
            <w:hideMark/>
          </w:tcPr>
          <w:p w:rsidR="003E6989" w:rsidRDefault="003E6989" w:rsidP="006A5410">
            <w:pPr>
              <w:spacing w:line="240" w:lineRule="auto"/>
              <w:rPr>
                <w:rFonts w:cs="Calibri"/>
                <w:b/>
                <w:bCs/>
                <w:szCs w:val="18"/>
              </w:rPr>
            </w:pPr>
            <w:r>
              <w:rPr>
                <w:rFonts w:cs="Calibri"/>
                <w:b/>
                <w:bCs/>
                <w:szCs w:val="18"/>
              </w:rPr>
              <w:t>Total expenses assumed</w:t>
            </w:r>
          </w:p>
        </w:tc>
        <w:tc>
          <w:tcPr>
            <w:tcW w:w="3161" w:type="dxa"/>
            <w:tcBorders>
              <w:top w:val="nil"/>
              <w:left w:val="nil"/>
              <w:bottom w:val="single" w:sz="4" w:space="0" w:color="auto"/>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w:t>
            </w:r>
          </w:p>
        </w:tc>
        <w:tc>
          <w:tcPr>
            <w:tcW w:w="2743" w:type="dxa"/>
            <w:tcBorders>
              <w:top w:val="nil"/>
              <w:left w:val="nil"/>
              <w:bottom w:val="single" w:sz="4" w:space="0" w:color="auto"/>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1,267,693</w:t>
            </w:r>
          </w:p>
        </w:tc>
      </w:tr>
      <w:tr w:rsidR="003E6989" w:rsidTr="006A5410">
        <w:trPr>
          <w:trHeight w:val="227"/>
        </w:trPr>
        <w:tc>
          <w:tcPr>
            <w:tcW w:w="3177" w:type="dxa"/>
            <w:tcBorders>
              <w:top w:val="nil"/>
              <w:left w:val="nil"/>
              <w:bottom w:val="single" w:sz="4" w:space="0" w:color="auto"/>
              <w:right w:val="nil"/>
            </w:tcBorders>
            <w:shd w:val="clear" w:color="000000" w:fill="D9D9D9"/>
            <w:noWrap/>
            <w:vAlign w:val="bottom"/>
            <w:hideMark/>
          </w:tcPr>
          <w:p w:rsidR="003E6989" w:rsidRDefault="003E6989" w:rsidP="006A5410">
            <w:pPr>
              <w:spacing w:line="240" w:lineRule="auto"/>
              <w:rPr>
                <w:rFonts w:ascii="Arial" w:hAnsi="Arial" w:cs="Arial"/>
                <w:b/>
                <w:bCs/>
                <w:sz w:val="16"/>
                <w:szCs w:val="16"/>
              </w:rPr>
            </w:pPr>
            <w:r>
              <w:rPr>
                <w:rFonts w:ascii="Arial" w:hAnsi="Arial" w:cs="Arial"/>
                <w:b/>
                <w:bCs/>
                <w:sz w:val="16"/>
                <w:szCs w:val="16"/>
              </w:rPr>
              <w:t> </w:t>
            </w:r>
          </w:p>
        </w:tc>
        <w:tc>
          <w:tcPr>
            <w:tcW w:w="3161" w:type="dxa"/>
            <w:tcBorders>
              <w:top w:val="nil"/>
              <w:left w:val="nil"/>
              <w:bottom w:val="single" w:sz="4" w:space="0" w:color="auto"/>
              <w:right w:val="nil"/>
            </w:tcBorders>
            <w:shd w:val="clear" w:color="000000" w:fill="D9D9D9"/>
            <w:vAlign w:val="bottom"/>
            <w:hideMark/>
          </w:tcPr>
          <w:p w:rsidR="003E6989" w:rsidRDefault="003E6989" w:rsidP="006A5410">
            <w:pPr>
              <w:spacing w:line="240" w:lineRule="auto"/>
              <w:jc w:val="right"/>
              <w:rPr>
                <w:rFonts w:cs="Calibri"/>
                <w:szCs w:val="18"/>
              </w:rPr>
            </w:pPr>
            <w:r>
              <w:rPr>
                <w:rFonts w:cs="Calibri"/>
                <w:szCs w:val="18"/>
              </w:rPr>
              <w:t> </w:t>
            </w:r>
          </w:p>
        </w:tc>
        <w:tc>
          <w:tcPr>
            <w:tcW w:w="2743" w:type="dxa"/>
            <w:tcBorders>
              <w:top w:val="nil"/>
              <w:left w:val="nil"/>
              <w:bottom w:val="single" w:sz="4" w:space="0" w:color="auto"/>
              <w:right w:val="nil"/>
            </w:tcBorders>
            <w:shd w:val="clear" w:color="000000" w:fill="D9D9D9"/>
            <w:vAlign w:val="bottom"/>
            <w:hideMark/>
          </w:tcPr>
          <w:p w:rsidR="003E6989" w:rsidRDefault="003E6989" w:rsidP="006A5410">
            <w:pPr>
              <w:spacing w:line="240" w:lineRule="auto"/>
              <w:jc w:val="right"/>
              <w:rPr>
                <w:rFonts w:cs="Calibri"/>
                <w:szCs w:val="18"/>
              </w:rPr>
            </w:pPr>
            <w:r>
              <w:rPr>
                <w:rFonts w:cs="Calibri"/>
                <w:szCs w:val="18"/>
              </w:rPr>
              <w:t> </w:t>
            </w:r>
          </w:p>
        </w:tc>
      </w:tr>
      <w:tr w:rsidR="003E6989" w:rsidTr="006A5410">
        <w:trPr>
          <w:trHeight w:val="227"/>
        </w:trPr>
        <w:tc>
          <w:tcPr>
            <w:tcW w:w="3177" w:type="dxa"/>
            <w:tcBorders>
              <w:top w:val="nil"/>
              <w:left w:val="nil"/>
              <w:bottom w:val="nil"/>
              <w:right w:val="nil"/>
            </w:tcBorders>
            <w:shd w:val="clear" w:color="000000" w:fill="D9D9D9"/>
            <w:vAlign w:val="bottom"/>
            <w:hideMark/>
          </w:tcPr>
          <w:p w:rsidR="003E6989" w:rsidRDefault="003E6989" w:rsidP="006A5410">
            <w:pPr>
              <w:spacing w:line="240" w:lineRule="auto"/>
              <w:rPr>
                <w:rFonts w:cs="Calibri"/>
                <w:b/>
                <w:bCs/>
                <w:szCs w:val="18"/>
              </w:rPr>
            </w:pPr>
            <w:r>
              <w:rPr>
                <w:rFonts w:cs="Calibri"/>
                <w:b/>
                <w:bCs/>
                <w:szCs w:val="18"/>
              </w:rPr>
              <w:t>FUNCTIONS RELINQUISHED</w:t>
            </w:r>
          </w:p>
        </w:tc>
        <w:tc>
          <w:tcPr>
            <w:tcW w:w="3161" w:type="dxa"/>
            <w:tcBorders>
              <w:top w:val="nil"/>
              <w:left w:val="nil"/>
              <w:bottom w:val="nil"/>
              <w:right w:val="nil"/>
            </w:tcBorders>
            <w:shd w:val="clear" w:color="000000" w:fill="D9D9D9"/>
            <w:noWrap/>
            <w:vAlign w:val="bottom"/>
            <w:hideMark/>
          </w:tcPr>
          <w:p w:rsidR="003E6989" w:rsidRDefault="003E6989" w:rsidP="006A5410">
            <w:pPr>
              <w:spacing w:line="240" w:lineRule="auto"/>
              <w:rPr>
                <w:rFonts w:cs="Calibri"/>
                <w:szCs w:val="18"/>
              </w:rPr>
            </w:pPr>
            <w:r>
              <w:rPr>
                <w:rFonts w:cs="Calibri"/>
                <w:szCs w:val="18"/>
              </w:rPr>
              <w:t> </w:t>
            </w:r>
          </w:p>
        </w:tc>
        <w:tc>
          <w:tcPr>
            <w:tcW w:w="2743" w:type="dxa"/>
            <w:tcBorders>
              <w:top w:val="nil"/>
              <w:left w:val="nil"/>
              <w:bottom w:val="nil"/>
              <w:right w:val="nil"/>
            </w:tcBorders>
            <w:shd w:val="clear" w:color="000000" w:fill="D9D9D9"/>
            <w:noWrap/>
            <w:vAlign w:val="bottom"/>
            <w:hideMark/>
          </w:tcPr>
          <w:p w:rsidR="003E6989" w:rsidRDefault="003E6989" w:rsidP="006A5410">
            <w:pPr>
              <w:spacing w:line="240" w:lineRule="auto"/>
              <w:rPr>
                <w:rFonts w:cs="Calibri"/>
                <w:szCs w:val="18"/>
              </w:rPr>
            </w:pPr>
            <w:r>
              <w:rPr>
                <w:rFonts w:cs="Calibri"/>
                <w:szCs w:val="18"/>
              </w:rPr>
              <w:t> </w:t>
            </w:r>
          </w:p>
        </w:tc>
      </w:tr>
      <w:tr w:rsidR="003E6989" w:rsidTr="006A5410">
        <w:trPr>
          <w:trHeight w:val="227"/>
        </w:trPr>
        <w:tc>
          <w:tcPr>
            <w:tcW w:w="3177" w:type="dxa"/>
            <w:tcBorders>
              <w:top w:val="nil"/>
              <w:left w:val="nil"/>
              <w:bottom w:val="nil"/>
              <w:right w:val="nil"/>
            </w:tcBorders>
            <w:shd w:val="clear" w:color="000000" w:fill="D9D9D9"/>
            <w:vAlign w:val="bottom"/>
            <w:hideMark/>
          </w:tcPr>
          <w:p w:rsidR="003E6989" w:rsidRDefault="003E6989" w:rsidP="006A5410">
            <w:pPr>
              <w:spacing w:line="240" w:lineRule="auto"/>
              <w:rPr>
                <w:rFonts w:cs="Calibri"/>
                <w:b/>
                <w:bCs/>
                <w:szCs w:val="18"/>
              </w:rPr>
            </w:pPr>
            <w:r>
              <w:rPr>
                <w:rFonts w:cs="Calibri"/>
                <w:b/>
                <w:bCs/>
                <w:szCs w:val="18"/>
              </w:rPr>
              <w:t>Assets relinquished</w:t>
            </w:r>
          </w:p>
        </w:tc>
        <w:tc>
          <w:tcPr>
            <w:tcW w:w="3161" w:type="dxa"/>
            <w:tcBorders>
              <w:top w:val="nil"/>
              <w:left w:val="nil"/>
              <w:bottom w:val="nil"/>
              <w:right w:val="nil"/>
            </w:tcBorders>
            <w:shd w:val="clear" w:color="000000" w:fill="D9D9D9"/>
            <w:noWrap/>
            <w:vAlign w:val="bottom"/>
            <w:hideMark/>
          </w:tcPr>
          <w:p w:rsidR="003E6989" w:rsidRDefault="003E6989" w:rsidP="006A5410">
            <w:pPr>
              <w:spacing w:line="240" w:lineRule="auto"/>
              <w:rPr>
                <w:rFonts w:cs="Calibri"/>
                <w:szCs w:val="18"/>
              </w:rPr>
            </w:pPr>
            <w:r>
              <w:rPr>
                <w:rFonts w:cs="Calibri"/>
                <w:szCs w:val="18"/>
              </w:rPr>
              <w:t> </w:t>
            </w:r>
          </w:p>
        </w:tc>
        <w:tc>
          <w:tcPr>
            <w:tcW w:w="2743" w:type="dxa"/>
            <w:tcBorders>
              <w:top w:val="nil"/>
              <w:left w:val="nil"/>
              <w:bottom w:val="nil"/>
              <w:right w:val="nil"/>
            </w:tcBorders>
            <w:shd w:val="clear" w:color="000000" w:fill="D9D9D9"/>
            <w:noWrap/>
            <w:vAlign w:val="bottom"/>
            <w:hideMark/>
          </w:tcPr>
          <w:p w:rsidR="003E6989" w:rsidRDefault="003E6989" w:rsidP="006A5410">
            <w:pPr>
              <w:spacing w:line="240" w:lineRule="auto"/>
              <w:rPr>
                <w:rFonts w:cs="Calibri"/>
                <w:szCs w:val="18"/>
              </w:rPr>
            </w:pPr>
            <w:r>
              <w:rPr>
                <w:rFonts w:cs="Calibri"/>
                <w:szCs w:val="18"/>
              </w:rPr>
              <w:t> </w:t>
            </w:r>
          </w:p>
        </w:tc>
      </w:tr>
      <w:tr w:rsidR="003E6989" w:rsidTr="006A5410">
        <w:trPr>
          <w:trHeight w:val="227"/>
        </w:trPr>
        <w:tc>
          <w:tcPr>
            <w:tcW w:w="3177" w:type="dxa"/>
            <w:tcBorders>
              <w:top w:val="nil"/>
              <w:left w:val="nil"/>
              <w:bottom w:val="nil"/>
              <w:right w:val="nil"/>
            </w:tcBorders>
            <w:shd w:val="clear" w:color="000000" w:fill="D9D9D9"/>
            <w:noWrap/>
            <w:vAlign w:val="bottom"/>
            <w:hideMark/>
          </w:tcPr>
          <w:p w:rsidR="003E6989" w:rsidRDefault="003E6989" w:rsidP="003E6989">
            <w:pPr>
              <w:spacing w:line="240" w:lineRule="auto"/>
              <w:ind w:leftChars="100" w:left="180"/>
              <w:rPr>
                <w:rFonts w:cs="Calibri"/>
                <w:szCs w:val="18"/>
              </w:rPr>
            </w:pPr>
            <w:r>
              <w:rPr>
                <w:rFonts w:cs="Calibri"/>
                <w:szCs w:val="18"/>
              </w:rPr>
              <w:t>Cash and cash equivalents</w:t>
            </w:r>
          </w:p>
        </w:tc>
        <w:tc>
          <w:tcPr>
            <w:tcW w:w="3161"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 xml:space="preserve">25,109 </w:t>
            </w:r>
          </w:p>
        </w:tc>
        <w:tc>
          <w:tcPr>
            <w:tcW w:w="2743"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 xml:space="preserve"> -</w:t>
            </w:r>
          </w:p>
        </w:tc>
      </w:tr>
      <w:tr w:rsidR="003E6989" w:rsidTr="006A5410">
        <w:trPr>
          <w:trHeight w:val="227"/>
        </w:trPr>
        <w:tc>
          <w:tcPr>
            <w:tcW w:w="3177" w:type="dxa"/>
            <w:tcBorders>
              <w:top w:val="nil"/>
              <w:left w:val="nil"/>
              <w:bottom w:val="nil"/>
              <w:right w:val="nil"/>
            </w:tcBorders>
            <w:shd w:val="clear" w:color="000000" w:fill="D9D9D9"/>
            <w:noWrap/>
            <w:vAlign w:val="bottom"/>
            <w:hideMark/>
          </w:tcPr>
          <w:p w:rsidR="003E6989" w:rsidRDefault="003E6989" w:rsidP="003E6989">
            <w:pPr>
              <w:spacing w:line="240" w:lineRule="auto"/>
              <w:ind w:leftChars="100" w:left="180"/>
              <w:rPr>
                <w:rFonts w:cs="Calibri"/>
                <w:szCs w:val="18"/>
              </w:rPr>
            </w:pPr>
            <w:r>
              <w:rPr>
                <w:rFonts w:cs="Calibri"/>
                <w:szCs w:val="18"/>
              </w:rPr>
              <w:t>Trade and other receivables</w:t>
            </w:r>
          </w:p>
        </w:tc>
        <w:tc>
          <w:tcPr>
            <w:tcW w:w="3161"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(917)</w:t>
            </w:r>
          </w:p>
        </w:tc>
        <w:tc>
          <w:tcPr>
            <w:tcW w:w="2743"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 xml:space="preserve"> -</w:t>
            </w:r>
          </w:p>
        </w:tc>
      </w:tr>
      <w:tr w:rsidR="003E6989" w:rsidTr="006A5410">
        <w:trPr>
          <w:trHeight w:val="227"/>
        </w:trPr>
        <w:tc>
          <w:tcPr>
            <w:tcW w:w="3177" w:type="dxa"/>
            <w:tcBorders>
              <w:top w:val="nil"/>
              <w:left w:val="nil"/>
              <w:bottom w:val="nil"/>
              <w:right w:val="nil"/>
            </w:tcBorders>
            <w:shd w:val="clear" w:color="000000" w:fill="D9D9D9"/>
            <w:noWrap/>
            <w:vAlign w:val="bottom"/>
            <w:hideMark/>
          </w:tcPr>
          <w:p w:rsidR="003E6989" w:rsidRDefault="003E6989" w:rsidP="003E6989">
            <w:pPr>
              <w:spacing w:line="240" w:lineRule="auto"/>
              <w:ind w:leftChars="100" w:left="180"/>
              <w:rPr>
                <w:rFonts w:cs="Calibri"/>
                <w:szCs w:val="18"/>
              </w:rPr>
            </w:pPr>
            <w:r>
              <w:rPr>
                <w:rFonts w:cs="Calibri"/>
                <w:szCs w:val="18"/>
              </w:rPr>
              <w:t>Personal benefits receivable</w:t>
            </w:r>
          </w:p>
        </w:tc>
        <w:tc>
          <w:tcPr>
            <w:tcW w:w="3161"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 xml:space="preserve">355,471 </w:t>
            </w:r>
          </w:p>
        </w:tc>
        <w:tc>
          <w:tcPr>
            <w:tcW w:w="2743"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 xml:space="preserve"> -</w:t>
            </w:r>
          </w:p>
        </w:tc>
      </w:tr>
      <w:tr w:rsidR="003E6989" w:rsidTr="006A5410">
        <w:trPr>
          <w:trHeight w:val="227"/>
        </w:trPr>
        <w:tc>
          <w:tcPr>
            <w:tcW w:w="3177" w:type="dxa"/>
            <w:tcBorders>
              <w:top w:val="nil"/>
              <w:left w:val="nil"/>
              <w:bottom w:val="nil"/>
              <w:right w:val="nil"/>
            </w:tcBorders>
            <w:shd w:val="clear" w:color="000000" w:fill="D9D9D9"/>
            <w:noWrap/>
            <w:vAlign w:val="bottom"/>
            <w:hideMark/>
          </w:tcPr>
          <w:p w:rsidR="003E6989" w:rsidRDefault="003E6989" w:rsidP="003E6989">
            <w:pPr>
              <w:spacing w:line="240" w:lineRule="auto"/>
              <w:ind w:leftChars="100" w:left="180"/>
              <w:rPr>
                <w:rFonts w:cs="Calibri"/>
                <w:szCs w:val="18"/>
              </w:rPr>
            </w:pPr>
            <w:r>
              <w:rPr>
                <w:rFonts w:cs="Calibri"/>
                <w:szCs w:val="18"/>
              </w:rPr>
              <w:t>Advances and loans</w:t>
            </w:r>
          </w:p>
        </w:tc>
        <w:tc>
          <w:tcPr>
            <w:tcW w:w="3161"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 xml:space="preserve">609 </w:t>
            </w:r>
          </w:p>
        </w:tc>
        <w:tc>
          <w:tcPr>
            <w:tcW w:w="2743"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 xml:space="preserve"> -</w:t>
            </w:r>
          </w:p>
        </w:tc>
      </w:tr>
      <w:tr w:rsidR="003E6989" w:rsidTr="006A5410">
        <w:trPr>
          <w:trHeight w:val="227"/>
        </w:trPr>
        <w:tc>
          <w:tcPr>
            <w:tcW w:w="3177"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spacing w:line="240" w:lineRule="auto"/>
              <w:rPr>
                <w:rFonts w:cs="Calibri"/>
                <w:b/>
                <w:bCs/>
                <w:szCs w:val="18"/>
              </w:rPr>
            </w:pPr>
            <w:r>
              <w:rPr>
                <w:rFonts w:cs="Calibri"/>
                <w:b/>
                <w:bCs/>
                <w:szCs w:val="18"/>
              </w:rPr>
              <w:t>Total assets relinquished</w:t>
            </w:r>
          </w:p>
        </w:tc>
        <w:tc>
          <w:tcPr>
            <w:tcW w:w="3161"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380,272</w:t>
            </w:r>
          </w:p>
        </w:tc>
        <w:tc>
          <w:tcPr>
            <w:tcW w:w="2743"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w:t>
            </w:r>
          </w:p>
        </w:tc>
      </w:tr>
      <w:tr w:rsidR="003E6989" w:rsidTr="006A5410">
        <w:trPr>
          <w:trHeight w:val="227"/>
        </w:trPr>
        <w:tc>
          <w:tcPr>
            <w:tcW w:w="3177" w:type="dxa"/>
            <w:tcBorders>
              <w:top w:val="nil"/>
              <w:left w:val="nil"/>
              <w:bottom w:val="single" w:sz="4" w:space="0" w:color="D9D9D9"/>
              <w:right w:val="nil"/>
            </w:tcBorders>
            <w:shd w:val="clear" w:color="000000" w:fill="D9D9D9"/>
            <w:noWrap/>
            <w:vAlign w:val="bottom"/>
            <w:hideMark/>
          </w:tcPr>
          <w:p w:rsidR="003E6989" w:rsidRDefault="003E6989" w:rsidP="006A5410">
            <w:pPr>
              <w:spacing w:line="240" w:lineRule="auto"/>
              <w:rPr>
                <w:rFonts w:cs="Calibri"/>
                <w:sz w:val="16"/>
                <w:szCs w:val="16"/>
              </w:rPr>
            </w:pPr>
            <w:r>
              <w:rPr>
                <w:rFonts w:cs="Calibri"/>
                <w:sz w:val="16"/>
                <w:szCs w:val="16"/>
              </w:rPr>
              <w:t> </w:t>
            </w:r>
          </w:p>
        </w:tc>
        <w:tc>
          <w:tcPr>
            <w:tcW w:w="3161" w:type="dxa"/>
            <w:tcBorders>
              <w:top w:val="nil"/>
              <w:left w:val="nil"/>
              <w:bottom w:val="single" w:sz="4" w:space="0" w:color="D9D9D9"/>
              <w:right w:val="nil"/>
            </w:tcBorders>
            <w:shd w:val="clear" w:color="000000" w:fill="D9D9D9"/>
            <w:noWrap/>
            <w:vAlign w:val="bottom"/>
            <w:hideMark/>
          </w:tcPr>
          <w:p w:rsidR="003E6989" w:rsidRDefault="003E6989" w:rsidP="006A5410">
            <w:pPr>
              <w:spacing w:line="240" w:lineRule="auto"/>
              <w:rPr>
                <w:rFonts w:cs="Calibri"/>
                <w:sz w:val="16"/>
                <w:szCs w:val="16"/>
              </w:rPr>
            </w:pPr>
            <w:r>
              <w:rPr>
                <w:rFonts w:cs="Calibri"/>
                <w:sz w:val="16"/>
                <w:szCs w:val="16"/>
              </w:rPr>
              <w:t> </w:t>
            </w:r>
          </w:p>
        </w:tc>
        <w:tc>
          <w:tcPr>
            <w:tcW w:w="2743" w:type="dxa"/>
            <w:tcBorders>
              <w:top w:val="nil"/>
              <w:left w:val="nil"/>
              <w:bottom w:val="single" w:sz="4" w:space="0" w:color="D9D9D9"/>
              <w:right w:val="nil"/>
            </w:tcBorders>
            <w:shd w:val="clear" w:color="000000" w:fill="D9D9D9"/>
            <w:noWrap/>
            <w:vAlign w:val="bottom"/>
            <w:hideMark/>
          </w:tcPr>
          <w:p w:rsidR="003E6989" w:rsidRDefault="003E6989" w:rsidP="006A5410">
            <w:pPr>
              <w:spacing w:line="240" w:lineRule="auto"/>
              <w:rPr>
                <w:rFonts w:cs="Calibri"/>
                <w:sz w:val="16"/>
                <w:szCs w:val="16"/>
              </w:rPr>
            </w:pPr>
            <w:r>
              <w:rPr>
                <w:rFonts w:cs="Calibri"/>
                <w:sz w:val="16"/>
                <w:szCs w:val="16"/>
              </w:rPr>
              <w:t> </w:t>
            </w:r>
          </w:p>
        </w:tc>
      </w:tr>
      <w:tr w:rsidR="003E6989" w:rsidTr="006A5410">
        <w:trPr>
          <w:trHeight w:val="227"/>
        </w:trPr>
        <w:tc>
          <w:tcPr>
            <w:tcW w:w="3177" w:type="dxa"/>
            <w:tcBorders>
              <w:top w:val="nil"/>
              <w:left w:val="nil"/>
              <w:bottom w:val="nil"/>
              <w:right w:val="nil"/>
            </w:tcBorders>
            <w:shd w:val="clear" w:color="000000" w:fill="D9D9D9"/>
            <w:vAlign w:val="bottom"/>
            <w:hideMark/>
          </w:tcPr>
          <w:p w:rsidR="003E6989" w:rsidRDefault="003E6989" w:rsidP="006A5410">
            <w:pPr>
              <w:spacing w:line="240" w:lineRule="auto"/>
              <w:rPr>
                <w:rFonts w:cs="Calibri"/>
                <w:b/>
                <w:bCs/>
                <w:szCs w:val="18"/>
              </w:rPr>
            </w:pPr>
            <w:r>
              <w:rPr>
                <w:rFonts w:cs="Calibri"/>
                <w:b/>
                <w:bCs/>
                <w:szCs w:val="18"/>
              </w:rPr>
              <w:t>Liabilities relinquished</w:t>
            </w:r>
          </w:p>
        </w:tc>
        <w:tc>
          <w:tcPr>
            <w:tcW w:w="3161" w:type="dxa"/>
            <w:tcBorders>
              <w:top w:val="nil"/>
              <w:left w:val="nil"/>
              <w:bottom w:val="nil"/>
              <w:right w:val="nil"/>
            </w:tcBorders>
            <w:shd w:val="clear" w:color="000000" w:fill="D9D9D9"/>
            <w:noWrap/>
            <w:vAlign w:val="bottom"/>
            <w:hideMark/>
          </w:tcPr>
          <w:p w:rsidR="003E6989" w:rsidRDefault="003E6989" w:rsidP="006A5410">
            <w:pPr>
              <w:spacing w:line="240" w:lineRule="auto"/>
              <w:rPr>
                <w:rFonts w:cs="Calibri"/>
                <w:szCs w:val="18"/>
              </w:rPr>
            </w:pPr>
            <w:r>
              <w:rPr>
                <w:rFonts w:cs="Calibri"/>
                <w:szCs w:val="18"/>
              </w:rPr>
              <w:t> </w:t>
            </w:r>
          </w:p>
        </w:tc>
        <w:tc>
          <w:tcPr>
            <w:tcW w:w="2743" w:type="dxa"/>
            <w:tcBorders>
              <w:top w:val="nil"/>
              <w:left w:val="nil"/>
              <w:bottom w:val="nil"/>
              <w:right w:val="nil"/>
            </w:tcBorders>
            <w:shd w:val="clear" w:color="000000" w:fill="D9D9D9"/>
            <w:noWrap/>
            <w:vAlign w:val="bottom"/>
            <w:hideMark/>
          </w:tcPr>
          <w:p w:rsidR="003E6989" w:rsidRDefault="003E6989" w:rsidP="006A5410">
            <w:pPr>
              <w:spacing w:line="240" w:lineRule="auto"/>
              <w:rPr>
                <w:rFonts w:cs="Calibri"/>
                <w:szCs w:val="18"/>
              </w:rPr>
            </w:pPr>
            <w:r>
              <w:rPr>
                <w:rFonts w:cs="Calibri"/>
                <w:szCs w:val="18"/>
              </w:rPr>
              <w:t> </w:t>
            </w:r>
          </w:p>
        </w:tc>
      </w:tr>
      <w:tr w:rsidR="003E6989" w:rsidTr="006A5410">
        <w:trPr>
          <w:trHeight w:val="227"/>
        </w:trPr>
        <w:tc>
          <w:tcPr>
            <w:tcW w:w="3177" w:type="dxa"/>
            <w:tcBorders>
              <w:top w:val="nil"/>
              <w:left w:val="nil"/>
              <w:bottom w:val="nil"/>
              <w:right w:val="nil"/>
            </w:tcBorders>
            <w:shd w:val="clear" w:color="000000" w:fill="D9D9D9"/>
            <w:noWrap/>
            <w:vAlign w:val="bottom"/>
            <w:hideMark/>
          </w:tcPr>
          <w:p w:rsidR="003E6989" w:rsidRDefault="003E6989" w:rsidP="003E6989">
            <w:pPr>
              <w:spacing w:line="240" w:lineRule="auto"/>
              <w:ind w:leftChars="100" w:left="180"/>
              <w:rPr>
                <w:rFonts w:cs="Calibri"/>
                <w:szCs w:val="18"/>
              </w:rPr>
            </w:pPr>
            <w:r>
              <w:rPr>
                <w:rFonts w:cs="Calibri"/>
                <w:szCs w:val="18"/>
              </w:rPr>
              <w:t>Suppliers</w:t>
            </w:r>
          </w:p>
        </w:tc>
        <w:tc>
          <w:tcPr>
            <w:tcW w:w="3161"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 xml:space="preserve">3,797 </w:t>
            </w:r>
          </w:p>
        </w:tc>
        <w:tc>
          <w:tcPr>
            <w:tcW w:w="2743"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 xml:space="preserve"> -</w:t>
            </w:r>
          </w:p>
        </w:tc>
      </w:tr>
      <w:tr w:rsidR="003E6989" w:rsidTr="006A5410">
        <w:trPr>
          <w:trHeight w:val="227"/>
        </w:trPr>
        <w:tc>
          <w:tcPr>
            <w:tcW w:w="3177" w:type="dxa"/>
            <w:tcBorders>
              <w:top w:val="nil"/>
              <w:left w:val="nil"/>
              <w:bottom w:val="nil"/>
              <w:right w:val="nil"/>
            </w:tcBorders>
            <w:shd w:val="clear" w:color="000000" w:fill="D9D9D9"/>
            <w:noWrap/>
            <w:vAlign w:val="bottom"/>
            <w:hideMark/>
          </w:tcPr>
          <w:p w:rsidR="003E6989" w:rsidRDefault="003E6989" w:rsidP="003E6989">
            <w:pPr>
              <w:spacing w:line="240" w:lineRule="auto"/>
              <w:ind w:leftChars="100" w:left="180"/>
              <w:rPr>
                <w:rFonts w:cs="Calibri"/>
                <w:szCs w:val="18"/>
              </w:rPr>
            </w:pPr>
            <w:r>
              <w:rPr>
                <w:rFonts w:cs="Calibri"/>
                <w:szCs w:val="18"/>
              </w:rPr>
              <w:t>Personal benefits payable</w:t>
            </w:r>
          </w:p>
        </w:tc>
        <w:tc>
          <w:tcPr>
            <w:tcW w:w="3161"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 xml:space="preserve">193,101 </w:t>
            </w:r>
          </w:p>
        </w:tc>
        <w:tc>
          <w:tcPr>
            <w:tcW w:w="2743"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 xml:space="preserve"> -</w:t>
            </w:r>
          </w:p>
        </w:tc>
      </w:tr>
      <w:tr w:rsidR="003E6989" w:rsidTr="006A5410">
        <w:trPr>
          <w:trHeight w:val="227"/>
        </w:trPr>
        <w:tc>
          <w:tcPr>
            <w:tcW w:w="3177" w:type="dxa"/>
            <w:tcBorders>
              <w:top w:val="nil"/>
              <w:left w:val="nil"/>
              <w:bottom w:val="nil"/>
              <w:right w:val="nil"/>
            </w:tcBorders>
            <w:shd w:val="clear" w:color="000000" w:fill="D9D9D9"/>
            <w:noWrap/>
            <w:vAlign w:val="bottom"/>
            <w:hideMark/>
          </w:tcPr>
          <w:p w:rsidR="003E6989" w:rsidRDefault="003E6989" w:rsidP="003E6989">
            <w:pPr>
              <w:spacing w:line="240" w:lineRule="auto"/>
              <w:ind w:leftChars="100" w:left="180"/>
              <w:rPr>
                <w:rFonts w:cs="Calibri"/>
                <w:szCs w:val="18"/>
              </w:rPr>
            </w:pPr>
            <w:r>
              <w:rPr>
                <w:rFonts w:cs="Calibri"/>
                <w:szCs w:val="18"/>
              </w:rPr>
              <w:t>Grants payable</w:t>
            </w:r>
          </w:p>
        </w:tc>
        <w:tc>
          <w:tcPr>
            <w:tcW w:w="3161"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 xml:space="preserve">22,429 </w:t>
            </w:r>
          </w:p>
        </w:tc>
        <w:tc>
          <w:tcPr>
            <w:tcW w:w="2743"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 xml:space="preserve"> -</w:t>
            </w:r>
          </w:p>
        </w:tc>
      </w:tr>
      <w:tr w:rsidR="003E6989" w:rsidTr="006A5410">
        <w:trPr>
          <w:trHeight w:val="227"/>
        </w:trPr>
        <w:tc>
          <w:tcPr>
            <w:tcW w:w="3177" w:type="dxa"/>
            <w:tcBorders>
              <w:top w:val="nil"/>
              <w:left w:val="nil"/>
              <w:bottom w:val="nil"/>
              <w:right w:val="nil"/>
            </w:tcBorders>
            <w:shd w:val="clear" w:color="000000" w:fill="D9D9D9"/>
            <w:noWrap/>
            <w:vAlign w:val="bottom"/>
            <w:hideMark/>
          </w:tcPr>
          <w:p w:rsidR="003E6989" w:rsidRDefault="003E6989" w:rsidP="003E6989">
            <w:pPr>
              <w:spacing w:line="240" w:lineRule="auto"/>
              <w:ind w:leftChars="100" w:left="180"/>
              <w:rPr>
                <w:rFonts w:cs="Calibri"/>
                <w:szCs w:val="18"/>
              </w:rPr>
            </w:pPr>
            <w:r>
              <w:rPr>
                <w:rFonts w:cs="Calibri"/>
                <w:szCs w:val="18"/>
              </w:rPr>
              <w:t>Provision for personal benefits</w:t>
            </w:r>
          </w:p>
        </w:tc>
        <w:tc>
          <w:tcPr>
            <w:tcW w:w="3161"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 xml:space="preserve">703,289 </w:t>
            </w:r>
          </w:p>
        </w:tc>
        <w:tc>
          <w:tcPr>
            <w:tcW w:w="2743" w:type="dxa"/>
            <w:tcBorders>
              <w:top w:val="nil"/>
              <w:left w:val="nil"/>
              <w:bottom w:val="nil"/>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 xml:space="preserve"> -</w:t>
            </w:r>
          </w:p>
        </w:tc>
      </w:tr>
      <w:tr w:rsidR="003E6989" w:rsidTr="006A5410">
        <w:trPr>
          <w:trHeight w:val="227"/>
        </w:trPr>
        <w:tc>
          <w:tcPr>
            <w:tcW w:w="3177"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spacing w:line="240" w:lineRule="auto"/>
              <w:rPr>
                <w:rFonts w:cs="Calibri"/>
                <w:b/>
                <w:bCs/>
                <w:szCs w:val="18"/>
              </w:rPr>
            </w:pPr>
            <w:r>
              <w:rPr>
                <w:rFonts w:cs="Calibri"/>
                <w:b/>
                <w:bCs/>
                <w:szCs w:val="18"/>
              </w:rPr>
              <w:t>Total liabilities relinquished</w:t>
            </w:r>
          </w:p>
        </w:tc>
        <w:tc>
          <w:tcPr>
            <w:tcW w:w="3161"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922,616</w:t>
            </w:r>
          </w:p>
        </w:tc>
        <w:tc>
          <w:tcPr>
            <w:tcW w:w="2743" w:type="dxa"/>
            <w:tcBorders>
              <w:top w:val="single" w:sz="4" w:space="0" w:color="auto"/>
              <w:left w:val="nil"/>
              <w:bottom w:val="single" w:sz="4" w:space="0" w:color="auto"/>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w:t>
            </w:r>
          </w:p>
        </w:tc>
      </w:tr>
      <w:tr w:rsidR="003E6989" w:rsidTr="006A5410">
        <w:trPr>
          <w:trHeight w:val="227"/>
        </w:trPr>
        <w:tc>
          <w:tcPr>
            <w:tcW w:w="3177" w:type="dxa"/>
            <w:tcBorders>
              <w:top w:val="nil"/>
              <w:left w:val="nil"/>
              <w:bottom w:val="single" w:sz="4" w:space="0" w:color="auto"/>
              <w:right w:val="nil"/>
            </w:tcBorders>
            <w:shd w:val="clear" w:color="000000" w:fill="D9D9D9"/>
            <w:noWrap/>
            <w:vAlign w:val="bottom"/>
            <w:hideMark/>
          </w:tcPr>
          <w:p w:rsidR="003E6989" w:rsidRDefault="003E6989" w:rsidP="006A5410">
            <w:pPr>
              <w:spacing w:line="240" w:lineRule="auto"/>
              <w:rPr>
                <w:rFonts w:cs="Calibri"/>
                <w:b/>
                <w:bCs/>
                <w:szCs w:val="18"/>
              </w:rPr>
            </w:pPr>
            <w:r>
              <w:rPr>
                <w:rFonts w:cs="Calibri"/>
                <w:b/>
                <w:bCs/>
                <w:szCs w:val="18"/>
              </w:rPr>
              <w:t>Net assets relinquished</w:t>
            </w:r>
          </w:p>
        </w:tc>
        <w:tc>
          <w:tcPr>
            <w:tcW w:w="3161" w:type="dxa"/>
            <w:tcBorders>
              <w:top w:val="nil"/>
              <w:left w:val="nil"/>
              <w:bottom w:val="single" w:sz="4" w:space="0" w:color="auto"/>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(542,344)</w:t>
            </w:r>
          </w:p>
        </w:tc>
        <w:tc>
          <w:tcPr>
            <w:tcW w:w="2743" w:type="dxa"/>
            <w:tcBorders>
              <w:top w:val="nil"/>
              <w:left w:val="nil"/>
              <w:bottom w:val="single" w:sz="4" w:space="0" w:color="auto"/>
              <w:right w:val="nil"/>
            </w:tcBorders>
            <w:shd w:val="clear" w:color="000000" w:fill="D9D9D9"/>
            <w:noWrap/>
            <w:vAlign w:val="bottom"/>
            <w:hideMark/>
          </w:tcPr>
          <w:p w:rsidR="003E6989" w:rsidRDefault="003E6989" w:rsidP="006A5410">
            <w:pPr>
              <w:spacing w:line="240" w:lineRule="auto"/>
              <w:jc w:val="right"/>
              <w:rPr>
                <w:rFonts w:cs="Calibri"/>
                <w:szCs w:val="18"/>
              </w:rPr>
            </w:pPr>
            <w:r>
              <w:rPr>
                <w:rFonts w:cs="Calibri"/>
                <w:szCs w:val="18"/>
              </w:rPr>
              <w:t>-</w:t>
            </w:r>
          </w:p>
        </w:tc>
      </w:tr>
    </w:tbl>
    <w:p w:rsidR="003E6989" w:rsidRDefault="003E6989" w:rsidP="003E6989">
      <w:bookmarkStart w:id="758" w:name="RANGE!D63:F103"/>
      <w:bookmarkStart w:id="759" w:name="RANGE!D59:F99"/>
      <w:bookmarkEnd w:id="758"/>
      <w:bookmarkEnd w:id="759"/>
    </w:p>
    <w:p w:rsidR="003E6989" w:rsidRPr="00BD1CD9" w:rsidRDefault="003E6989" w:rsidP="003E6989">
      <w:pPr>
        <w:autoSpaceDE w:val="0"/>
        <w:autoSpaceDN w:val="0"/>
        <w:adjustRightInd w:val="0"/>
        <w:spacing w:line="240" w:lineRule="auto"/>
        <w:rPr>
          <w:rFonts w:cs="Calibri"/>
          <w:color w:val="000000"/>
          <w:szCs w:val="18"/>
          <w:lang w:eastAsia="en-AU"/>
        </w:rPr>
      </w:pPr>
      <w:bookmarkStart w:id="760" w:name="RANGE!D59:G108"/>
      <w:bookmarkStart w:id="761" w:name="RANGE!D59:G104"/>
      <w:bookmarkStart w:id="762" w:name="RANGE!D63:G114"/>
      <w:bookmarkStart w:id="763" w:name="RANGE!D71:G122"/>
      <w:bookmarkStart w:id="764" w:name="RANGE!D71:G129"/>
      <w:bookmarkStart w:id="765" w:name="RANGE!D71:G127"/>
      <w:bookmarkStart w:id="766" w:name="RANGE!D71:G123"/>
      <w:bookmarkStart w:id="767" w:name="RANGE!D7:D118"/>
      <w:bookmarkStart w:id="768" w:name="RANGE!D7:D119"/>
      <w:bookmarkStart w:id="769" w:name="RANGE!D7:D120"/>
      <w:bookmarkStart w:id="770" w:name="RANGE!D7:D62"/>
      <w:bookmarkStart w:id="771" w:name="RANGE!D7:G57"/>
      <w:bookmarkStart w:id="772" w:name="RANGE!D7:G58"/>
      <w:bookmarkStart w:id="773" w:name="RANGE!D7:G59"/>
      <w:bookmarkStart w:id="774" w:name="RANGE!D7:G56"/>
      <w:bookmarkStart w:id="775" w:name="RANGE!D7:G30"/>
      <w:bookmarkStart w:id="776" w:name="RANGE!D7:G26"/>
      <w:bookmarkStart w:id="777" w:name="RANGE!D6:I41"/>
      <w:bookmarkStart w:id="778" w:name="RANGE!D6:D18"/>
      <w:bookmarkStart w:id="779" w:name="RANGE!D6:G18"/>
      <w:bookmarkStart w:id="780" w:name="RANGE!D7:F17"/>
      <w:bookmarkStart w:id="781" w:name="RANGE!D7:F16"/>
      <w:bookmarkStart w:id="782" w:name="RANGE!D18:G26"/>
      <w:bookmarkStart w:id="783" w:name="RANGE!D18:G27"/>
      <w:bookmarkStart w:id="784" w:name="RANGE!D18:G25"/>
      <w:bookmarkStart w:id="785" w:name="RANGE!E6:H38"/>
      <w:bookmarkStart w:id="786" w:name="RANGE!E6:E39"/>
      <w:bookmarkStart w:id="787" w:name="RANGE!E6:H39"/>
      <w:bookmarkStart w:id="788" w:name="RANGE!D7:J24"/>
      <w:bookmarkStart w:id="789" w:name="RANGE!D6:J23"/>
      <w:bookmarkStart w:id="790" w:name="RANGE!D6:J29"/>
      <w:bookmarkStart w:id="791" w:name="RANGE!D6:D30"/>
      <w:bookmarkStart w:id="792" w:name="RANGE!D6:J30"/>
      <w:bookmarkStart w:id="793" w:name="RANGE!D7:G9"/>
      <w:bookmarkStart w:id="794" w:name="RANGE!D6:G32"/>
      <w:bookmarkStart w:id="795" w:name="RANGE!D6:D33"/>
      <w:bookmarkStart w:id="796" w:name="RANGE!D6:G33"/>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BD1CD9">
        <w:rPr>
          <w:rFonts w:cs="Calibri"/>
          <w:color w:val="000000"/>
          <w:szCs w:val="18"/>
          <w:lang w:eastAsia="en-AU"/>
        </w:rPr>
        <w:t xml:space="preserve">Notes: </w:t>
      </w:r>
    </w:p>
    <w:p w:rsidR="003E6989" w:rsidRPr="00BD1CD9" w:rsidRDefault="003E6989" w:rsidP="003E6989">
      <w:pPr>
        <w:autoSpaceDE w:val="0"/>
        <w:autoSpaceDN w:val="0"/>
        <w:adjustRightInd w:val="0"/>
        <w:spacing w:line="240" w:lineRule="auto"/>
        <w:rPr>
          <w:rFonts w:cs="Calibri"/>
          <w:color w:val="000000"/>
          <w:szCs w:val="18"/>
          <w:lang w:eastAsia="en-AU"/>
        </w:rPr>
      </w:pPr>
      <w:r w:rsidRPr="00BD1CD9">
        <w:rPr>
          <w:rFonts w:cs="Calibri"/>
          <w:color w:val="000000"/>
          <w:sz w:val="12"/>
          <w:szCs w:val="12"/>
          <w:lang w:eastAsia="en-AU"/>
        </w:rPr>
        <w:t xml:space="preserve">1 </w:t>
      </w:r>
      <w:r w:rsidRPr="00BD1CD9">
        <w:rPr>
          <w:rFonts w:cs="Calibri"/>
          <w:color w:val="000000"/>
          <w:szCs w:val="18"/>
          <w:lang w:eastAsia="en-AU"/>
        </w:rPr>
        <w:t xml:space="preserve">The Early Childhood Education and Care functions transferred to the Department of Social Services following the Administrative Arrangement Orders of 23 December 2014. </w:t>
      </w:r>
    </w:p>
    <w:p w:rsidR="003E6989" w:rsidRPr="00BD1CD9" w:rsidRDefault="003E6989" w:rsidP="003E6989">
      <w:pPr>
        <w:autoSpaceDE w:val="0"/>
        <w:autoSpaceDN w:val="0"/>
        <w:adjustRightInd w:val="0"/>
        <w:spacing w:line="240" w:lineRule="auto"/>
        <w:rPr>
          <w:rFonts w:cs="Calibri"/>
          <w:color w:val="000000"/>
          <w:szCs w:val="18"/>
          <w:lang w:eastAsia="en-AU"/>
        </w:rPr>
      </w:pPr>
      <w:r w:rsidRPr="00BD1CD9">
        <w:rPr>
          <w:rFonts w:cs="Calibri"/>
          <w:color w:val="000000"/>
          <w:sz w:val="12"/>
          <w:szCs w:val="12"/>
          <w:lang w:eastAsia="en-AU"/>
        </w:rPr>
        <w:t xml:space="preserve">2 </w:t>
      </w:r>
      <w:r w:rsidRPr="00BD1CD9">
        <w:rPr>
          <w:rFonts w:cs="Calibri"/>
          <w:color w:val="000000"/>
          <w:szCs w:val="18"/>
          <w:lang w:eastAsia="en-AU"/>
        </w:rPr>
        <w:t xml:space="preserve">The Skills and Training functions were acquired from the Department of Industry and Science following the Administrative Arrangement Orders of 23 December 2014. </w:t>
      </w:r>
    </w:p>
    <w:p w:rsidR="003E6989" w:rsidRPr="00BD1CD9" w:rsidRDefault="003E6989" w:rsidP="003E6989">
      <w:pPr>
        <w:autoSpaceDE w:val="0"/>
        <w:autoSpaceDN w:val="0"/>
        <w:adjustRightInd w:val="0"/>
        <w:spacing w:line="240" w:lineRule="auto"/>
        <w:rPr>
          <w:rFonts w:cs="Calibri"/>
          <w:color w:val="000000"/>
          <w:szCs w:val="18"/>
          <w:lang w:eastAsia="en-AU"/>
        </w:rPr>
      </w:pPr>
      <w:r w:rsidRPr="00BD1CD9">
        <w:rPr>
          <w:rFonts w:cs="Calibri"/>
          <w:color w:val="000000"/>
          <w:szCs w:val="18"/>
          <w:lang w:eastAsia="en-AU"/>
        </w:rPr>
        <w:t xml:space="preserve">The net assets assumed from all entities total ($8.569) million. </w:t>
      </w:r>
    </w:p>
    <w:p w:rsidR="003E6989" w:rsidRDefault="003E6989" w:rsidP="003E6989">
      <w:pPr>
        <w:autoSpaceDE w:val="0"/>
        <w:autoSpaceDN w:val="0"/>
        <w:adjustRightInd w:val="0"/>
        <w:spacing w:line="240" w:lineRule="auto"/>
        <w:rPr>
          <w:rFonts w:cs="Calibri"/>
          <w:color w:val="000000"/>
          <w:szCs w:val="18"/>
          <w:lang w:eastAsia="en-AU"/>
        </w:rPr>
      </w:pPr>
      <w:r w:rsidRPr="00BD1CD9">
        <w:rPr>
          <w:rFonts w:cs="Calibri"/>
          <w:color w:val="000000"/>
          <w:szCs w:val="18"/>
          <w:lang w:eastAsia="en-AU"/>
        </w:rPr>
        <w:t xml:space="preserve">The net assets relinquished to all entities total ($542.344) million. </w:t>
      </w:r>
    </w:p>
    <w:p w:rsidR="003E6989" w:rsidRDefault="003E6989" w:rsidP="003E6989">
      <w:pPr>
        <w:autoSpaceDE w:val="0"/>
        <w:autoSpaceDN w:val="0"/>
        <w:adjustRightInd w:val="0"/>
        <w:spacing w:line="240" w:lineRule="auto"/>
        <w:rPr>
          <w:rFonts w:cs="Calibri"/>
          <w:color w:val="000000"/>
          <w:szCs w:val="18"/>
          <w:lang w:eastAsia="en-AU"/>
        </w:rPr>
        <w:sectPr w:rsidR="003E6989" w:rsidSect="006A5410">
          <w:headerReference w:type="default" r:id="rId31"/>
          <w:pgSz w:w="11906" w:h="16838"/>
          <w:pgMar w:top="1440" w:right="1440" w:bottom="1440" w:left="1440" w:header="708" w:footer="708" w:gutter="0"/>
          <w:cols w:space="720"/>
          <w:docGrid w:linePitch="245"/>
        </w:sectPr>
      </w:pPr>
    </w:p>
    <w:p w:rsidR="003E6989" w:rsidRDefault="003E6989" w:rsidP="003E6989">
      <w:pPr>
        <w:pStyle w:val="SubHeading"/>
      </w:pPr>
      <w:bookmarkStart w:id="797" w:name="_Toc455416761"/>
      <w:bookmarkStart w:id="798" w:name="_Toc464726652"/>
      <w:r>
        <w:t>Reporting of Outcomes</w:t>
      </w:r>
      <w:bookmarkEnd w:id="797"/>
      <w:bookmarkEnd w:id="798"/>
    </w:p>
    <w:p w:rsidR="003E6989" w:rsidRDefault="003E6989" w:rsidP="003E6989">
      <w:pPr>
        <w:pStyle w:val="AdminBlankGreyShade"/>
      </w:pPr>
      <w:bookmarkStart w:id="799" w:name="RANGE!D7:P29"/>
      <w:bookmarkStart w:id="800" w:name="RANGE!D7:L29"/>
      <w:bookmarkStart w:id="801" w:name="RANGE!D6:L39"/>
      <w:bookmarkStart w:id="802" w:name="RANGE!D6:L40"/>
      <w:bookmarkStart w:id="803" w:name="RANGE!D6:L41"/>
      <w:bookmarkStart w:id="804" w:name="RANGE!D6:L32"/>
      <w:bookmarkStart w:id="805" w:name="RANGE!D6:L33"/>
      <w:bookmarkStart w:id="806" w:name="RANGE!D22:L32"/>
      <w:bookmarkStart w:id="807" w:name="RANGE!D37:L62"/>
      <w:bookmarkEnd w:id="799"/>
      <w:bookmarkEnd w:id="800"/>
      <w:bookmarkEnd w:id="801"/>
      <w:bookmarkEnd w:id="802"/>
      <w:bookmarkEnd w:id="803"/>
      <w:bookmarkEnd w:id="804"/>
      <w:bookmarkEnd w:id="805"/>
      <w:bookmarkEnd w:id="806"/>
      <w:bookmarkEnd w:id="807"/>
      <w:r>
        <w:t>Outcomes 1 and 2 are described in the Overview. Net costs shown include intra-government costs that are eliminated in calculating the actual Budget Outcome. The annual report details Agency resource statements and resources. The department uses a cost allocation model to determine the attribution of its shared items.</w:t>
      </w:r>
    </w:p>
    <w:p w:rsidR="003E6989" w:rsidRDefault="003E6989" w:rsidP="003E6989">
      <w:pPr>
        <w:pStyle w:val="AdminBlankGreyShade"/>
        <w:rPr>
          <w:vertAlign w:val="superscript"/>
        </w:rPr>
      </w:pPr>
      <w:bookmarkStart w:id="808" w:name="RANGE!D34:P97"/>
      <w:bookmarkStart w:id="809" w:name="RANGE!D34:P96"/>
      <w:bookmarkStart w:id="810" w:name="RANGE!D34:P101"/>
      <w:bookmarkStart w:id="811" w:name="RANGE!D34:N105"/>
      <w:bookmarkStart w:id="812" w:name="RANGE!D34:N106"/>
      <w:bookmarkStart w:id="813" w:name="RANGE!D34:P106"/>
      <w:bookmarkStart w:id="814" w:name="RANGE!D34:J106"/>
      <w:bookmarkStart w:id="815" w:name="RANGE!D34:J105"/>
      <w:bookmarkStart w:id="816" w:name="RANGE!D34:L105"/>
      <w:bookmarkStart w:id="817" w:name="RANGE!D34:L101"/>
      <w:bookmarkStart w:id="818" w:name="RANGE!D34:L104"/>
      <w:bookmarkStart w:id="819" w:name="RANGE!D34:L103"/>
      <w:bookmarkStart w:id="820" w:name="RANGE!D34:L102"/>
      <w:bookmarkStart w:id="821" w:name="RANGE!D44:L76"/>
      <w:bookmarkStart w:id="822" w:name="RANGE!D33:L101"/>
      <w:bookmarkStart w:id="823" w:name="RANGE!D33:L102"/>
      <w:bookmarkStart w:id="824" w:name="RANGE!D33:L103"/>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tbl>
      <w:tblPr>
        <w:tblW w:w="13991" w:type="dxa"/>
        <w:tblInd w:w="80" w:type="dxa"/>
        <w:tblLayout w:type="fixed"/>
        <w:tblCellMar>
          <w:left w:w="6" w:type="dxa"/>
          <w:right w:w="6" w:type="dxa"/>
        </w:tblCellMar>
        <w:tblLook w:val="04A0" w:firstRow="1" w:lastRow="0" w:firstColumn="1" w:lastColumn="0" w:noHBand="0" w:noVBand="1"/>
      </w:tblPr>
      <w:tblGrid>
        <w:gridCol w:w="4023"/>
        <w:gridCol w:w="955"/>
        <w:gridCol w:w="955"/>
        <w:gridCol w:w="953"/>
        <w:gridCol w:w="954"/>
        <w:gridCol w:w="1168"/>
        <w:gridCol w:w="1168"/>
        <w:gridCol w:w="954"/>
        <w:gridCol w:w="953"/>
        <w:gridCol w:w="954"/>
        <w:gridCol w:w="954"/>
      </w:tblGrid>
      <w:tr w:rsidR="003E6989" w:rsidTr="006A5410">
        <w:trPr>
          <w:trHeight w:val="57"/>
        </w:trPr>
        <w:tc>
          <w:tcPr>
            <w:tcW w:w="12076" w:type="dxa"/>
            <w:gridSpan w:val="9"/>
            <w:tcBorders>
              <w:top w:val="nil"/>
              <w:left w:val="nil"/>
              <w:bottom w:val="nil"/>
              <w:right w:val="nil"/>
            </w:tcBorders>
            <w:shd w:val="clear" w:color="FFFFFF" w:fill="FFFFFF"/>
            <w:noWrap/>
            <w:vAlign w:val="bottom"/>
            <w:hideMark/>
          </w:tcPr>
          <w:p w:rsidR="003E6989" w:rsidRDefault="003E6989" w:rsidP="006A5410">
            <w:pPr>
              <w:spacing w:line="240" w:lineRule="auto"/>
              <w:rPr>
                <w:rFonts w:cs="Calibri"/>
                <w:b/>
                <w:bCs/>
                <w:szCs w:val="18"/>
                <w:u w:val="single"/>
              </w:rPr>
            </w:pPr>
            <w:bookmarkStart w:id="825" w:name="RANGE!D34:D67"/>
            <w:bookmarkStart w:id="826" w:name="Note_ROOTABLE2" w:colFirst="0" w:colLast="0"/>
            <w:r>
              <w:rPr>
                <w:rFonts w:cs="Calibri"/>
                <w:b/>
                <w:bCs/>
                <w:szCs w:val="18"/>
                <w:u w:val="single"/>
              </w:rPr>
              <w:t>8.2A: Major classes of expenses, income, assets and liabilities by outcome</w:t>
            </w:r>
            <w:bookmarkEnd w:id="825"/>
          </w:p>
        </w:tc>
        <w:tc>
          <w:tcPr>
            <w:tcW w:w="954" w:type="dxa"/>
            <w:tcBorders>
              <w:top w:val="nil"/>
              <w:left w:val="nil"/>
              <w:bottom w:val="nil"/>
              <w:right w:val="nil"/>
            </w:tcBorders>
            <w:shd w:val="clear" w:color="000000" w:fill="FFFFFF"/>
            <w:noWrap/>
            <w:vAlign w:val="bottom"/>
            <w:hideMark/>
          </w:tcPr>
          <w:p w:rsidR="003E6989" w:rsidRDefault="003E6989" w:rsidP="006A5410">
            <w:pPr>
              <w:spacing w:line="240" w:lineRule="auto"/>
              <w:rPr>
                <w:rFonts w:cs="Calibri"/>
                <w:sz w:val="20"/>
              </w:rPr>
            </w:pPr>
            <w:r>
              <w:rPr>
                <w:rFonts w:cs="Calibri"/>
                <w:sz w:val="20"/>
              </w:rPr>
              <w:t> </w:t>
            </w:r>
          </w:p>
        </w:tc>
        <w:tc>
          <w:tcPr>
            <w:tcW w:w="954" w:type="dxa"/>
            <w:tcBorders>
              <w:top w:val="nil"/>
              <w:left w:val="nil"/>
              <w:bottom w:val="nil"/>
              <w:right w:val="nil"/>
            </w:tcBorders>
            <w:shd w:val="clear" w:color="000000" w:fill="FFFFFF"/>
            <w:noWrap/>
            <w:vAlign w:val="bottom"/>
            <w:hideMark/>
          </w:tcPr>
          <w:p w:rsidR="003E6989" w:rsidRDefault="003E6989" w:rsidP="006A5410">
            <w:pPr>
              <w:spacing w:line="240" w:lineRule="auto"/>
              <w:rPr>
                <w:rFonts w:cs="Calibri"/>
                <w:sz w:val="20"/>
              </w:rPr>
            </w:pPr>
            <w:r>
              <w:rPr>
                <w:rFonts w:cs="Calibri"/>
                <w:sz w:val="20"/>
              </w:rPr>
              <w:t> </w:t>
            </w:r>
          </w:p>
        </w:tc>
      </w:tr>
      <w:bookmarkEnd w:id="826"/>
      <w:tr w:rsidR="003E6989" w:rsidTr="006A5410">
        <w:trPr>
          <w:trHeight w:val="57"/>
        </w:trPr>
        <w:tc>
          <w:tcPr>
            <w:tcW w:w="4020" w:type="dxa"/>
            <w:tcBorders>
              <w:top w:val="single" w:sz="4" w:space="0" w:color="auto"/>
              <w:left w:val="single" w:sz="4" w:space="0" w:color="auto"/>
              <w:bottom w:val="nil"/>
              <w:right w:val="nil"/>
            </w:tcBorders>
            <w:shd w:val="clear" w:color="FFFFFF" w:fill="FFFFFF"/>
            <w:noWrap/>
            <w:hideMark/>
          </w:tcPr>
          <w:p w:rsidR="003E6989" w:rsidRDefault="003E6989" w:rsidP="006A5410">
            <w:pPr>
              <w:spacing w:line="240" w:lineRule="auto"/>
              <w:rPr>
                <w:rFonts w:cs="Calibri"/>
                <w:sz w:val="16"/>
                <w:szCs w:val="16"/>
              </w:rPr>
            </w:pPr>
            <w:r>
              <w:rPr>
                <w:rFonts w:cs="Calibri"/>
                <w:sz w:val="16"/>
                <w:szCs w:val="16"/>
              </w:rPr>
              <w:t> </w:t>
            </w:r>
          </w:p>
        </w:tc>
        <w:tc>
          <w:tcPr>
            <w:tcW w:w="1908" w:type="dxa"/>
            <w:gridSpan w:val="2"/>
            <w:tcBorders>
              <w:top w:val="single" w:sz="4" w:space="0" w:color="auto"/>
              <w:left w:val="single" w:sz="4" w:space="0" w:color="auto"/>
              <w:bottom w:val="single" w:sz="4" w:space="0" w:color="auto"/>
              <w:right w:val="single" w:sz="4" w:space="0" w:color="000000"/>
            </w:tcBorders>
            <w:shd w:val="clear" w:color="FFFFFF" w:fill="FFFFFF"/>
            <w:vAlign w:val="center"/>
            <w:hideMark/>
          </w:tcPr>
          <w:p w:rsidR="003E6989" w:rsidRDefault="003E6989" w:rsidP="006A5410">
            <w:pPr>
              <w:spacing w:line="240" w:lineRule="auto"/>
              <w:jc w:val="center"/>
              <w:rPr>
                <w:rFonts w:cs="Calibri"/>
                <w:b/>
                <w:bCs/>
                <w:sz w:val="16"/>
                <w:szCs w:val="16"/>
              </w:rPr>
            </w:pPr>
            <w:r>
              <w:rPr>
                <w:rFonts w:cs="Calibri"/>
                <w:b/>
                <w:bCs/>
                <w:sz w:val="16"/>
                <w:szCs w:val="16"/>
              </w:rPr>
              <w:t>Outcome 1</w:t>
            </w:r>
          </w:p>
        </w:tc>
        <w:tc>
          <w:tcPr>
            <w:tcW w:w="1907" w:type="dxa"/>
            <w:gridSpan w:val="2"/>
            <w:tcBorders>
              <w:top w:val="single" w:sz="4" w:space="0" w:color="auto"/>
              <w:left w:val="nil"/>
              <w:bottom w:val="single" w:sz="4" w:space="0" w:color="auto"/>
              <w:right w:val="single" w:sz="4" w:space="0" w:color="000000"/>
            </w:tcBorders>
            <w:shd w:val="clear" w:color="FFFFFF" w:fill="FFFFFF"/>
            <w:vAlign w:val="center"/>
            <w:hideMark/>
          </w:tcPr>
          <w:p w:rsidR="003E6989" w:rsidRDefault="003E6989" w:rsidP="006A5410">
            <w:pPr>
              <w:spacing w:line="240" w:lineRule="auto"/>
              <w:jc w:val="center"/>
              <w:rPr>
                <w:rFonts w:cs="Calibri"/>
                <w:b/>
                <w:bCs/>
                <w:sz w:val="16"/>
                <w:szCs w:val="16"/>
              </w:rPr>
            </w:pPr>
            <w:r>
              <w:rPr>
                <w:rFonts w:cs="Calibri"/>
                <w:b/>
                <w:bCs/>
                <w:sz w:val="16"/>
                <w:szCs w:val="16"/>
              </w:rPr>
              <w:t>Outcome 2</w:t>
            </w:r>
          </w:p>
        </w:tc>
        <w:tc>
          <w:tcPr>
            <w:tcW w:w="2334" w:type="dxa"/>
            <w:gridSpan w:val="2"/>
            <w:tcBorders>
              <w:top w:val="single" w:sz="4" w:space="0" w:color="auto"/>
              <w:left w:val="nil"/>
              <w:bottom w:val="single" w:sz="4" w:space="0" w:color="auto"/>
              <w:right w:val="single" w:sz="4" w:space="0" w:color="000000"/>
            </w:tcBorders>
            <w:shd w:val="clear" w:color="FFFFFF" w:fill="FFFFFF"/>
            <w:vAlign w:val="center"/>
            <w:hideMark/>
          </w:tcPr>
          <w:p w:rsidR="003E6989" w:rsidRDefault="003E6989" w:rsidP="006A5410">
            <w:pPr>
              <w:spacing w:line="240" w:lineRule="auto"/>
              <w:jc w:val="center"/>
              <w:rPr>
                <w:rFonts w:cs="Calibri"/>
                <w:b/>
                <w:bCs/>
                <w:sz w:val="16"/>
                <w:szCs w:val="16"/>
              </w:rPr>
            </w:pPr>
            <w:r>
              <w:rPr>
                <w:rFonts w:cs="Calibri"/>
                <w:b/>
                <w:bCs/>
                <w:sz w:val="16"/>
                <w:szCs w:val="16"/>
              </w:rPr>
              <w:t>Payment to Corporate Commonwealth Entities</w:t>
            </w:r>
          </w:p>
        </w:tc>
        <w:tc>
          <w:tcPr>
            <w:tcW w:w="1907" w:type="dxa"/>
            <w:gridSpan w:val="2"/>
            <w:tcBorders>
              <w:top w:val="single" w:sz="4" w:space="0" w:color="auto"/>
              <w:left w:val="nil"/>
              <w:bottom w:val="single" w:sz="4" w:space="0" w:color="auto"/>
              <w:right w:val="single" w:sz="4" w:space="0" w:color="000000"/>
            </w:tcBorders>
            <w:shd w:val="clear" w:color="FFFFFF" w:fill="FFFFFF"/>
            <w:vAlign w:val="center"/>
            <w:hideMark/>
          </w:tcPr>
          <w:p w:rsidR="003E6989" w:rsidRDefault="003E6989" w:rsidP="006A5410">
            <w:pPr>
              <w:spacing w:line="240" w:lineRule="auto"/>
              <w:jc w:val="center"/>
              <w:rPr>
                <w:rFonts w:cs="Calibri"/>
                <w:b/>
                <w:bCs/>
                <w:sz w:val="16"/>
                <w:szCs w:val="16"/>
              </w:rPr>
            </w:pPr>
            <w:r>
              <w:rPr>
                <w:rFonts w:cs="Calibri"/>
                <w:b/>
                <w:bCs/>
                <w:sz w:val="16"/>
                <w:szCs w:val="16"/>
              </w:rPr>
              <w:t>Not attributed</w:t>
            </w:r>
            <w:r>
              <w:rPr>
                <w:rFonts w:cs="Calibri"/>
                <w:b/>
                <w:bCs/>
                <w:sz w:val="16"/>
                <w:szCs w:val="16"/>
                <w:vertAlign w:val="superscript"/>
              </w:rPr>
              <w:t>1</w:t>
            </w:r>
          </w:p>
        </w:tc>
        <w:tc>
          <w:tcPr>
            <w:tcW w:w="1908" w:type="dxa"/>
            <w:gridSpan w:val="2"/>
            <w:tcBorders>
              <w:top w:val="single" w:sz="4" w:space="0" w:color="auto"/>
              <w:left w:val="nil"/>
              <w:bottom w:val="single" w:sz="4" w:space="0" w:color="auto"/>
              <w:right w:val="single" w:sz="4" w:space="0" w:color="000000"/>
            </w:tcBorders>
            <w:shd w:val="clear" w:color="FFFFFF" w:fill="FFFFFF"/>
            <w:vAlign w:val="center"/>
            <w:hideMark/>
          </w:tcPr>
          <w:p w:rsidR="003E6989" w:rsidRDefault="003E6989" w:rsidP="006A5410">
            <w:pPr>
              <w:spacing w:line="240" w:lineRule="auto"/>
              <w:jc w:val="center"/>
              <w:rPr>
                <w:rFonts w:cs="Calibri"/>
                <w:b/>
                <w:bCs/>
                <w:sz w:val="16"/>
                <w:szCs w:val="16"/>
              </w:rPr>
            </w:pPr>
            <w:r>
              <w:rPr>
                <w:rFonts w:cs="Calibri"/>
                <w:b/>
                <w:bCs/>
                <w:sz w:val="16"/>
                <w:szCs w:val="16"/>
              </w:rPr>
              <w:t>Total</w:t>
            </w:r>
          </w:p>
        </w:tc>
      </w:tr>
      <w:tr w:rsidR="003E6989" w:rsidTr="006A5410">
        <w:trPr>
          <w:trHeight w:val="57"/>
        </w:trPr>
        <w:tc>
          <w:tcPr>
            <w:tcW w:w="4020" w:type="dxa"/>
            <w:tcBorders>
              <w:top w:val="nil"/>
              <w:left w:val="single" w:sz="4" w:space="0" w:color="auto"/>
              <w:bottom w:val="nil"/>
              <w:right w:val="nil"/>
            </w:tcBorders>
            <w:shd w:val="clear" w:color="FFFFFF" w:fill="FFFFFF"/>
            <w:noWrap/>
            <w:hideMark/>
          </w:tcPr>
          <w:p w:rsidR="003E6989" w:rsidRDefault="003E6989" w:rsidP="006A5410">
            <w:pPr>
              <w:spacing w:line="240" w:lineRule="auto"/>
              <w:rPr>
                <w:rFonts w:cs="Calibri"/>
                <w:sz w:val="16"/>
                <w:szCs w:val="16"/>
              </w:rPr>
            </w:pPr>
            <w:r>
              <w:rPr>
                <w:rFonts w:cs="Calibri"/>
                <w:sz w:val="16"/>
                <w:szCs w:val="16"/>
              </w:rPr>
              <w:t> </w:t>
            </w:r>
          </w:p>
        </w:tc>
        <w:tc>
          <w:tcPr>
            <w:tcW w:w="954" w:type="dxa"/>
            <w:tcBorders>
              <w:top w:val="nil"/>
              <w:left w:val="single" w:sz="4" w:space="0" w:color="auto"/>
              <w:bottom w:val="single" w:sz="4" w:space="0" w:color="auto"/>
              <w:right w:val="single" w:sz="4" w:space="0" w:color="auto"/>
            </w:tcBorders>
            <w:shd w:val="clear" w:color="FFFFFF" w:fill="FFFFFF"/>
            <w:vAlign w:val="bottom"/>
            <w:hideMark/>
          </w:tcPr>
          <w:p w:rsidR="003E6989" w:rsidRDefault="003E6989" w:rsidP="006A5410">
            <w:pPr>
              <w:spacing w:line="240" w:lineRule="auto"/>
              <w:jc w:val="center"/>
              <w:rPr>
                <w:rFonts w:cs="Calibri"/>
                <w:b/>
                <w:bCs/>
                <w:sz w:val="16"/>
                <w:szCs w:val="16"/>
              </w:rPr>
            </w:pPr>
            <w:r>
              <w:rPr>
                <w:rFonts w:cs="Calibri"/>
                <w:b/>
                <w:bCs/>
                <w:sz w:val="16"/>
                <w:szCs w:val="16"/>
              </w:rPr>
              <w:t>2016</w:t>
            </w:r>
          </w:p>
        </w:tc>
        <w:tc>
          <w:tcPr>
            <w:tcW w:w="954"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spacing w:line="240" w:lineRule="auto"/>
              <w:jc w:val="center"/>
              <w:rPr>
                <w:rFonts w:cs="Calibri"/>
                <w:sz w:val="16"/>
                <w:szCs w:val="16"/>
              </w:rPr>
            </w:pPr>
            <w:r>
              <w:rPr>
                <w:rFonts w:cs="Calibri"/>
                <w:sz w:val="16"/>
                <w:szCs w:val="16"/>
              </w:rPr>
              <w:t>2015</w:t>
            </w:r>
          </w:p>
        </w:tc>
        <w:tc>
          <w:tcPr>
            <w:tcW w:w="953"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spacing w:line="240" w:lineRule="auto"/>
              <w:jc w:val="center"/>
              <w:rPr>
                <w:rFonts w:cs="Calibri"/>
                <w:b/>
                <w:bCs/>
                <w:sz w:val="16"/>
                <w:szCs w:val="16"/>
              </w:rPr>
            </w:pPr>
            <w:r>
              <w:rPr>
                <w:rFonts w:cs="Calibri"/>
                <w:b/>
                <w:bCs/>
                <w:sz w:val="16"/>
                <w:szCs w:val="16"/>
              </w:rPr>
              <w:t>2016</w:t>
            </w:r>
          </w:p>
        </w:tc>
        <w:tc>
          <w:tcPr>
            <w:tcW w:w="954"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spacing w:line="240" w:lineRule="auto"/>
              <w:jc w:val="center"/>
              <w:rPr>
                <w:rFonts w:cs="Calibri"/>
                <w:sz w:val="16"/>
                <w:szCs w:val="16"/>
              </w:rPr>
            </w:pPr>
            <w:r>
              <w:rPr>
                <w:rFonts w:cs="Calibri"/>
                <w:sz w:val="16"/>
                <w:szCs w:val="16"/>
              </w:rPr>
              <w:t>2015</w:t>
            </w:r>
          </w:p>
        </w:tc>
        <w:tc>
          <w:tcPr>
            <w:tcW w:w="1167"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spacing w:line="240" w:lineRule="auto"/>
              <w:jc w:val="center"/>
              <w:rPr>
                <w:rFonts w:cs="Calibri"/>
                <w:b/>
                <w:bCs/>
                <w:sz w:val="16"/>
                <w:szCs w:val="16"/>
              </w:rPr>
            </w:pPr>
            <w:r>
              <w:rPr>
                <w:rFonts w:cs="Calibri"/>
                <w:b/>
                <w:bCs/>
                <w:sz w:val="16"/>
                <w:szCs w:val="16"/>
              </w:rPr>
              <w:t>2016</w:t>
            </w:r>
          </w:p>
        </w:tc>
        <w:tc>
          <w:tcPr>
            <w:tcW w:w="1167"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spacing w:line="240" w:lineRule="auto"/>
              <w:jc w:val="center"/>
              <w:rPr>
                <w:rFonts w:cs="Calibri"/>
                <w:sz w:val="16"/>
                <w:szCs w:val="16"/>
              </w:rPr>
            </w:pPr>
            <w:r>
              <w:rPr>
                <w:rFonts w:cs="Calibri"/>
                <w:sz w:val="16"/>
                <w:szCs w:val="16"/>
              </w:rPr>
              <w:t>2015</w:t>
            </w:r>
          </w:p>
        </w:tc>
        <w:tc>
          <w:tcPr>
            <w:tcW w:w="954"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spacing w:line="240" w:lineRule="auto"/>
              <w:jc w:val="center"/>
              <w:rPr>
                <w:rFonts w:cs="Calibri"/>
                <w:b/>
                <w:bCs/>
                <w:sz w:val="16"/>
                <w:szCs w:val="16"/>
              </w:rPr>
            </w:pPr>
            <w:r>
              <w:rPr>
                <w:rFonts w:cs="Calibri"/>
                <w:b/>
                <w:bCs/>
                <w:sz w:val="16"/>
                <w:szCs w:val="16"/>
              </w:rPr>
              <w:t>2016</w:t>
            </w:r>
          </w:p>
        </w:tc>
        <w:tc>
          <w:tcPr>
            <w:tcW w:w="953"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spacing w:line="240" w:lineRule="auto"/>
              <w:jc w:val="center"/>
              <w:rPr>
                <w:rFonts w:cs="Calibri"/>
                <w:sz w:val="16"/>
                <w:szCs w:val="16"/>
              </w:rPr>
            </w:pPr>
            <w:r>
              <w:rPr>
                <w:rFonts w:cs="Calibri"/>
                <w:sz w:val="16"/>
                <w:szCs w:val="16"/>
              </w:rPr>
              <w:t>2015</w:t>
            </w:r>
          </w:p>
        </w:tc>
        <w:tc>
          <w:tcPr>
            <w:tcW w:w="954"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spacing w:line="240" w:lineRule="auto"/>
              <w:jc w:val="center"/>
              <w:rPr>
                <w:rFonts w:cs="Calibri"/>
                <w:b/>
                <w:bCs/>
                <w:sz w:val="16"/>
                <w:szCs w:val="16"/>
              </w:rPr>
            </w:pPr>
            <w:r>
              <w:rPr>
                <w:rFonts w:cs="Calibri"/>
                <w:b/>
                <w:bCs/>
                <w:sz w:val="16"/>
                <w:szCs w:val="16"/>
              </w:rPr>
              <w:t>2016</w:t>
            </w:r>
          </w:p>
        </w:tc>
        <w:tc>
          <w:tcPr>
            <w:tcW w:w="954"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spacing w:line="240" w:lineRule="auto"/>
              <w:jc w:val="center"/>
              <w:rPr>
                <w:rFonts w:cs="Calibri"/>
                <w:sz w:val="16"/>
                <w:szCs w:val="16"/>
              </w:rPr>
            </w:pPr>
            <w:r>
              <w:rPr>
                <w:rFonts w:cs="Calibri"/>
                <w:sz w:val="16"/>
                <w:szCs w:val="16"/>
              </w:rPr>
              <w:t>2015</w:t>
            </w:r>
          </w:p>
        </w:tc>
      </w:tr>
      <w:tr w:rsidR="003E6989" w:rsidTr="006A5410">
        <w:trPr>
          <w:trHeight w:val="57"/>
        </w:trPr>
        <w:tc>
          <w:tcPr>
            <w:tcW w:w="4020" w:type="dxa"/>
            <w:tcBorders>
              <w:top w:val="nil"/>
              <w:left w:val="single" w:sz="4" w:space="0" w:color="auto"/>
              <w:bottom w:val="single" w:sz="4" w:space="0" w:color="auto"/>
              <w:right w:val="nil"/>
            </w:tcBorders>
            <w:shd w:val="clear" w:color="FFFFFF" w:fill="FFFFFF"/>
            <w:noWrap/>
            <w:hideMark/>
          </w:tcPr>
          <w:p w:rsidR="003E6989" w:rsidRDefault="003E6989" w:rsidP="006A5410">
            <w:pPr>
              <w:spacing w:line="240" w:lineRule="auto"/>
              <w:rPr>
                <w:rFonts w:cs="Calibri"/>
                <w:sz w:val="16"/>
                <w:szCs w:val="16"/>
              </w:rPr>
            </w:pPr>
            <w:r>
              <w:rPr>
                <w:rFonts w:cs="Calibri"/>
                <w:sz w:val="16"/>
                <w:szCs w:val="16"/>
              </w:rPr>
              <w:t> </w:t>
            </w:r>
          </w:p>
        </w:tc>
        <w:tc>
          <w:tcPr>
            <w:tcW w:w="954" w:type="dxa"/>
            <w:tcBorders>
              <w:top w:val="nil"/>
              <w:left w:val="single" w:sz="4" w:space="0" w:color="auto"/>
              <w:bottom w:val="single" w:sz="4" w:space="0" w:color="auto"/>
              <w:right w:val="single" w:sz="4" w:space="0" w:color="auto"/>
            </w:tcBorders>
            <w:shd w:val="clear" w:color="FFFFFF" w:fill="FFFFFF"/>
            <w:vAlign w:val="bottom"/>
            <w:hideMark/>
          </w:tcPr>
          <w:p w:rsidR="003E6989" w:rsidRDefault="003E6989" w:rsidP="006A5410">
            <w:pPr>
              <w:spacing w:line="240" w:lineRule="auto"/>
              <w:jc w:val="center"/>
              <w:rPr>
                <w:rFonts w:cs="Calibri"/>
                <w:b/>
                <w:bCs/>
                <w:sz w:val="16"/>
                <w:szCs w:val="16"/>
              </w:rPr>
            </w:pPr>
            <w:r>
              <w:rPr>
                <w:rFonts w:cs="Calibri"/>
                <w:b/>
                <w:bCs/>
                <w:sz w:val="16"/>
                <w:szCs w:val="16"/>
              </w:rPr>
              <w:t>$'000</w:t>
            </w:r>
          </w:p>
        </w:tc>
        <w:tc>
          <w:tcPr>
            <w:tcW w:w="954"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spacing w:line="240" w:lineRule="auto"/>
              <w:jc w:val="center"/>
              <w:rPr>
                <w:rFonts w:cs="Calibri"/>
                <w:sz w:val="16"/>
                <w:szCs w:val="16"/>
              </w:rPr>
            </w:pPr>
            <w:r>
              <w:rPr>
                <w:rFonts w:cs="Calibri"/>
                <w:sz w:val="16"/>
                <w:szCs w:val="16"/>
              </w:rPr>
              <w:t>$'000</w:t>
            </w:r>
          </w:p>
        </w:tc>
        <w:tc>
          <w:tcPr>
            <w:tcW w:w="953"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spacing w:line="240" w:lineRule="auto"/>
              <w:jc w:val="center"/>
              <w:rPr>
                <w:rFonts w:cs="Calibri"/>
                <w:b/>
                <w:bCs/>
                <w:sz w:val="16"/>
                <w:szCs w:val="16"/>
              </w:rPr>
            </w:pPr>
            <w:r>
              <w:rPr>
                <w:rFonts w:cs="Calibri"/>
                <w:b/>
                <w:bCs/>
                <w:sz w:val="16"/>
                <w:szCs w:val="16"/>
              </w:rPr>
              <w:t>$'000</w:t>
            </w:r>
          </w:p>
        </w:tc>
        <w:tc>
          <w:tcPr>
            <w:tcW w:w="954"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spacing w:line="240" w:lineRule="auto"/>
              <w:jc w:val="center"/>
              <w:rPr>
                <w:rFonts w:cs="Calibri"/>
                <w:sz w:val="16"/>
                <w:szCs w:val="16"/>
              </w:rPr>
            </w:pPr>
            <w:r>
              <w:rPr>
                <w:rFonts w:cs="Calibri"/>
                <w:sz w:val="16"/>
                <w:szCs w:val="16"/>
              </w:rPr>
              <w:t>$'000</w:t>
            </w:r>
          </w:p>
        </w:tc>
        <w:tc>
          <w:tcPr>
            <w:tcW w:w="1167"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spacing w:line="240" w:lineRule="auto"/>
              <w:jc w:val="center"/>
              <w:rPr>
                <w:rFonts w:cs="Calibri"/>
                <w:b/>
                <w:bCs/>
                <w:sz w:val="16"/>
                <w:szCs w:val="16"/>
              </w:rPr>
            </w:pPr>
            <w:r>
              <w:rPr>
                <w:rFonts w:cs="Calibri"/>
                <w:b/>
                <w:bCs/>
                <w:sz w:val="16"/>
                <w:szCs w:val="16"/>
              </w:rPr>
              <w:t>$'000</w:t>
            </w:r>
          </w:p>
        </w:tc>
        <w:tc>
          <w:tcPr>
            <w:tcW w:w="1167"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spacing w:line="240" w:lineRule="auto"/>
              <w:jc w:val="center"/>
              <w:rPr>
                <w:rFonts w:cs="Calibri"/>
                <w:sz w:val="16"/>
                <w:szCs w:val="16"/>
              </w:rPr>
            </w:pPr>
            <w:r>
              <w:rPr>
                <w:rFonts w:cs="Calibri"/>
                <w:sz w:val="16"/>
                <w:szCs w:val="16"/>
              </w:rPr>
              <w:t>$'000</w:t>
            </w:r>
          </w:p>
        </w:tc>
        <w:tc>
          <w:tcPr>
            <w:tcW w:w="954"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spacing w:line="240" w:lineRule="auto"/>
              <w:jc w:val="center"/>
              <w:rPr>
                <w:rFonts w:cs="Calibri"/>
                <w:b/>
                <w:bCs/>
                <w:sz w:val="16"/>
                <w:szCs w:val="16"/>
              </w:rPr>
            </w:pPr>
            <w:r>
              <w:rPr>
                <w:rFonts w:cs="Calibri"/>
                <w:b/>
                <w:bCs/>
                <w:sz w:val="16"/>
                <w:szCs w:val="16"/>
              </w:rPr>
              <w:t>$'000</w:t>
            </w:r>
          </w:p>
        </w:tc>
        <w:tc>
          <w:tcPr>
            <w:tcW w:w="953"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spacing w:line="240" w:lineRule="auto"/>
              <w:jc w:val="center"/>
              <w:rPr>
                <w:rFonts w:cs="Calibri"/>
                <w:sz w:val="16"/>
                <w:szCs w:val="16"/>
              </w:rPr>
            </w:pPr>
            <w:r>
              <w:rPr>
                <w:rFonts w:cs="Calibri"/>
                <w:sz w:val="16"/>
                <w:szCs w:val="16"/>
              </w:rPr>
              <w:t>$'000</w:t>
            </w:r>
          </w:p>
        </w:tc>
        <w:tc>
          <w:tcPr>
            <w:tcW w:w="954"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spacing w:line="240" w:lineRule="auto"/>
              <w:jc w:val="center"/>
              <w:rPr>
                <w:rFonts w:cs="Calibri"/>
                <w:b/>
                <w:bCs/>
                <w:sz w:val="16"/>
                <w:szCs w:val="16"/>
              </w:rPr>
            </w:pPr>
            <w:r>
              <w:rPr>
                <w:rFonts w:cs="Calibri"/>
                <w:b/>
                <w:bCs/>
                <w:sz w:val="16"/>
                <w:szCs w:val="16"/>
              </w:rPr>
              <w:t>$'000</w:t>
            </w:r>
          </w:p>
        </w:tc>
        <w:tc>
          <w:tcPr>
            <w:tcW w:w="954" w:type="dxa"/>
            <w:tcBorders>
              <w:top w:val="nil"/>
              <w:left w:val="nil"/>
              <w:bottom w:val="single" w:sz="4" w:space="0" w:color="auto"/>
              <w:right w:val="single" w:sz="4" w:space="0" w:color="auto"/>
            </w:tcBorders>
            <w:shd w:val="clear" w:color="FFFFFF" w:fill="FFFFFF"/>
            <w:vAlign w:val="bottom"/>
            <w:hideMark/>
          </w:tcPr>
          <w:p w:rsidR="003E6989" w:rsidRDefault="003E6989" w:rsidP="006A5410">
            <w:pPr>
              <w:spacing w:line="240" w:lineRule="auto"/>
              <w:jc w:val="center"/>
              <w:rPr>
                <w:rFonts w:cs="Calibri"/>
                <w:sz w:val="16"/>
                <w:szCs w:val="16"/>
              </w:rPr>
            </w:pPr>
            <w:r>
              <w:rPr>
                <w:rFonts w:cs="Calibri"/>
                <w:sz w:val="16"/>
                <w:szCs w:val="16"/>
              </w:rPr>
              <w:t>$'000</w:t>
            </w:r>
          </w:p>
        </w:tc>
      </w:tr>
      <w:tr w:rsidR="003E6989" w:rsidTr="006A5410">
        <w:trPr>
          <w:trHeight w:val="57"/>
        </w:trPr>
        <w:tc>
          <w:tcPr>
            <w:tcW w:w="13984" w:type="dxa"/>
            <w:gridSpan w:val="11"/>
            <w:tcBorders>
              <w:top w:val="single" w:sz="4" w:space="0" w:color="auto"/>
              <w:left w:val="single" w:sz="4" w:space="0" w:color="auto"/>
              <w:bottom w:val="single" w:sz="4" w:space="0" w:color="auto"/>
              <w:right w:val="nil"/>
            </w:tcBorders>
            <w:shd w:val="clear" w:color="FFFFFF" w:fill="FFFFFF"/>
            <w:vAlign w:val="bottom"/>
            <w:hideMark/>
          </w:tcPr>
          <w:p w:rsidR="003E6989" w:rsidRDefault="003E6989" w:rsidP="006A5410">
            <w:pPr>
              <w:spacing w:line="240" w:lineRule="auto"/>
              <w:rPr>
                <w:rFonts w:cs="Calibri"/>
                <w:b/>
                <w:bCs/>
                <w:sz w:val="16"/>
                <w:szCs w:val="16"/>
              </w:rPr>
            </w:pPr>
            <w:r>
              <w:rPr>
                <w:rFonts w:cs="Calibri"/>
                <w:b/>
                <w:bCs/>
                <w:sz w:val="16"/>
                <w:szCs w:val="16"/>
              </w:rPr>
              <w:t>Expenses</w:t>
            </w:r>
          </w:p>
        </w:tc>
      </w:tr>
      <w:tr w:rsidR="003E6989" w:rsidTr="006A5410">
        <w:trPr>
          <w:trHeight w:val="57"/>
        </w:trPr>
        <w:tc>
          <w:tcPr>
            <w:tcW w:w="4020" w:type="dxa"/>
            <w:tcBorders>
              <w:top w:val="nil"/>
              <w:left w:val="single" w:sz="4" w:space="0" w:color="auto"/>
              <w:bottom w:val="single" w:sz="4" w:space="0" w:color="auto"/>
              <w:right w:val="nil"/>
            </w:tcBorders>
            <w:shd w:val="clear" w:color="FFFFFF" w:fill="FFFFFF"/>
            <w:vAlign w:val="bottom"/>
            <w:hideMark/>
          </w:tcPr>
          <w:p w:rsidR="003E6989" w:rsidRDefault="003E6989" w:rsidP="006A5410">
            <w:pPr>
              <w:spacing w:line="240" w:lineRule="auto"/>
              <w:rPr>
                <w:rFonts w:cs="Calibri"/>
                <w:sz w:val="16"/>
                <w:szCs w:val="16"/>
              </w:rPr>
            </w:pPr>
            <w:r>
              <w:rPr>
                <w:rFonts w:cs="Calibri"/>
                <w:sz w:val="16"/>
                <w:szCs w:val="16"/>
              </w:rPr>
              <w:t>Employee benefits</w:t>
            </w:r>
          </w:p>
        </w:tc>
        <w:tc>
          <w:tcPr>
            <w:tcW w:w="954"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88,410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104,832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127,420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101,729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215,830</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206,561</w:t>
            </w:r>
          </w:p>
        </w:tc>
      </w:tr>
      <w:tr w:rsidR="003E6989" w:rsidTr="006A5410">
        <w:trPr>
          <w:trHeight w:val="57"/>
        </w:trPr>
        <w:tc>
          <w:tcPr>
            <w:tcW w:w="4020" w:type="dxa"/>
            <w:tcBorders>
              <w:top w:val="nil"/>
              <w:left w:val="single" w:sz="4" w:space="0" w:color="auto"/>
              <w:bottom w:val="single" w:sz="4" w:space="0" w:color="auto"/>
              <w:right w:val="nil"/>
            </w:tcBorders>
            <w:shd w:val="clear" w:color="FFFFFF" w:fill="FFFFFF"/>
            <w:vAlign w:val="bottom"/>
            <w:hideMark/>
          </w:tcPr>
          <w:p w:rsidR="003E6989" w:rsidRDefault="003E6989" w:rsidP="006A5410">
            <w:pPr>
              <w:spacing w:line="240" w:lineRule="auto"/>
              <w:rPr>
                <w:rFonts w:cs="Calibri"/>
                <w:sz w:val="16"/>
                <w:szCs w:val="16"/>
              </w:rPr>
            </w:pPr>
            <w:r>
              <w:rPr>
                <w:rFonts w:cs="Calibri"/>
                <w:sz w:val="16"/>
                <w:szCs w:val="16"/>
              </w:rPr>
              <w:t>Suppliers</w:t>
            </w:r>
          </w:p>
        </w:tc>
        <w:tc>
          <w:tcPr>
            <w:tcW w:w="954"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48,417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48,221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79,506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52,958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127,923</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101,179</w:t>
            </w:r>
          </w:p>
        </w:tc>
      </w:tr>
      <w:tr w:rsidR="003E6989" w:rsidTr="006A5410">
        <w:trPr>
          <w:trHeight w:val="57"/>
        </w:trPr>
        <w:tc>
          <w:tcPr>
            <w:tcW w:w="4020" w:type="dxa"/>
            <w:tcBorders>
              <w:top w:val="nil"/>
              <w:left w:val="single" w:sz="4" w:space="0" w:color="auto"/>
              <w:bottom w:val="single" w:sz="4" w:space="0" w:color="auto"/>
              <w:right w:val="nil"/>
            </w:tcBorders>
            <w:shd w:val="clear" w:color="FFFFFF" w:fill="FFFFFF"/>
            <w:vAlign w:val="bottom"/>
            <w:hideMark/>
          </w:tcPr>
          <w:p w:rsidR="003E6989" w:rsidRDefault="003E6989" w:rsidP="006A5410">
            <w:pPr>
              <w:spacing w:line="240" w:lineRule="auto"/>
              <w:rPr>
                <w:rFonts w:cs="Calibri"/>
                <w:sz w:val="16"/>
                <w:szCs w:val="16"/>
              </w:rPr>
            </w:pPr>
            <w:r>
              <w:rPr>
                <w:rFonts w:cs="Calibri"/>
                <w:sz w:val="16"/>
                <w:szCs w:val="16"/>
              </w:rPr>
              <w:t>Depreciation</w:t>
            </w:r>
          </w:p>
        </w:tc>
        <w:tc>
          <w:tcPr>
            <w:tcW w:w="954"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10,109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13,831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15,059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13,087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25,168</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26,918</w:t>
            </w:r>
          </w:p>
        </w:tc>
      </w:tr>
      <w:tr w:rsidR="003E6989" w:rsidTr="006A5410">
        <w:trPr>
          <w:trHeight w:val="57"/>
        </w:trPr>
        <w:tc>
          <w:tcPr>
            <w:tcW w:w="4020" w:type="dxa"/>
            <w:tcBorders>
              <w:top w:val="nil"/>
              <w:left w:val="single" w:sz="4" w:space="0" w:color="auto"/>
              <w:bottom w:val="single" w:sz="4" w:space="0" w:color="auto"/>
              <w:right w:val="nil"/>
            </w:tcBorders>
            <w:shd w:val="clear" w:color="FFFFFF" w:fill="FFFFFF"/>
            <w:vAlign w:val="bottom"/>
            <w:hideMark/>
          </w:tcPr>
          <w:p w:rsidR="003E6989" w:rsidRDefault="003E6989" w:rsidP="006A5410">
            <w:pPr>
              <w:spacing w:line="240" w:lineRule="auto"/>
              <w:rPr>
                <w:rFonts w:cs="Calibri"/>
                <w:sz w:val="16"/>
                <w:szCs w:val="16"/>
              </w:rPr>
            </w:pPr>
            <w:r>
              <w:rPr>
                <w:rFonts w:cs="Calibri"/>
                <w:sz w:val="16"/>
                <w:szCs w:val="16"/>
              </w:rPr>
              <w:t>Grants</w:t>
            </w:r>
          </w:p>
        </w:tc>
        <w:tc>
          <w:tcPr>
            <w:tcW w:w="954"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100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25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529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232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629</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257</w:t>
            </w:r>
          </w:p>
        </w:tc>
      </w:tr>
      <w:tr w:rsidR="003E6989" w:rsidTr="006A5410">
        <w:trPr>
          <w:trHeight w:val="57"/>
        </w:trPr>
        <w:tc>
          <w:tcPr>
            <w:tcW w:w="4020" w:type="dxa"/>
            <w:tcBorders>
              <w:top w:val="nil"/>
              <w:left w:val="single" w:sz="4" w:space="0" w:color="auto"/>
              <w:bottom w:val="single" w:sz="4" w:space="0" w:color="auto"/>
              <w:right w:val="nil"/>
            </w:tcBorders>
            <w:shd w:val="clear" w:color="FFFFFF" w:fill="FFFFFF"/>
            <w:vAlign w:val="bottom"/>
            <w:hideMark/>
          </w:tcPr>
          <w:p w:rsidR="003E6989" w:rsidRDefault="003E6989" w:rsidP="006A5410">
            <w:pPr>
              <w:spacing w:line="240" w:lineRule="auto"/>
              <w:rPr>
                <w:rFonts w:cs="Calibri"/>
                <w:sz w:val="16"/>
                <w:szCs w:val="16"/>
              </w:rPr>
            </w:pPr>
            <w:r>
              <w:rPr>
                <w:rFonts w:cs="Calibri"/>
                <w:sz w:val="16"/>
                <w:szCs w:val="16"/>
              </w:rPr>
              <w:t>Other</w:t>
            </w:r>
          </w:p>
        </w:tc>
        <w:tc>
          <w:tcPr>
            <w:tcW w:w="954"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217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264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2,791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2,653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3,008</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2,917</w:t>
            </w:r>
          </w:p>
        </w:tc>
      </w:tr>
      <w:tr w:rsidR="003E6989" w:rsidTr="006A5410">
        <w:trPr>
          <w:trHeight w:val="57"/>
        </w:trPr>
        <w:tc>
          <w:tcPr>
            <w:tcW w:w="4020" w:type="dxa"/>
            <w:tcBorders>
              <w:top w:val="nil"/>
              <w:left w:val="single" w:sz="4" w:space="0" w:color="auto"/>
              <w:bottom w:val="single" w:sz="4" w:space="0" w:color="auto"/>
              <w:right w:val="nil"/>
            </w:tcBorders>
            <w:shd w:val="clear" w:color="FFFFFF" w:fill="FFFFFF"/>
            <w:vAlign w:val="bottom"/>
            <w:hideMark/>
          </w:tcPr>
          <w:p w:rsidR="003E6989" w:rsidRDefault="003E6989" w:rsidP="006A5410">
            <w:pPr>
              <w:spacing w:line="240" w:lineRule="auto"/>
              <w:rPr>
                <w:rFonts w:cs="Calibri"/>
                <w:b/>
                <w:bCs/>
                <w:sz w:val="16"/>
                <w:szCs w:val="16"/>
              </w:rPr>
            </w:pPr>
            <w:r>
              <w:rPr>
                <w:rFonts w:cs="Calibri"/>
                <w:b/>
                <w:bCs/>
                <w:sz w:val="16"/>
                <w:szCs w:val="16"/>
              </w:rPr>
              <w:t>Total expenses</w:t>
            </w:r>
          </w:p>
        </w:tc>
        <w:tc>
          <w:tcPr>
            <w:tcW w:w="954"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147,253</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167,173</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225,305</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170,659</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rPr>
                <w:rFonts w:cs="Calibri"/>
                <w:sz w:val="16"/>
                <w:szCs w:val="16"/>
              </w:rPr>
            </w:pPr>
            <w:r>
              <w:rPr>
                <w:rFonts w:cs="Calibri"/>
                <w:sz w:val="16"/>
                <w:szCs w:val="16"/>
              </w:rPr>
              <w:t>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rPr>
                <w:rFonts w:cs="Calibri"/>
                <w:sz w:val="16"/>
                <w:szCs w:val="16"/>
              </w:rPr>
            </w:pPr>
            <w:r>
              <w:rPr>
                <w:rFonts w:cs="Calibri"/>
                <w:sz w:val="16"/>
                <w:szCs w:val="16"/>
              </w:rPr>
              <w:t>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372,558</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337,832</w:t>
            </w:r>
          </w:p>
        </w:tc>
      </w:tr>
      <w:tr w:rsidR="003E6989" w:rsidTr="006A5410">
        <w:trPr>
          <w:trHeight w:val="57"/>
        </w:trPr>
        <w:tc>
          <w:tcPr>
            <w:tcW w:w="13984" w:type="dxa"/>
            <w:gridSpan w:val="11"/>
            <w:tcBorders>
              <w:top w:val="single" w:sz="4" w:space="0" w:color="auto"/>
              <w:left w:val="single" w:sz="4" w:space="0" w:color="auto"/>
              <w:bottom w:val="single" w:sz="4" w:space="0" w:color="auto"/>
              <w:right w:val="nil"/>
            </w:tcBorders>
            <w:shd w:val="clear" w:color="FFFFFF" w:fill="FFFFFF"/>
            <w:vAlign w:val="bottom"/>
            <w:hideMark/>
          </w:tcPr>
          <w:p w:rsidR="003E6989" w:rsidRDefault="003E6989" w:rsidP="006A5410">
            <w:pPr>
              <w:spacing w:line="240" w:lineRule="auto"/>
              <w:rPr>
                <w:rFonts w:cs="Calibri"/>
                <w:b/>
                <w:bCs/>
                <w:sz w:val="16"/>
                <w:szCs w:val="16"/>
              </w:rPr>
            </w:pPr>
            <w:r>
              <w:rPr>
                <w:rFonts w:cs="Calibri"/>
                <w:b/>
                <w:bCs/>
                <w:sz w:val="16"/>
                <w:szCs w:val="16"/>
              </w:rPr>
              <w:t>Own-Source Income</w:t>
            </w:r>
          </w:p>
        </w:tc>
      </w:tr>
      <w:tr w:rsidR="003E6989" w:rsidTr="006A5410">
        <w:trPr>
          <w:trHeight w:val="57"/>
        </w:trPr>
        <w:tc>
          <w:tcPr>
            <w:tcW w:w="4020" w:type="dxa"/>
            <w:tcBorders>
              <w:top w:val="nil"/>
              <w:left w:val="single" w:sz="4" w:space="0" w:color="auto"/>
              <w:bottom w:val="single" w:sz="4" w:space="0" w:color="auto"/>
              <w:right w:val="nil"/>
            </w:tcBorders>
            <w:shd w:val="clear" w:color="FFFFFF" w:fill="FFFFFF"/>
            <w:vAlign w:val="bottom"/>
            <w:hideMark/>
          </w:tcPr>
          <w:p w:rsidR="003E6989" w:rsidRDefault="003E6989" w:rsidP="006A5410">
            <w:pPr>
              <w:spacing w:line="240" w:lineRule="auto"/>
              <w:rPr>
                <w:rFonts w:cs="Calibri"/>
                <w:sz w:val="16"/>
                <w:szCs w:val="16"/>
              </w:rPr>
            </w:pPr>
            <w:r>
              <w:rPr>
                <w:rFonts w:cs="Calibri"/>
                <w:sz w:val="16"/>
                <w:szCs w:val="16"/>
              </w:rPr>
              <w:t>Sale of goods and rendering of services</w:t>
            </w:r>
          </w:p>
        </w:tc>
        <w:tc>
          <w:tcPr>
            <w:tcW w:w="954"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10,540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13,846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19,196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16,539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29,736</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30,385</w:t>
            </w:r>
          </w:p>
        </w:tc>
      </w:tr>
      <w:tr w:rsidR="003E6989" w:rsidTr="006A5410">
        <w:trPr>
          <w:trHeight w:val="57"/>
        </w:trPr>
        <w:tc>
          <w:tcPr>
            <w:tcW w:w="4020" w:type="dxa"/>
            <w:tcBorders>
              <w:top w:val="nil"/>
              <w:left w:val="single" w:sz="4" w:space="0" w:color="auto"/>
              <w:bottom w:val="single" w:sz="4" w:space="0" w:color="auto"/>
              <w:right w:val="nil"/>
            </w:tcBorders>
            <w:shd w:val="clear" w:color="FFFFFF" w:fill="FFFFFF"/>
            <w:vAlign w:val="bottom"/>
            <w:hideMark/>
          </w:tcPr>
          <w:p w:rsidR="003E6989" w:rsidRDefault="003E6989" w:rsidP="006A5410">
            <w:pPr>
              <w:spacing w:line="240" w:lineRule="auto"/>
              <w:rPr>
                <w:rFonts w:cs="Calibri"/>
                <w:sz w:val="16"/>
                <w:szCs w:val="16"/>
              </w:rPr>
            </w:pPr>
            <w:r>
              <w:rPr>
                <w:rFonts w:cs="Calibri"/>
                <w:sz w:val="16"/>
                <w:szCs w:val="16"/>
              </w:rPr>
              <w:t>Income from government</w:t>
            </w:r>
          </w:p>
        </w:tc>
        <w:tc>
          <w:tcPr>
            <w:tcW w:w="954"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122,236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142,651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190,891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134,203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313,127</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276,854</w:t>
            </w:r>
          </w:p>
        </w:tc>
      </w:tr>
      <w:tr w:rsidR="003E6989" w:rsidTr="006A5410">
        <w:trPr>
          <w:trHeight w:val="57"/>
        </w:trPr>
        <w:tc>
          <w:tcPr>
            <w:tcW w:w="4020" w:type="dxa"/>
            <w:tcBorders>
              <w:top w:val="nil"/>
              <w:left w:val="single" w:sz="4" w:space="0" w:color="auto"/>
              <w:bottom w:val="single" w:sz="4" w:space="0" w:color="auto"/>
              <w:right w:val="nil"/>
            </w:tcBorders>
            <w:shd w:val="clear" w:color="FFFFFF" w:fill="FFFFFF"/>
            <w:vAlign w:val="bottom"/>
            <w:hideMark/>
          </w:tcPr>
          <w:p w:rsidR="003E6989" w:rsidRDefault="003E6989" w:rsidP="006A5410">
            <w:pPr>
              <w:spacing w:line="240" w:lineRule="auto"/>
              <w:rPr>
                <w:rFonts w:cs="Calibri"/>
                <w:sz w:val="16"/>
                <w:szCs w:val="16"/>
              </w:rPr>
            </w:pPr>
            <w:r>
              <w:rPr>
                <w:rFonts w:cs="Calibri"/>
                <w:sz w:val="16"/>
                <w:szCs w:val="16"/>
              </w:rPr>
              <w:t>Other</w:t>
            </w:r>
          </w:p>
        </w:tc>
        <w:tc>
          <w:tcPr>
            <w:tcW w:w="954"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1,684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1,390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6,956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5,608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8,640</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6,998</w:t>
            </w:r>
          </w:p>
        </w:tc>
      </w:tr>
      <w:tr w:rsidR="003E6989" w:rsidTr="006A5410">
        <w:trPr>
          <w:trHeight w:val="57"/>
        </w:trPr>
        <w:tc>
          <w:tcPr>
            <w:tcW w:w="4020" w:type="dxa"/>
            <w:tcBorders>
              <w:top w:val="nil"/>
              <w:left w:val="single" w:sz="4" w:space="0" w:color="auto"/>
              <w:bottom w:val="single" w:sz="4" w:space="0" w:color="auto"/>
              <w:right w:val="nil"/>
            </w:tcBorders>
            <w:shd w:val="clear" w:color="FFFFFF" w:fill="FFFFFF"/>
            <w:vAlign w:val="bottom"/>
            <w:hideMark/>
          </w:tcPr>
          <w:p w:rsidR="003E6989" w:rsidRDefault="003E6989" w:rsidP="006A5410">
            <w:pPr>
              <w:spacing w:line="240" w:lineRule="auto"/>
              <w:rPr>
                <w:rFonts w:cs="Calibri"/>
                <w:b/>
                <w:bCs/>
                <w:sz w:val="16"/>
                <w:szCs w:val="16"/>
              </w:rPr>
            </w:pPr>
            <w:r>
              <w:rPr>
                <w:rFonts w:cs="Calibri"/>
                <w:b/>
                <w:bCs/>
                <w:sz w:val="16"/>
                <w:szCs w:val="16"/>
              </w:rPr>
              <w:t>Total own-source income</w:t>
            </w:r>
          </w:p>
        </w:tc>
        <w:tc>
          <w:tcPr>
            <w:tcW w:w="954"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134,460</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157,887</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217,043</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156,350</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rPr>
                <w:rFonts w:cs="Calibri"/>
                <w:sz w:val="16"/>
                <w:szCs w:val="16"/>
              </w:rPr>
            </w:pPr>
            <w:r>
              <w:rPr>
                <w:rFonts w:cs="Calibri"/>
                <w:sz w:val="16"/>
                <w:szCs w:val="16"/>
              </w:rPr>
              <w:t>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rPr>
                <w:rFonts w:cs="Calibri"/>
                <w:sz w:val="16"/>
                <w:szCs w:val="16"/>
              </w:rPr>
            </w:pPr>
            <w:r>
              <w:rPr>
                <w:rFonts w:cs="Calibri"/>
                <w:sz w:val="16"/>
                <w:szCs w:val="16"/>
              </w:rPr>
              <w:t>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351,503</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314,237</w:t>
            </w:r>
          </w:p>
        </w:tc>
      </w:tr>
      <w:tr w:rsidR="003E6989" w:rsidTr="006A5410">
        <w:trPr>
          <w:trHeight w:val="57"/>
        </w:trPr>
        <w:tc>
          <w:tcPr>
            <w:tcW w:w="4020" w:type="dxa"/>
            <w:tcBorders>
              <w:top w:val="nil"/>
              <w:left w:val="single" w:sz="4" w:space="0" w:color="auto"/>
              <w:bottom w:val="single" w:sz="4" w:space="0" w:color="auto"/>
              <w:right w:val="nil"/>
            </w:tcBorders>
            <w:shd w:val="clear" w:color="FFFFFF" w:fill="FFFFFF"/>
            <w:vAlign w:val="bottom"/>
            <w:hideMark/>
          </w:tcPr>
          <w:p w:rsidR="003E6989" w:rsidRDefault="003E6989" w:rsidP="006A5410">
            <w:pPr>
              <w:spacing w:line="240" w:lineRule="auto"/>
              <w:rPr>
                <w:rFonts w:cs="Calibri"/>
                <w:b/>
                <w:bCs/>
                <w:sz w:val="16"/>
                <w:szCs w:val="16"/>
              </w:rPr>
            </w:pPr>
            <w:r>
              <w:rPr>
                <w:rFonts w:cs="Calibri"/>
                <w:b/>
                <w:bCs/>
                <w:sz w:val="16"/>
                <w:szCs w:val="16"/>
              </w:rPr>
              <w:t>Net cost/(contribution) of outcome delivery</w:t>
            </w:r>
          </w:p>
        </w:tc>
        <w:tc>
          <w:tcPr>
            <w:tcW w:w="954"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12,793</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9,286</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8,262</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14,309</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Cs w:val="18"/>
              </w:rPr>
            </w:pPr>
            <w:r>
              <w:rPr>
                <w:rFonts w:cs="Calibri"/>
                <w:szCs w:val="18"/>
              </w:rPr>
              <w:t>-</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Cs w:val="18"/>
              </w:rPr>
            </w:pPr>
            <w:r>
              <w:rPr>
                <w:rFonts w:cs="Calibri"/>
                <w:szCs w:val="18"/>
              </w:rPr>
              <w:t>-</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21,055</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23,595</w:t>
            </w:r>
          </w:p>
        </w:tc>
      </w:tr>
      <w:tr w:rsidR="003E6989" w:rsidTr="006A5410">
        <w:trPr>
          <w:trHeight w:val="57"/>
        </w:trPr>
        <w:tc>
          <w:tcPr>
            <w:tcW w:w="13984" w:type="dxa"/>
            <w:gridSpan w:val="11"/>
            <w:tcBorders>
              <w:top w:val="single" w:sz="4" w:space="0" w:color="auto"/>
              <w:left w:val="single" w:sz="4" w:space="0" w:color="auto"/>
              <w:bottom w:val="single" w:sz="4" w:space="0" w:color="auto"/>
              <w:right w:val="nil"/>
            </w:tcBorders>
            <w:shd w:val="clear" w:color="FFFFFF" w:fill="FFFFFF"/>
            <w:vAlign w:val="bottom"/>
            <w:hideMark/>
          </w:tcPr>
          <w:p w:rsidR="003E6989" w:rsidRDefault="003E6989" w:rsidP="006A5410">
            <w:pPr>
              <w:spacing w:line="240" w:lineRule="auto"/>
              <w:rPr>
                <w:rFonts w:cs="Calibri"/>
                <w:b/>
                <w:bCs/>
                <w:sz w:val="16"/>
                <w:szCs w:val="16"/>
              </w:rPr>
            </w:pPr>
            <w:r>
              <w:rPr>
                <w:rFonts w:cs="Calibri"/>
                <w:b/>
                <w:bCs/>
                <w:sz w:val="16"/>
                <w:szCs w:val="16"/>
              </w:rPr>
              <w:t>Assets</w:t>
            </w:r>
          </w:p>
        </w:tc>
      </w:tr>
      <w:tr w:rsidR="003E6989" w:rsidTr="006A5410">
        <w:trPr>
          <w:trHeight w:val="57"/>
        </w:trPr>
        <w:tc>
          <w:tcPr>
            <w:tcW w:w="4020" w:type="dxa"/>
            <w:tcBorders>
              <w:top w:val="nil"/>
              <w:left w:val="single" w:sz="4" w:space="0" w:color="auto"/>
              <w:bottom w:val="single" w:sz="4" w:space="0" w:color="auto"/>
              <w:right w:val="nil"/>
            </w:tcBorders>
            <w:shd w:val="clear" w:color="FFFFFF" w:fill="FFFFFF"/>
            <w:vAlign w:val="bottom"/>
            <w:hideMark/>
          </w:tcPr>
          <w:p w:rsidR="003E6989" w:rsidRDefault="003E6989" w:rsidP="006A5410">
            <w:pPr>
              <w:spacing w:line="240" w:lineRule="auto"/>
              <w:rPr>
                <w:rFonts w:cs="Calibri"/>
                <w:sz w:val="16"/>
                <w:szCs w:val="16"/>
              </w:rPr>
            </w:pPr>
            <w:r>
              <w:rPr>
                <w:rFonts w:cs="Calibri"/>
                <w:sz w:val="16"/>
                <w:szCs w:val="16"/>
              </w:rPr>
              <w:t>Cash and cash equivalents</w:t>
            </w:r>
          </w:p>
        </w:tc>
        <w:tc>
          <w:tcPr>
            <w:tcW w:w="954"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3,536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2,286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2,596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7,531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6,132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9,817 </w:t>
            </w:r>
          </w:p>
        </w:tc>
      </w:tr>
      <w:tr w:rsidR="003E6989" w:rsidTr="006A5410">
        <w:trPr>
          <w:trHeight w:val="57"/>
        </w:trPr>
        <w:tc>
          <w:tcPr>
            <w:tcW w:w="4020" w:type="dxa"/>
            <w:tcBorders>
              <w:top w:val="nil"/>
              <w:left w:val="single" w:sz="4" w:space="0" w:color="auto"/>
              <w:bottom w:val="single" w:sz="4" w:space="0" w:color="auto"/>
              <w:right w:val="nil"/>
            </w:tcBorders>
            <w:shd w:val="clear" w:color="FFFFFF" w:fill="FFFFFF"/>
            <w:vAlign w:val="bottom"/>
            <w:hideMark/>
          </w:tcPr>
          <w:p w:rsidR="003E6989" w:rsidRDefault="003E6989" w:rsidP="006A5410">
            <w:pPr>
              <w:spacing w:line="240" w:lineRule="auto"/>
              <w:rPr>
                <w:rFonts w:cs="Calibri"/>
                <w:sz w:val="16"/>
                <w:szCs w:val="16"/>
              </w:rPr>
            </w:pPr>
            <w:r>
              <w:rPr>
                <w:rFonts w:cs="Calibri"/>
                <w:sz w:val="16"/>
                <w:szCs w:val="16"/>
              </w:rPr>
              <w:t>Trade and other receivables</w:t>
            </w:r>
          </w:p>
        </w:tc>
        <w:tc>
          <w:tcPr>
            <w:tcW w:w="954"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38,449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16,031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46,796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35,798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85,245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51,829 </w:t>
            </w:r>
          </w:p>
        </w:tc>
      </w:tr>
      <w:tr w:rsidR="003E6989" w:rsidTr="006A5410">
        <w:trPr>
          <w:trHeight w:val="57"/>
        </w:trPr>
        <w:tc>
          <w:tcPr>
            <w:tcW w:w="4020" w:type="dxa"/>
            <w:tcBorders>
              <w:top w:val="nil"/>
              <w:left w:val="single" w:sz="4" w:space="0" w:color="auto"/>
              <w:bottom w:val="single" w:sz="4" w:space="0" w:color="auto"/>
              <w:right w:val="nil"/>
            </w:tcBorders>
            <w:shd w:val="clear" w:color="FFFFFF" w:fill="FFFFFF"/>
            <w:vAlign w:val="bottom"/>
            <w:hideMark/>
          </w:tcPr>
          <w:p w:rsidR="003E6989" w:rsidRDefault="003E6989" w:rsidP="006A5410">
            <w:pPr>
              <w:spacing w:line="240" w:lineRule="auto"/>
              <w:rPr>
                <w:rFonts w:cs="Calibri"/>
                <w:sz w:val="16"/>
                <w:szCs w:val="16"/>
              </w:rPr>
            </w:pPr>
            <w:r>
              <w:rPr>
                <w:rFonts w:cs="Calibri"/>
                <w:sz w:val="16"/>
                <w:szCs w:val="16"/>
              </w:rPr>
              <w:t>Other financial assets</w:t>
            </w:r>
          </w:p>
        </w:tc>
        <w:tc>
          <w:tcPr>
            <w:tcW w:w="954"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900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1,013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1,096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2,263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1,996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3,276 </w:t>
            </w:r>
          </w:p>
        </w:tc>
      </w:tr>
      <w:tr w:rsidR="003E6989" w:rsidTr="006A5410">
        <w:trPr>
          <w:trHeight w:val="57"/>
        </w:trPr>
        <w:tc>
          <w:tcPr>
            <w:tcW w:w="4020" w:type="dxa"/>
            <w:tcBorders>
              <w:top w:val="nil"/>
              <w:left w:val="single" w:sz="4" w:space="0" w:color="auto"/>
              <w:bottom w:val="single" w:sz="4" w:space="0" w:color="auto"/>
              <w:right w:val="nil"/>
            </w:tcBorders>
            <w:shd w:val="clear" w:color="FFFFFF" w:fill="FFFFFF"/>
            <w:vAlign w:val="bottom"/>
            <w:hideMark/>
          </w:tcPr>
          <w:p w:rsidR="003E6989" w:rsidRDefault="003E6989" w:rsidP="006A5410">
            <w:pPr>
              <w:spacing w:line="240" w:lineRule="auto"/>
              <w:rPr>
                <w:rFonts w:cs="Calibri"/>
                <w:sz w:val="16"/>
                <w:szCs w:val="16"/>
              </w:rPr>
            </w:pPr>
            <w:r>
              <w:rPr>
                <w:rFonts w:cs="Calibri"/>
                <w:sz w:val="16"/>
                <w:szCs w:val="16"/>
              </w:rPr>
              <w:t>Land and buildings</w:t>
            </w:r>
          </w:p>
        </w:tc>
        <w:tc>
          <w:tcPr>
            <w:tcW w:w="954"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16,750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13,027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20,387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29,091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37,137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42,118 </w:t>
            </w:r>
          </w:p>
        </w:tc>
      </w:tr>
      <w:tr w:rsidR="003E6989" w:rsidTr="006A5410">
        <w:trPr>
          <w:trHeight w:val="57"/>
        </w:trPr>
        <w:tc>
          <w:tcPr>
            <w:tcW w:w="4020" w:type="dxa"/>
            <w:tcBorders>
              <w:top w:val="nil"/>
              <w:left w:val="single" w:sz="4" w:space="0" w:color="auto"/>
              <w:bottom w:val="single" w:sz="4" w:space="0" w:color="auto"/>
              <w:right w:val="nil"/>
            </w:tcBorders>
            <w:shd w:val="clear" w:color="FFFFFF" w:fill="FFFFFF"/>
            <w:vAlign w:val="bottom"/>
            <w:hideMark/>
          </w:tcPr>
          <w:p w:rsidR="003E6989" w:rsidRDefault="003E6989" w:rsidP="006A5410">
            <w:pPr>
              <w:spacing w:line="240" w:lineRule="auto"/>
              <w:rPr>
                <w:rFonts w:cs="Calibri"/>
                <w:sz w:val="16"/>
                <w:szCs w:val="16"/>
              </w:rPr>
            </w:pPr>
            <w:r>
              <w:rPr>
                <w:rFonts w:cs="Calibri"/>
                <w:sz w:val="16"/>
                <w:szCs w:val="16"/>
              </w:rPr>
              <w:t>Infrastructure, plant and equipment</w:t>
            </w:r>
          </w:p>
        </w:tc>
        <w:tc>
          <w:tcPr>
            <w:tcW w:w="954"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5,710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3,504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6,949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7,823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12,659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11,327 </w:t>
            </w:r>
          </w:p>
        </w:tc>
      </w:tr>
      <w:tr w:rsidR="003E6989" w:rsidTr="006A5410">
        <w:trPr>
          <w:trHeight w:val="57"/>
        </w:trPr>
        <w:tc>
          <w:tcPr>
            <w:tcW w:w="4020" w:type="dxa"/>
            <w:tcBorders>
              <w:top w:val="nil"/>
              <w:left w:val="single" w:sz="4" w:space="0" w:color="auto"/>
              <w:bottom w:val="single" w:sz="4" w:space="0" w:color="auto"/>
              <w:right w:val="nil"/>
            </w:tcBorders>
            <w:shd w:val="clear" w:color="FFFFFF" w:fill="FFFFFF"/>
            <w:vAlign w:val="bottom"/>
            <w:hideMark/>
          </w:tcPr>
          <w:p w:rsidR="003E6989" w:rsidRDefault="003E6989" w:rsidP="006A5410">
            <w:pPr>
              <w:spacing w:line="240" w:lineRule="auto"/>
              <w:rPr>
                <w:rFonts w:cs="Calibri"/>
                <w:sz w:val="16"/>
                <w:szCs w:val="16"/>
              </w:rPr>
            </w:pPr>
            <w:r>
              <w:rPr>
                <w:rFonts w:cs="Calibri"/>
                <w:sz w:val="16"/>
                <w:szCs w:val="16"/>
              </w:rPr>
              <w:t>Intangibles</w:t>
            </w:r>
          </w:p>
        </w:tc>
        <w:tc>
          <w:tcPr>
            <w:tcW w:w="954"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31,653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28,157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43,936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42,246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75,589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70,403 </w:t>
            </w:r>
          </w:p>
        </w:tc>
      </w:tr>
      <w:tr w:rsidR="003E6989" w:rsidTr="006A5410">
        <w:trPr>
          <w:trHeight w:val="57"/>
        </w:trPr>
        <w:tc>
          <w:tcPr>
            <w:tcW w:w="4020" w:type="dxa"/>
            <w:tcBorders>
              <w:top w:val="nil"/>
              <w:left w:val="single" w:sz="4" w:space="0" w:color="auto"/>
              <w:bottom w:val="single" w:sz="4" w:space="0" w:color="auto"/>
              <w:right w:val="nil"/>
            </w:tcBorders>
            <w:shd w:val="clear" w:color="FFFFFF" w:fill="FFFFFF"/>
            <w:vAlign w:val="bottom"/>
            <w:hideMark/>
          </w:tcPr>
          <w:p w:rsidR="003E6989" w:rsidRDefault="003E6989" w:rsidP="006A5410">
            <w:pPr>
              <w:spacing w:line="240" w:lineRule="auto"/>
              <w:rPr>
                <w:rFonts w:cs="Calibri"/>
                <w:sz w:val="16"/>
                <w:szCs w:val="16"/>
              </w:rPr>
            </w:pPr>
            <w:r>
              <w:rPr>
                <w:rFonts w:cs="Calibri"/>
                <w:sz w:val="16"/>
                <w:szCs w:val="16"/>
              </w:rPr>
              <w:t>Other non-financial assets</w:t>
            </w:r>
          </w:p>
        </w:tc>
        <w:tc>
          <w:tcPr>
            <w:tcW w:w="954" w:type="dxa"/>
            <w:tcBorders>
              <w:top w:val="nil"/>
              <w:left w:val="single" w:sz="4" w:space="0" w:color="auto"/>
              <w:bottom w:val="single" w:sz="4" w:space="0" w:color="auto"/>
              <w:right w:val="single" w:sz="4" w:space="0" w:color="auto"/>
            </w:tcBorders>
            <w:shd w:val="clear" w:color="FFFFFF" w:fill="FFFFFF"/>
            <w:noWrap/>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4,567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3,318 </w:t>
            </w:r>
          </w:p>
        </w:tc>
        <w:tc>
          <w:tcPr>
            <w:tcW w:w="953" w:type="dxa"/>
            <w:tcBorders>
              <w:top w:val="nil"/>
              <w:left w:val="nil"/>
              <w:bottom w:val="single" w:sz="4" w:space="0" w:color="auto"/>
              <w:right w:val="single" w:sz="4" w:space="0" w:color="auto"/>
            </w:tcBorders>
            <w:shd w:val="clear" w:color="FFFFFF" w:fill="FFFFFF"/>
            <w:noWrap/>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5,559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7,410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10,126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10,728 </w:t>
            </w:r>
          </w:p>
        </w:tc>
      </w:tr>
      <w:tr w:rsidR="003E6989" w:rsidTr="006A5410">
        <w:trPr>
          <w:trHeight w:val="57"/>
        </w:trPr>
        <w:tc>
          <w:tcPr>
            <w:tcW w:w="4020" w:type="dxa"/>
            <w:tcBorders>
              <w:top w:val="nil"/>
              <w:left w:val="single" w:sz="4" w:space="0" w:color="auto"/>
              <w:bottom w:val="single" w:sz="4" w:space="0" w:color="auto"/>
              <w:right w:val="nil"/>
            </w:tcBorders>
            <w:shd w:val="clear" w:color="FFFFFF" w:fill="FFFFFF"/>
            <w:vAlign w:val="bottom"/>
            <w:hideMark/>
          </w:tcPr>
          <w:p w:rsidR="003E6989" w:rsidRDefault="003E6989" w:rsidP="006A5410">
            <w:pPr>
              <w:spacing w:line="240" w:lineRule="auto"/>
              <w:rPr>
                <w:rFonts w:cs="Calibri"/>
                <w:b/>
                <w:bCs/>
                <w:sz w:val="16"/>
                <w:szCs w:val="16"/>
              </w:rPr>
            </w:pPr>
            <w:r>
              <w:rPr>
                <w:rFonts w:cs="Calibri"/>
                <w:b/>
                <w:bCs/>
                <w:sz w:val="16"/>
                <w:szCs w:val="16"/>
              </w:rPr>
              <w:t>Total assets</w:t>
            </w:r>
          </w:p>
        </w:tc>
        <w:tc>
          <w:tcPr>
            <w:tcW w:w="954"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98,029</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65,050</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128,259</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126,917</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rPr>
                <w:rFonts w:cs="Calibri"/>
                <w:sz w:val="16"/>
                <w:szCs w:val="16"/>
              </w:rPr>
            </w:pPr>
            <w:r>
              <w:rPr>
                <w:rFonts w:cs="Calibri"/>
                <w:sz w:val="16"/>
                <w:szCs w:val="16"/>
              </w:rPr>
              <w:t>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rPr>
                <w:rFonts w:cs="Calibri"/>
                <w:sz w:val="16"/>
                <w:szCs w:val="16"/>
              </w:rPr>
            </w:pPr>
            <w:r>
              <w:rPr>
                <w:rFonts w:cs="Calibri"/>
                <w:sz w:val="16"/>
                <w:szCs w:val="16"/>
              </w:rPr>
              <w:t>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2,596</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7,531</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228,884</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199,498</w:t>
            </w:r>
          </w:p>
        </w:tc>
      </w:tr>
      <w:tr w:rsidR="003E6989" w:rsidTr="006A5410">
        <w:trPr>
          <w:trHeight w:val="57"/>
        </w:trPr>
        <w:tc>
          <w:tcPr>
            <w:tcW w:w="13984" w:type="dxa"/>
            <w:gridSpan w:val="11"/>
            <w:tcBorders>
              <w:top w:val="single" w:sz="4" w:space="0" w:color="auto"/>
              <w:left w:val="single" w:sz="4" w:space="0" w:color="auto"/>
              <w:bottom w:val="single" w:sz="4" w:space="0" w:color="auto"/>
              <w:right w:val="nil"/>
            </w:tcBorders>
            <w:shd w:val="clear" w:color="FFFFFF" w:fill="FFFFFF"/>
            <w:vAlign w:val="bottom"/>
            <w:hideMark/>
          </w:tcPr>
          <w:p w:rsidR="003E6989" w:rsidRDefault="003E6989" w:rsidP="006A5410">
            <w:pPr>
              <w:spacing w:line="240" w:lineRule="auto"/>
              <w:rPr>
                <w:rFonts w:cs="Calibri"/>
                <w:b/>
                <w:bCs/>
                <w:sz w:val="16"/>
                <w:szCs w:val="16"/>
              </w:rPr>
            </w:pPr>
            <w:r>
              <w:rPr>
                <w:rFonts w:cs="Calibri"/>
                <w:b/>
                <w:bCs/>
                <w:sz w:val="16"/>
                <w:szCs w:val="16"/>
              </w:rPr>
              <w:t>Liabilities</w:t>
            </w:r>
          </w:p>
        </w:tc>
      </w:tr>
      <w:tr w:rsidR="003E6989" w:rsidTr="006A5410">
        <w:trPr>
          <w:trHeight w:val="57"/>
        </w:trPr>
        <w:tc>
          <w:tcPr>
            <w:tcW w:w="4020" w:type="dxa"/>
            <w:tcBorders>
              <w:top w:val="nil"/>
              <w:left w:val="single" w:sz="4" w:space="0" w:color="auto"/>
              <w:bottom w:val="single" w:sz="4" w:space="0" w:color="auto"/>
              <w:right w:val="nil"/>
            </w:tcBorders>
            <w:shd w:val="clear" w:color="FFFFFF" w:fill="FFFFFF"/>
            <w:vAlign w:val="bottom"/>
            <w:hideMark/>
          </w:tcPr>
          <w:p w:rsidR="003E6989" w:rsidRDefault="003E6989" w:rsidP="006A5410">
            <w:pPr>
              <w:spacing w:line="240" w:lineRule="auto"/>
              <w:rPr>
                <w:rFonts w:cs="Calibri"/>
                <w:sz w:val="16"/>
                <w:szCs w:val="16"/>
              </w:rPr>
            </w:pPr>
            <w:r>
              <w:rPr>
                <w:rFonts w:cs="Calibri"/>
                <w:sz w:val="16"/>
                <w:szCs w:val="16"/>
              </w:rPr>
              <w:t>Suppliers</w:t>
            </w:r>
          </w:p>
        </w:tc>
        <w:tc>
          <w:tcPr>
            <w:tcW w:w="954"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14,281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7,267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17,382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16,228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31,663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23,495 </w:t>
            </w:r>
          </w:p>
        </w:tc>
      </w:tr>
      <w:tr w:rsidR="003E6989" w:rsidTr="006A5410">
        <w:trPr>
          <w:trHeight w:val="57"/>
        </w:trPr>
        <w:tc>
          <w:tcPr>
            <w:tcW w:w="4020" w:type="dxa"/>
            <w:tcBorders>
              <w:top w:val="nil"/>
              <w:left w:val="single" w:sz="4" w:space="0" w:color="auto"/>
              <w:bottom w:val="single" w:sz="4" w:space="0" w:color="auto"/>
              <w:right w:val="nil"/>
            </w:tcBorders>
            <w:shd w:val="clear" w:color="FFFFFF" w:fill="FFFFFF"/>
            <w:vAlign w:val="bottom"/>
            <w:hideMark/>
          </w:tcPr>
          <w:p w:rsidR="003E6989" w:rsidRDefault="003E6989" w:rsidP="006A5410">
            <w:pPr>
              <w:spacing w:line="240" w:lineRule="auto"/>
              <w:rPr>
                <w:rFonts w:cs="Calibri"/>
                <w:sz w:val="16"/>
                <w:szCs w:val="16"/>
              </w:rPr>
            </w:pPr>
            <w:r>
              <w:rPr>
                <w:rFonts w:cs="Calibri"/>
                <w:sz w:val="16"/>
                <w:szCs w:val="16"/>
              </w:rPr>
              <w:t>Other payables</w:t>
            </w:r>
          </w:p>
        </w:tc>
        <w:tc>
          <w:tcPr>
            <w:tcW w:w="954"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9,169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8,958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11,160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20,005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20,329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28,963 </w:t>
            </w:r>
          </w:p>
        </w:tc>
      </w:tr>
      <w:tr w:rsidR="003E6989" w:rsidTr="006A5410">
        <w:trPr>
          <w:trHeight w:val="57"/>
        </w:trPr>
        <w:tc>
          <w:tcPr>
            <w:tcW w:w="4020" w:type="dxa"/>
            <w:tcBorders>
              <w:top w:val="nil"/>
              <w:left w:val="single" w:sz="4" w:space="0" w:color="auto"/>
              <w:bottom w:val="single" w:sz="4" w:space="0" w:color="auto"/>
              <w:right w:val="nil"/>
            </w:tcBorders>
            <w:shd w:val="clear" w:color="FFFFFF" w:fill="FFFFFF"/>
            <w:vAlign w:val="bottom"/>
            <w:hideMark/>
          </w:tcPr>
          <w:p w:rsidR="003E6989" w:rsidRDefault="003E6989" w:rsidP="006A5410">
            <w:pPr>
              <w:spacing w:line="240" w:lineRule="auto"/>
              <w:rPr>
                <w:rFonts w:cs="Calibri"/>
                <w:sz w:val="16"/>
                <w:szCs w:val="16"/>
              </w:rPr>
            </w:pPr>
            <w:r>
              <w:rPr>
                <w:rFonts w:cs="Calibri"/>
                <w:sz w:val="16"/>
                <w:szCs w:val="16"/>
              </w:rPr>
              <w:t>Employee provisions</w:t>
            </w:r>
          </w:p>
        </w:tc>
        <w:tc>
          <w:tcPr>
            <w:tcW w:w="954"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32,102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16,943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39,071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37,835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71,173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54,778 </w:t>
            </w:r>
          </w:p>
        </w:tc>
      </w:tr>
      <w:tr w:rsidR="003E6989" w:rsidTr="006A5410">
        <w:trPr>
          <w:trHeight w:val="57"/>
        </w:trPr>
        <w:tc>
          <w:tcPr>
            <w:tcW w:w="4020" w:type="dxa"/>
            <w:tcBorders>
              <w:top w:val="nil"/>
              <w:left w:val="single" w:sz="4" w:space="0" w:color="auto"/>
              <w:bottom w:val="single" w:sz="4" w:space="0" w:color="auto"/>
              <w:right w:val="nil"/>
            </w:tcBorders>
            <w:shd w:val="clear" w:color="FFFFFF" w:fill="FFFFFF"/>
            <w:vAlign w:val="bottom"/>
            <w:hideMark/>
          </w:tcPr>
          <w:p w:rsidR="003E6989" w:rsidRDefault="003E6989" w:rsidP="006A5410">
            <w:pPr>
              <w:spacing w:line="240" w:lineRule="auto"/>
              <w:rPr>
                <w:rFonts w:cs="Calibri"/>
                <w:sz w:val="16"/>
                <w:szCs w:val="16"/>
              </w:rPr>
            </w:pPr>
            <w:r>
              <w:rPr>
                <w:rFonts w:cs="Calibri"/>
                <w:sz w:val="16"/>
                <w:szCs w:val="16"/>
              </w:rPr>
              <w:t>Other provisions</w:t>
            </w:r>
          </w:p>
        </w:tc>
        <w:tc>
          <w:tcPr>
            <w:tcW w:w="954" w:type="dxa"/>
            <w:tcBorders>
              <w:top w:val="nil"/>
              <w:left w:val="single" w:sz="4" w:space="0" w:color="auto"/>
              <w:bottom w:val="single" w:sz="4" w:space="0" w:color="auto"/>
              <w:right w:val="single" w:sz="4" w:space="0" w:color="auto"/>
            </w:tcBorders>
            <w:shd w:val="clear" w:color="FFFFFF" w:fill="FFFFFF"/>
            <w:noWrap/>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784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961 </w:t>
            </w:r>
          </w:p>
        </w:tc>
        <w:tc>
          <w:tcPr>
            <w:tcW w:w="953" w:type="dxa"/>
            <w:tcBorders>
              <w:top w:val="nil"/>
              <w:left w:val="nil"/>
              <w:bottom w:val="single" w:sz="4" w:space="0" w:color="auto"/>
              <w:right w:val="single" w:sz="4" w:space="0" w:color="auto"/>
            </w:tcBorders>
            <w:shd w:val="clear" w:color="FFFFFF" w:fill="FFFFFF"/>
            <w:noWrap/>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955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2,145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 xml:space="preserve">1,739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 xml:space="preserve">3,106 </w:t>
            </w:r>
          </w:p>
        </w:tc>
      </w:tr>
      <w:tr w:rsidR="003E6989" w:rsidTr="006A5410">
        <w:trPr>
          <w:trHeight w:val="57"/>
        </w:trPr>
        <w:tc>
          <w:tcPr>
            <w:tcW w:w="4020" w:type="dxa"/>
            <w:tcBorders>
              <w:top w:val="nil"/>
              <w:left w:val="single" w:sz="4" w:space="0" w:color="auto"/>
              <w:bottom w:val="single" w:sz="4" w:space="0" w:color="auto"/>
              <w:right w:val="nil"/>
            </w:tcBorders>
            <w:shd w:val="clear" w:color="FFFFFF" w:fill="FFFFFF"/>
            <w:vAlign w:val="bottom"/>
            <w:hideMark/>
          </w:tcPr>
          <w:p w:rsidR="003E6989" w:rsidRDefault="003E6989" w:rsidP="006A5410">
            <w:pPr>
              <w:spacing w:line="240" w:lineRule="auto"/>
              <w:rPr>
                <w:rFonts w:cs="Calibri"/>
                <w:b/>
                <w:bCs/>
                <w:sz w:val="16"/>
                <w:szCs w:val="16"/>
              </w:rPr>
            </w:pPr>
            <w:r>
              <w:rPr>
                <w:rFonts w:cs="Calibri"/>
                <w:b/>
                <w:bCs/>
                <w:sz w:val="16"/>
                <w:szCs w:val="16"/>
              </w:rPr>
              <w:t>Total liabilities</w:t>
            </w:r>
          </w:p>
        </w:tc>
        <w:tc>
          <w:tcPr>
            <w:tcW w:w="954" w:type="dxa"/>
            <w:tcBorders>
              <w:top w:val="nil"/>
              <w:left w:val="single" w:sz="4" w:space="0" w:color="auto"/>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56,336</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34,129</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68,568</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76,213</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rPr>
                <w:rFonts w:cs="Calibri"/>
                <w:sz w:val="16"/>
                <w:szCs w:val="16"/>
              </w:rPr>
            </w:pPr>
            <w:r>
              <w:rPr>
                <w:rFonts w:cs="Calibri"/>
                <w:sz w:val="16"/>
                <w:szCs w:val="16"/>
              </w:rPr>
              <w:t> </w:t>
            </w:r>
          </w:p>
        </w:tc>
        <w:tc>
          <w:tcPr>
            <w:tcW w:w="1167"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rPr>
                <w:rFonts w:cs="Calibri"/>
                <w:sz w:val="16"/>
                <w:szCs w:val="16"/>
              </w:rPr>
            </w:pPr>
            <w:r>
              <w:rPr>
                <w:rFonts w:cs="Calibri"/>
                <w:sz w:val="16"/>
                <w:szCs w:val="16"/>
              </w:rPr>
              <w:t> </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w:t>
            </w:r>
          </w:p>
        </w:tc>
        <w:tc>
          <w:tcPr>
            <w:tcW w:w="953"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b/>
                <w:bCs/>
                <w:sz w:val="16"/>
                <w:szCs w:val="16"/>
              </w:rPr>
            </w:pPr>
            <w:r>
              <w:rPr>
                <w:rFonts w:cs="Calibri"/>
                <w:b/>
                <w:bCs/>
                <w:sz w:val="16"/>
                <w:szCs w:val="16"/>
              </w:rPr>
              <w:t>124,904</w:t>
            </w:r>
          </w:p>
        </w:tc>
        <w:tc>
          <w:tcPr>
            <w:tcW w:w="954" w:type="dxa"/>
            <w:tcBorders>
              <w:top w:val="nil"/>
              <w:left w:val="nil"/>
              <w:bottom w:val="single" w:sz="4" w:space="0" w:color="auto"/>
              <w:right w:val="single" w:sz="4" w:space="0" w:color="auto"/>
            </w:tcBorders>
            <w:shd w:val="clear" w:color="FFFFFF" w:fill="FFFFFF"/>
            <w:noWrap/>
            <w:vAlign w:val="bottom"/>
            <w:hideMark/>
          </w:tcPr>
          <w:p w:rsidR="003E6989" w:rsidRDefault="003E6989" w:rsidP="006A5410">
            <w:pPr>
              <w:spacing w:line="240" w:lineRule="auto"/>
              <w:ind w:right="84"/>
              <w:jc w:val="right"/>
              <w:rPr>
                <w:rFonts w:cs="Calibri"/>
                <w:sz w:val="16"/>
                <w:szCs w:val="16"/>
              </w:rPr>
            </w:pPr>
            <w:r>
              <w:rPr>
                <w:rFonts w:cs="Calibri"/>
                <w:sz w:val="16"/>
                <w:szCs w:val="16"/>
              </w:rPr>
              <w:t>110,342</w:t>
            </w:r>
          </w:p>
        </w:tc>
      </w:tr>
    </w:tbl>
    <w:p w:rsidR="003E6989" w:rsidRDefault="003E6989" w:rsidP="003E6989">
      <w:pPr>
        <w:pStyle w:val="AdminBlankGreyShade"/>
        <w:rPr>
          <w:vertAlign w:val="superscript"/>
        </w:rPr>
      </w:pPr>
      <w:bookmarkStart w:id="827" w:name="RANGE!D34:P67"/>
      <w:bookmarkEnd w:id="827"/>
    </w:p>
    <w:p w:rsidR="003E6989" w:rsidRDefault="003E6989" w:rsidP="003E6989">
      <w:pPr>
        <w:pStyle w:val="AdminBlankGreyShade"/>
      </w:pPr>
      <w:r w:rsidRPr="000F62A2">
        <w:rPr>
          <w:vertAlign w:val="superscript"/>
        </w:rPr>
        <w:t>1</w:t>
      </w:r>
      <w:r>
        <w:t xml:space="preserve"> Assets and liabilities that could not be reliably attributed to outcomes.</w:t>
      </w:r>
    </w:p>
    <w:p w:rsidR="001F2C80" w:rsidRDefault="001F2C80">
      <w:pPr>
        <w:spacing w:line="240" w:lineRule="auto"/>
        <w:rPr>
          <w:rFonts w:asciiTheme="minorHAnsi" w:hAnsiTheme="minorHAnsi" w:cstheme="minorHAnsi"/>
          <w:szCs w:val="18"/>
          <w:lang w:eastAsia="en-AU"/>
        </w:rPr>
      </w:pPr>
      <w:bookmarkStart w:id="828" w:name="RANGE!D45:L77"/>
      <w:bookmarkStart w:id="829" w:name="RANGE!D46:L79"/>
      <w:bookmarkEnd w:id="828"/>
      <w:bookmarkEnd w:id="829"/>
      <w:r>
        <w:br w:type="page"/>
      </w:r>
    </w:p>
    <w:tbl>
      <w:tblPr>
        <w:tblW w:w="13991" w:type="dxa"/>
        <w:tblInd w:w="80" w:type="dxa"/>
        <w:tblLayout w:type="fixed"/>
        <w:tblCellMar>
          <w:left w:w="57" w:type="dxa"/>
          <w:right w:w="57" w:type="dxa"/>
        </w:tblCellMar>
        <w:tblLook w:val="04A0" w:firstRow="1" w:lastRow="0" w:firstColumn="1" w:lastColumn="0" w:noHBand="0" w:noVBand="1"/>
      </w:tblPr>
      <w:tblGrid>
        <w:gridCol w:w="4018"/>
        <w:gridCol w:w="953"/>
        <w:gridCol w:w="954"/>
        <w:gridCol w:w="955"/>
        <w:gridCol w:w="955"/>
        <w:gridCol w:w="1168"/>
        <w:gridCol w:w="1169"/>
        <w:gridCol w:w="954"/>
        <w:gridCol w:w="955"/>
        <w:gridCol w:w="955"/>
        <w:gridCol w:w="955"/>
      </w:tblGrid>
      <w:tr w:rsidR="003E6989" w:rsidTr="001F2C80">
        <w:trPr>
          <w:trHeight w:val="57"/>
        </w:trPr>
        <w:tc>
          <w:tcPr>
            <w:tcW w:w="4018" w:type="dxa"/>
            <w:vMerge w:val="restart"/>
            <w:tcBorders>
              <w:top w:val="single" w:sz="4" w:space="0" w:color="auto"/>
              <w:left w:val="single" w:sz="4" w:space="0" w:color="auto"/>
              <w:bottom w:val="single" w:sz="4" w:space="0" w:color="000000"/>
              <w:right w:val="single" w:sz="4" w:space="0" w:color="auto"/>
            </w:tcBorders>
            <w:shd w:val="clear" w:color="000000" w:fill="D9D9D9"/>
            <w:vAlign w:val="bottom"/>
            <w:hideMark/>
          </w:tcPr>
          <w:p w:rsidR="003E6989" w:rsidRDefault="003E6989" w:rsidP="006A5410">
            <w:pPr>
              <w:spacing w:line="240" w:lineRule="auto"/>
              <w:jc w:val="center"/>
              <w:rPr>
                <w:rFonts w:cs="Calibri"/>
                <w:b/>
                <w:bCs/>
                <w:sz w:val="16"/>
                <w:szCs w:val="16"/>
              </w:rPr>
            </w:pPr>
            <w:bookmarkStart w:id="830" w:name="Note_ROOTABLE3" w:colFirst="0" w:colLast="0"/>
            <w:r>
              <w:rPr>
                <w:rFonts w:cs="Calibri"/>
                <w:b/>
                <w:bCs/>
                <w:sz w:val="16"/>
                <w:szCs w:val="16"/>
              </w:rPr>
              <w:t> </w:t>
            </w:r>
          </w:p>
        </w:tc>
        <w:tc>
          <w:tcPr>
            <w:tcW w:w="1907" w:type="dxa"/>
            <w:gridSpan w:val="2"/>
            <w:tcBorders>
              <w:top w:val="single" w:sz="4" w:space="0" w:color="auto"/>
              <w:left w:val="nil"/>
              <w:bottom w:val="single" w:sz="4" w:space="0" w:color="auto"/>
              <w:right w:val="single" w:sz="4" w:space="0" w:color="000000"/>
            </w:tcBorders>
            <w:shd w:val="clear" w:color="000000" w:fill="D9D9D9"/>
            <w:vAlign w:val="bottom"/>
            <w:hideMark/>
          </w:tcPr>
          <w:p w:rsidR="003E6989" w:rsidRDefault="003E6989" w:rsidP="006A5410">
            <w:pPr>
              <w:spacing w:line="240" w:lineRule="auto"/>
              <w:jc w:val="center"/>
              <w:rPr>
                <w:rFonts w:cs="Calibri"/>
                <w:b/>
                <w:bCs/>
                <w:sz w:val="16"/>
                <w:szCs w:val="16"/>
              </w:rPr>
            </w:pPr>
            <w:r>
              <w:rPr>
                <w:rFonts w:cs="Calibri"/>
                <w:b/>
                <w:bCs/>
                <w:sz w:val="16"/>
                <w:szCs w:val="16"/>
              </w:rPr>
              <w:t>Outcome 1</w:t>
            </w:r>
          </w:p>
        </w:tc>
        <w:tc>
          <w:tcPr>
            <w:tcW w:w="1910" w:type="dxa"/>
            <w:gridSpan w:val="2"/>
            <w:tcBorders>
              <w:top w:val="single" w:sz="4" w:space="0" w:color="auto"/>
              <w:left w:val="nil"/>
              <w:bottom w:val="single" w:sz="4" w:space="0" w:color="auto"/>
              <w:right w:val="nil"/>
            </w:tcBorders>
            <w:shd w:val="clear" w:color="000000" w:fill="D9D9D9"/>
            <w:vAlign w:val="bottom"/>
            <w:hideMark/>
          </w:tcPr>
          <w:p w:rsidR="003E6989" w:rsidRDefault="003E6989" w:rsidP="006A5410">
            <w:pPr>
              <w:spacing w:line="240" w:lineRule="auto"/>
              <w:jc w:val="center"/>
              <w:rPr>
                <w:rFonts w:cs="Calibri"/>
                <w:b/>
                <w:bCs/>
                <w:sz w:val="16"/>
                <w:szCs w:val="16"/>
              </w:rPr>
            </w:pPr>
            <w:r>
              <w:rPr>
                <w:rFonts w:cs="Calibri"/>
                <w:b/>
                <w:bCs/>
                <w:sz w:val="16"/>
                <w:szCs w:val="16"/>
              </w:rPr>
              <w:t>Outcome 2</w:t>
            </w:r>
          </w:p>
        </w:tc>
        <w:tc>
          <w:tcPr>
            <w:tcW w:w="2337" w:type="dxa"/>
            <w:gridSpan w:val="2"/>
            <w:tcBorders>
              <w:top w:val="single" w:sz="4" w:space="0" w:color="auto"/>
              <w:left w:val="nil"/>
              <w:bottom w:val="single" w:sz="4" w:space="0" w:color="auto"/>
              <w:right w:val="nil"/>
            </w:tcBorders>
            <w:shd w:val="clear" w:color="000000" w:fill="D9D9D9"/>
            <w:vAlign w:val="bottom"/>
            <w:hideMark/>
          </w:tcPr>
          <w:p w:rsidR="003E6989" w:rsidRDefault="003E6989" w:rsidP="006A5410">
            <w:pPr>
              <w:spacing w:line="240" w:lineRule="auto"/>
              <w:jc w:val="center"/>
              <w:rPr>
                <w:rFonts w:cs="Calibri"/>
                <w:b/>
                <w:bCs/>
                <w:sz w:val="16"/>
                <w:szCs w:val="16"/>
              </w:rPr>
            </w:pPr>
            <w:r>
              <w:rPr>
                <w:rFonts w:cs="Calibri"/>
                <w:b/>
                <w:bCs/>
                <w:sz w:val="16"/>
                <w:szCs w:val="16"/>
              </w:rPr>
              <w:t>Payment to Corporate Commonwealth Entities</w:t>
            </w:r>
          </w:p>
        </w:tc>
        <w:tc>
          <w:tcPr>
            <w:tcW w:w="1909" w:type="dxa"/>
            <w:gridSpan w:val="2"/>
            <w:tcBorders>
              <w:top w:val="single" w:sz="4" w:space="0" w:color="auto"/>
              <w:left w:val="single" w:sz="4" w:space="0" w:color="auto"/>
              <w:bottom w:val="single" w:sz="4" w:space="0" w:color="auto"/>
              <w:right w:val="single" w:sz="4" w:space="0" w:color="000000"/>
            </w:tcBorders>
            <w:shd w:val="clear" w:color="000000" w:fill="D9D9D9"/>
            <w:vAlign w:val="bottom"/>
            <w:hideMark/>
          </w:tcPr>
          <w:p w:rsidR="003E6989" w:rsidRDefault="003E6989" w:rsidP="006A5410">
            <w:pPr>
              <w:spacing w:line="240" w:lineRule="auto"/>
              <w:jc w:val="center"/>
              <w:rPr>
                <w:rFonts w:cs="Calibri"/>
                <w:b/>
                <w:bCs/>
                <w:sz w:val="16"/>
                <w:szCs w:val="16"/>
              </w:rPr>
            </w:pPr>
            <w:r>
              <w:rPr>
                <w:rFonts w:cs="Calibri"/>
                <w:b/>
                <w:bCs/>
                <w:sz w:val="16"/>
                <w:szCs w:val="16"/>
              </w:rPr>
              <w:t>Not attributed</w:t>
            </w:r>
          </w:p>
        </w:tc>
        <w:tc>
          <w:tcPr>
            <w:tcW w:w="1910" w:type="dxa"/>
            <w:gridSpan w:val="2"/>
            <w:tcBorders>
              <w:top w:val="single" w:sz="4" w:space="0" w:color="auto"/>
              <w:left w:val="nil"/>
              <w:bottom w:val="single" w:sz="4" w:space="0" w:color="auto"/>
              <w:right w:val="single" w:sz="4" w:space="0" w:color="000000"/>
            </w:tcBorders>
            <w:shd w:val="clear" w:color="000000" w:fill="D9D9D9"/>
            <w:vAlign w:val="bottom"/>
            <w:hideMark/>
          </w:tcPr>
          <w:p w:rsidR="003E6989" w:rsidRDefault="003E6989" w:rsidP="006A5410">
            <w:pPr>
              <w:spacing w:line="240" w:lineRule="auto"/>
              <w:jc w:val="center"/>
              <w:rPr>
                <w:rFonts w:cs="Calibri"/>
                <w:b/>
                <w:bCs/>
                <w:sz w:val="16"/>
                <w:szCs w:val="16"/>
              </w:rPr>
            </w:pPr>
            <w:r>
              <w:rPr>
                <w:rFonts w:cs="Calibri"/>
                <w:b/>
                <w:bCs/>
                <w:sz w:val="16"/>
                <w:szCs w:val="16"/>
              </w:rPr>
              <w:t>Total</w:t>
            </w:r>
          </w:p>
        </w:tc>
      </w:tr>
      <w:bookmarkEnd w:id="830"/>
      <w:tr w:rsidR="003E6989" w:rsidTr="001F2C80">
        <w:trPr>
          <w:trHeight w:val="57"/>
        </w:trPr>
        <w:tc>
          <w:tcPr>
            <w:tcW w:w="4018" w:type="dxa"/>
            <w:vMerge/>
            <w:tcBorders>
              <w:top w:val="single" w:sz="4" w:space="0" w:color="auto"/>
              <w:left w:val="single" w:sz="4" w:space="0" w:color="auto"/>
              <w:bottom w:val="single" w:sz="4" w:space="0" w:color="000000"/>
              <w:right w:val="single" w:sz="4" w:space="0" w:color="auto"/>
            </w:tcBorders>
            <w:vAlign w:val="center"/>
            <w:hideMark/>
          </w:tcPr>
          <w:p w:rsidR="003E6989" w:rsidRDefault="003E6989" w:rsidP="006A5410">
            <w:pPr>
              <w:spacing w:line="240" w:lineRule="auto"/>
              <w:rPr>
                <w:rFonts w:cs="Calibri"/>
                <w:b/>
                <w:bCs/>
                <w:sz w:val="16"/>
                <w:szCs w:val="16"/>
              </w:rPr>
            </w:pPr>
          </w:p>
        </w:tc>
        <w:tc>
          <w:tcPr>
            <w:tcW w:w="953"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center"/>
              <w:rPr>
                <w:rFonts w:ascii="Arial" w:hAnsi="Arial" w:cs="Arial"/>
                <w:b/>
                <w:bCs/>
                <w:sz w:val="16"/>
                <w:szCs w:val="16"/>
              </w:rPr>
            </w:pPr>
            <w:r>
              <w:rPr>
                <w:rFonts w:ascii="Arial" w:hAnsi="Arial" w:cs="Arial"/>
                <w:b/>
                <w:bCs/>
                <w:sz w:val="16"/>
                <w:szCs w:val="16"/>
              </w:rPr>
              <w:t>2016</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center"/>
              <w:rPr>
                <w:rFonts w:ascii="Arial" w:hAnsi="Arial" w:cs="Arial"/>
                <w:sz w:val="16"/>
                <w:szCs w:val="16"/>
              </w:rPr>
            </w:pPr>
            <w:r>
              <w:rPr>
                <w:rFonts w:ascii="Arial" w:hAnsi="Arial" w:cs="Arial"/>
                <w:sz w:val="16"/>
                <w:szCs w:val="16"/>
              </w:rPr>
              <w:t>2015</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center"/>
              <w:rPr>
                <w:rFonts w:ascii="Arial" w:hAnsi="Arial" w:cs="Arial"/>
                <w:b/>
                <w:bCs/>
                <w:sz w:val="16"/>
                <w:szCs w:val="16"/>
              </w:rPr>
            </w:pPr>
            <w:r>
              <w:rPr>
                <w:rFonts w:ascii="Arial" w:hAnsi="Arial" w:cs="Arial"/>
                <w:b/>
                <w:bCs/>
                <w:sz w:val="16"/>
                <w:szCs w:val="16"/>
              </w:rPr>
              <w:t>2016</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center"/>
              <w:rPr>
                <w:rFonts w:ascii="Arial" w:hAnsi="Arial" w:cs="Arial"/>
                <w:sz w:val="16"/>
                <w:szCs w:val="16"/>
              </w:rPr>
            </w:pPr>
            <w:r>
              <w:rPr>
                <w:rFonts w:ascii="Arial" w:hAnsi="Arial" w:cs="Arial"/>
                <w:sz w:val="16"/>
                <w:szCs w:val="16"/>
              </w:rPr>
              <w:t>2015</w:t>
            </w:r>
          </w:p>
        </w:tc>
        <w:tc>
          <w:tcPr>
            <w:tcW w:w="1168"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center"/>
              <w:rPr>
                <w:rFonts w:ascii="Arial" w:hAnsi="Arial" w:cs="Arial"/>
                <w:b/>
                <w:bCs/>
                <w:sz w:val="16"/>
                <w:szCs w:val="16"/>
              </w:rPr>
            </w:pPr>
            <w:r>
              <w:rPr>
                <w:rFonts w:ascii="Arial" w:hAnsi="Arial" w:cs="Arial"/>
                <w:b/>
                <w:bCs/>
                <w:sz w:val="16"/>
                <w:szCs w:val="16"/>
              </w:rPr>
              <w:t>2016</w:t>
            </w:r>
          </w:p>
        </w:tc>
        <w:tc>
          <w:tcPr>
            <w:tcW w:w="1169"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center"/>
              <w:rPr>
                <w:rFonts w:ascii="Arial" w:hAnsi="Arial" w:cs="Arial"/>
                <w:sz w:val="16"/>
                <w:szCs w:val="16"/>
              </w:rPr>
            </w:pPr>
            <w:r>
              <w:rPr>
                <w:rFonts w:ascii="Arial" w:hAnsi="Arial" w:cs="Arial"/>
                <w:sz w:val="16"/>
                <w:szCs w:val="16"/>
              </w:rPr>
              <w:t>2015</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center"/>
              <w:rPr>
                <w:rFonts w:ascii="Arial" w:hAnsi="Arial" w:cs="Arial"/>
                <w:b/>
                <w:bCs/>
                <w:sz w:val="16"/>
                <w:szCs w:val="16"/>
              </w:rPr>
            </w:pPr>
            <w:r>
              <w:rPr>
                <w:rFonts w:ascii="Arial" w:hAnsi="Arial" w:cs="Arial"/>
                <w:b/>
                <w:bCs/>
                <w:sz w:val="16"/>
                <w:szCs w:val="16"/>
              </w:rPr>
              <w:t>2016</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center"/>
              <w:rPr>
                <w:rFonts w:ascii="Arial" w:hAnsi="Arial" w:cs="Arial"/>
                <w:sz w:val="16"/>
                <w:szCs w:val="16"/>
              </w:rPr>
            </w:pPr>
            <w:r>
              <w:rPr>
                <w:rFonts w:ascii="Arial" w:hAnsi="Arial" w:cs="Arial"/>
                <w:sz w:val="16"/>
                <w:szCs w:val="16"/>
              </w:rPr>
              <w:t>2015</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center"/>
              <w:rPr>
                <w:rFonts w:ascii="Arial" w:hAnsi="Arial" w:cs="Arial"/>
                <w:b/>
                <w:bCs/>
                <w:sz w:val="16"/>
                <w:szCs w:val="16"/>
              </w:rPr>
            </w:pPr>
            <w:r>
              <w:rPr>
                <w:rFonts w:ascii="Arial" w:hAnsi="Arial" w:cs="Arial"/>
                <w:b/>
                <w:bCs/>
                <w:sz w:val="16"/>
                <w:szCs w:val="16"/>
              </w:rPr>
              <w:t>2016</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center"/>
              <w:rPr>
                <w:rFonts w:ascii="Arial" w:hAnsi="Arial" w:cs="Arial"/>
                <w:sz w:val="16"/>
                <w:szCs w:val="16"/>
              </w:rPr>
            </w:pPr>
            <w:r>
              <w:rPr>
                <w:rFonts w:ascii="Arial" w:hAnsi="Arial" w:cs="Arial"/>
                <w:sz w:val="16"/>
                <w:szCs w:val="16"/>
              </w:rPr>
              <w:t>2015</w:t>
            </w:r>
          </w:p>
        </w:tc>
      </w:tr>
      <w:tr w:rsidR="003E6989" w:rsidTr="001F2C80">
        <w:trPr>
          <w:trHeight w:val="57"/>
        </w:trPr>
        <w:tc>
          <w:tcPr>
            <w:tcW w:w="4018" w:type="dxa"/>
            <w:vMerge/>
            <w:tcBorders>
              <w:top w:val="single" w:sz="4" w:space="0" w:color="auto"/>
              <w:left w:val="single" w:sz="4" w:space="0" w:color="auto"/>
              <w:bottom w:val="single" w:sz="4" w:space="0" w:color="000000"/>
              <w:right w:val="single" w:sz="4" w:space="0" w:color="auto"/>
            </w:tcBorders>
            <w:vAlign w:val="center"/>
            <w:hideMark/>
          </w:tcPr>
          <w:p w:rsidR="003E6989" w:rsidRDefault="003E6989" w:rsidP="006A5410">
            <w:pPr>
              <w:spacing w:line="240" w:lineRule="auto"/>
              <w:rPr>
                <w:rFonts w:cs="Calibri"/>
                <w:b/>
                <w:bCs/>
                <w:sz w:val="16"/>
                <w:szCs w:val="16"/>
              </w:rPr>
            </w:pPr>
          </w:p>
        </w:tc>
        <w:tc>
          <w:tcPr>
            <w:tcW w:w="953" w:type="dxa"/>
            <w:tcBorders>
              <w:top w:val="nil"/>
              <w:left w:val="nil"/>
              <w:bottom w:val="single" w:sz="4" w:space="0" w:color="auto"/>
              <w:right w:val="single" w:sz="4" w:space="0" w:color="auto"/>
            </w:tcBorders>
            <w:shd w:val="clear" w:color="000000" w:fill="D9D9D9"/>
            <w:vAlign w:val="bottom"/>
            <w:hideMark/>
          </w:tcPr>
          <w:p w:rsidR="003E6989" w:rsidRDefault="003E6989" w:rsidP="006A5410">
            <w:pPr>
              <w:spacing w:line="240" w:lineRule="auto"/>
              <w:jc w:val="center"/>
              <w:rPr>
                <w:rFonts w:cs="Calibri"/>
                <w:b/>
                <w:bCs/>
                <w:sz w:val="16"/>
                <w:szCs w:val="16"/>
              </w:rPr>
            </w:pPr>
            <w:r>
              <w:rPr>
                <w:rFonts w:cs="Calibri"/>
                <w:b/>
                <w:bCs/>
                <w:sz w:val="16"/>
                <w:szCs w:val="16"/>
              </w:rPr>
              <w:t>$'000</w:t>
            </w:r>
          </w:p>
        </w:tc>
        <w:tc>
          <w:tcPr>
            <w:tcW w:w="954" w:type="dxa"/>
            <w:tcBorders>
              <w:top w:val="nil"/>
              <w:left w:val="nil"/>
              <w:bottom w:val="single" w:sz="4" w:space="0" w:color="auto"/>
              <w:right w:val="single" w:sz="4" w:space="0" w:color="auto"/>
            </w:tcBorders>
            <w:shd w:val="clear" w:color="000000" w:fill="D9D9D9"/>
            <w:vAlign w:val="bottom"/>
            <w:hideMark/>
          </w:tcPr>
          <w:p w:rsidR="003E6989" w:rsidRDefault="003E6989" w:rsidP="006A5410">
            <w:pPr>
              <w:spacing w:line="240" w:lineRule="auto"/>
              <w:jc w:val="center"/>
              <w:rPr>
                <w:rFonts w:cs="Calibri"/>
                <w:sz w:val="16"/>
                <w:szCs w:val="16"/>
              </w:rPr>
            </w:pPr>
            <w:r>
              <w:rPr>
                <w:rFonts w:cs="Calibri"/>
                <w:sz w:val="16"/>
                <w:szCs w:val="16"/>
              </w:rPr>
              <w:t>$'000</w:t>
            </w:r>
          </w:p>
        </w:tc>
        <w:tc>
          <w:tcPr>
            <w:tcW w:w="955" w:type="dxa"/>
            <w:tcBorders>
              <w:top w:val="nil"/>
              <w:left w:val="nil"/>
              <w:bottom w:val="single" w:sz="4" w:space="0" w:color="auto"/>
              <w:right w:val="single" w:sz="4" w:space="0" w:color="auto"/>
            </w:tcBorders>
            <w:shd w:val="clear" w:color="000000" w:fill="D9D9D9"/>
            <w:vAlign w:val="bottom"/>
            <w:hideMark/>
          </w:tcPr>
          <w:p w:rsidR="003E6989" w:rsidRDefault="003E6989" w:rsidP="006A5410">
            <w:pPr>
              <w:spacing w:line="240" w:lineRule="auto"/>
              <w:jc w:val="center"/>
              <w:rPr>
                <w:rFonts w:cs="Calibri"/>
                <w:b/>
                <w:bCs/>
                <w:sz w:val="16"/>
                <w:szCs w:val="16"/>
              </w:rPr>
            </w:pPr>
            <w:r>
              <w:rPr>
                <w:rFonts w:cs="Calibri"/>
                <w:b/>
                <w:bCs/>
                <w:sz w:val="16"/>
                <w:szCs w:val="16"/>
              </w:rPr>
              <w:t>$'000</w:t>
            </w:r>
          </w:p>
        </w:tc>
        <w:tc>
          <w:tcPr>
            <w:tcW w:w="955" w:type="dxa"/>
            <w:tcBorders>
              <w:top w:val="nil"/>
              <w:left w:val="nil"/>
              <w:bottom w:val="single" w:sz="4" w:space="0" w:color="auto"/>
              <w:right w:val="single" w:sz="4" w:space="0" w:color="auto"/>
            </w:tcBorders>
            <w:shd w:val="clear" w:color="000000" w:fill="D9D9D9"/>
            <w:vAlign w:val="bottom"/>
            <w:hideMark/>
          </w:tcPr>
          <w:p w:rsidR="003E6989" w:rsidRDefault="003E6989" w:rsidP="006A5410">
            <w:pPr>
              <w:spacing w:line="240" w:lineRule="auto"/>
              <w:jc w:val="center"/>
              <w:rPr>
                <w:rFonts w:cs="Calibri"/>
                <w:sz w:val="16"/>
                <w:szCs w:val="16"/>
              </w:rPr>
            </w:pPr>
            <w:r>
              <w:rPr>
                <w:rFonts w:cs="Calibri"/>
                <w:sz w:val="16"/>
                <w:szCs w:val="16"/>
              </w:rPr>
              <w:t>$'000</w:t>
            </w:r>
          </w:p>
        </w:tc>
        <w:tc>
          <w:tcPr>
            <w:tcW w:w="1168" w:type="dxa"/>
            <w:tcBorders>
              <w:top w:val="nil"/>
              <w:left w:val="nil"/>
              <w:bottom w:val="single" w:sz="4" w:space="0" w:color="auto"/>
              <w:right w:val="single" w:sz="4" w:space="0" w:color="auto"/>
            </w:tcBorders>
            <w:shd w:val="clear" w:color="000000" w:fill="D9D9D9"/>
            <w:vAlign w:val="bottom"/>
            <w:hideMark/>
          </w:tcPr>
          <w:p w:rsidR="003E6989" w:rsidRDefault="003E6989" w:rsidP="006A5410">
            <w:pPr>
              <w:spacing w:line="240" w:lineRule="auto"/>
              <w:jc w:val="center"/>
              <w:rPr>
                <w:rFonts w:cs="Calibri"/>
                <w:b/>
                <w:bCs/>
                <w:sz w:val="16"/>
                <w:szCs w:val="16"/>
              </w:rPr>
            </w:pPr>
            <w:r>
              <w:rPr>
                <w:rFonts w:cs="Calibri"/>
                <w:b/>
                <w:bCs/>
                <w:sz w:val="16"/>
                <w:szCs w:val="16"/>
              </w:rPr>
              <w:t>$'000</w:t>
            </w:r>
          </w:p>
        </w:tc>
        <w:tc>
          <w:tcPr>
            <w:tcW w:w="1169" w:type="dxa"/>
            <w:tcBorders>
              <w:top w:val="nil"/>
              <w:left w:val="nil"/>
              <w:bottom w:val="single" w:sz="4" w:space="0" w:color="auto"/>
              <w:right w:val="single" w:sz="4" w:space="0" w:color="auto"/>
            </w:tcBorders>
            <w:shd w:val="clear" w:color="000000" w:fill="D9D9D9"/>
            <w:vAlign w:val="bottom"/>
            <w:hideMark/>
          </w:tcPr>
          <w:p w:rsidR="003E6989" w:rsidRDefault="003E6989" w:rsidP="006A5410">
            <w:pPr>
              <w:spacing w:line="240" w:lineRule="auto"/>
              <w:jc w:val="center"/>
              <w:rPr>
                <w:rFonts w:cs="Calibri"/>
                <w:sz w:val="16"/>
                <w:szCs w:val="16"/>
              </w:rPr>
            </w:pPr>
            <w:r>
              <w:rPr>
                <w:rFonts w:cs="Calibri"/>
                <w:sz w:val="16"/>
                <w:szCs w:val="16"/>
              </w:rPr>
              <w:t>$'000</w:t>
            </w:r>
          </w:p>
        </w:tc>
        <w:tc>
          <w:tcPr>
            <w:tcW w:w="954" w:type="dxa"/>
            <w:tcBorders>
              <w:top w:val="nil"/>
              <w:left w:val="nil"/>
              <w:bottom w:val="single" w:sz="4" w:space="0" w:color="auto"/>
              <w:right w:val="single" w:sz="4" w:space="0" w:color="auto"/>
            </w:tcBorders>
            <w:shd w:val="clear" w:color="000000" w:fill="D9D9D9"/>
            <w:vAlign w:val="bottom"/>
            <w:hideMark/>
          </w:tcPr>
          <w:p w:rsidR="003E6989" w:rsidRDefault="003E6989" w:rsidP="006A5410">
            <w:pPr>
              <w:spacing w:line="240" w:lineRule="auto"/>
              <w:jc w:val="center"/>
              <w:rPr>
                <w:rFonts w:cs="Calibri"/>
                <w:b/>
                <w:bCs/>
                <w:sz w:val="16"/>
                <w:szCs w:val="16"/>
              </w:rPr>
            </w:pPr>
            <w:r>
              <w:rPr>
                <w:rFonts w:cs="Calibri"/>
                <w:b/>
                <w:bCs/>
                <w:sz w:val="16"/>
                <w:szCs w:val="16"/>
              </w:rPr>
              <w:t>$'000</w:t>
            </w:r>
          </w:p>
        </w:tc>
        <w:tc>
          <w:tcPr>
            <w:tcW w:w="955" w:type="dxa"/>
            <w:tcBorders>
              <w:top w:val="nil"/>
              <w:left w:val="nil"/>
              <w:bottom w:val="single" w:sz="4" w:space="0" w:color="auto"/>
              <w:right w:val="single" w:sz="4" w:space="0" w:color="auto"/>
            </w:tcBorders>
            <w:shd w:val="clear" w:color="000000" w:fill="D9D9D9"/>
            <w:vAlign w:val="bottom"/>
            <w:hideMark/>
          </w:tcPr>
          <w:p w:rsidR="003E6989" w:rsidRDefault="003E6989" w:rsidP="006A5410">
            <w:pPr>
              <w:spacing w:line="240" w:lineRule="auto"/>
              <w:jc w:val="center"/>
              <w:rPr>
                <w:rFonts w:cs="Calibri"/>
                <w:sz w:val="16"/>
                <w:szCs w:val="16"/>
              </w:rPr>
            </w:pPr>
            <w:r>
              <w:rPr>
                <w:rFonts w:cs="Calibri"/>
                <w:sz w:val="16"/>
                <w:szCs w:val="16"/>
              </w:rPr>
              <w:t>$'000</w:t>
            </w:r>
          </w:p>
        </w:tc>
        <w:tc>
          <w:tcPr>
            <w:tcW w:w="955" w:type="dxa"/>
            <w:tcBorders>
              <w:top w:val="nil"/>
              <w:left w:val="nil"/>
              <w:bottom w:val="single" w:sz="4" w:space="0" w:color="auto"/>
              <w:right w:val="single" w:sz="4" w:space="0" w:color="auto"/>
            </w:tcBorders>
            <w:shd w:val="clear" w:color="000000" w:fill="D9D9D9"/>
            <w:vAlign w:val="bottom"/>
            <w:hideMark/>
          </w:tcPr>
          <w:p w:rsidR="003E6989" w:rsidRDefault="003E6989" w:rsidP="006A5410">
            <w:pPr>
              <w:spacing w:line="240" w:lineRule="auto"/>
              <w:jc w:val="center"/>
              <w:rPr>
                <w:rFonts w:cs="Calibri"/>
                <w:b/>
                <w:bCs/>
                <w:sz w:val="16"/>
                <w:szCs w:val="16"/>
              </w:rPr>
            </w:pPr>
            <w:r>
              <w:rPr>
                <w:rFonts w:cs="Calibri"/>
                <w:b/>
                <w:bCs/>
                <w:sz w:val="16"/>
                <w:szCs w:val="16"/>
              </w:rPr>
              <w:t>$'000</w:t>
            </w:r>
          </w:p>
        </w:tc>
        <w:tc>
          <w:tcPr>
            <w:tcW w:w="955" w:type="dxa"/>
            <w:tcBorders>
              <w:top w:val="nil"/>
              <w:left w:val="nil"/>
              <w:bottom w:val="single" w:sz="4" w:space="0" w:color="auto"/>
              <w:right w:val="single" w:sz="4" w:space="0" w:color="auto"/>
            </w:tcBorders>
            <w:shd w:val="clear" w:color="000000" w:fill="D9D9D9"/>
            <w:vAlign w:val="bottom"/>
            <w:hideMark/>
          </w:tcPr>
          <w:p w:rsidR="003E6989" w:rsidRDefault="003E6989" w:rsidP="006A5410">
            <w:pPr>
              <w:spacing w:line="240" w:lineRule="auto"/>
              <w:jc w:val="center"/>
              <w:rPr>
                <w:rFonts w:cs="Calibri"/>
                <w:sz w:val="16"/>
                <w:szCs w:val="16"/>
              </w:rPr>
            </w:pPr>
            <w:r>
              <w:rPr>
                <w:rFonts w:cs="Calibri"/>
                <w:sz w:val="16"/>
                <w:szCs w:val="16"/>
              </w:rPr>
              <w:t>$'000</w:t>
            </w:r>
          </w:p>
        </w:tc>
      </w:tr>
      <w:tr w:rsidR="003E6989" w:rsidTr="001F2C80">
        <w:trPr>
          <w:trHeight w:val="57"/>
        </w:trPr>
        <w:tc>
          <w:tcPr>
            <w:tcW w:w="13991" w:type="dxa"/>
            <w:gridSpan w:val="11"/>
            <w:tcBorders>
              <w:top w:val="single" w:sz="4" w:space="0" w:color="auto"/>
              <w:left w:val="single" w:sz="4" w:space="0" w:color="auto"/>
              <w:bottom w:val="single" w:sz="4" w:space="0" w:color="auto"/>
              <w:right w:val="nil"/>
            </w:tcBorders>
            <w:shd w:val="clear" w:color="000000" w:fill="D9D9D9"/>
            <w:vAlign w:val="bottom"/>
            <w:hideMark/>
          </w:tcPr>
          <w:p w:rsidR="003E6989" w:rsidRDefault="003E6989" w:rsidP="006A5410">
            <w:pPr>
              <w:spacing w:line="240" w:lineRule="auto"/>
              <w:rPr>
                <w:rFonts w:cs="Calibri"/>
                <w:b/>
                <w:bCs/>
                <w:sz w:val="16"/>
                <w:szCs w:val="16"/>
              </w:rPr>
            </w:pPr>
            <w:r>
              <w:rPr>
                <w:rFonts w:cs="Calibri"/>
                <w:b/>
                <w:bCs/>
                <w:sz w:val="16"/>
                <w:szCs w:val="16"/>
              </w:rPr>
              <w:t>Expenses</w:t>
            </w:r>
          </w:p>
        </w:tc>
      </w:tr>
      <w:tr w:rsidR="003E6989" w:rsidTr="001F2C80">
        <w:trPr>
          <w:trHeight w:val="57"/>
        </w:trPr>
        <w:tc>
          <w:tcPr>
            <w:tcW w:w="4018" w:type="dxa"/>
            <w:tcBorders>
              <w:top w:val="nil"/>
              <w:left w:val="single" w:sz="4" w:space="0" w:color="auto"/>
              <w:bottom w:val="single" w:sz="4" w:space="0" w:color="auto"/>
              <w:right w:val="single" w:sz="4" w:space="0" w:color="auto"/>
            </w:tcBorders>
            <w:shd w:val="clear" w:color="000000" w:fill="D9D9D9"/>
            <w:noWrap/>
            <w:hideMark/>
          </w:tcPr>
          <w:p w:rsidR="003E6989" w:rsidRDefault="003E6989" w:rsidP="006A5410">
            <w:pPr>
              <w:spacing w:line="240" w:lineRule="auto"/>
              <w:rPr>
                <w:rFonts w:cs="Calibri"/>
                <w:sz w:val="16"/>
                <w:szCs w:val="16"/>
              </w:rPr>
            </w:pPr>
            <w:r>
              <w:rPr>
                <w:rFonts w:cs="Calibri"/>
                <w:sz w:val="16"/>
                <w:szCs w:val="16"/>
              </w:rPr>
              <w:t>Personal benefits</w:t>
            </w:r>
          </w:p>
        </w:tc>
        <w:tc>
          <w:tcPr>
            <w:tcW w:w="953"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5,028,009</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3,443,917</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64,265</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91,179</w:t>
            </w:r>
          </w:p>
        </w:tc>
        <w:tc>
          <w:tcPr>
            <w:tcW w:w="1168"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1169"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5,092,274</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3,535,096</w:t>
            </w:r>
          </w:p>
        </w:tc>
      </w:tr>
      <w:tr w:rsidR="003E6989" w:rsidTr="001F2C80">
        <w:trPr>
          <w:trHeight w:val="57"/>
        </w:trPr>
        <w:tc>
          <w:tcPr>
            <w:tcW w:w="4018" w:type="dxa"/>
            <w:tcBorders>
              <w:top w:val="nil"/>
              <w:left w:val="single" w:sz="4" w:space="0" w:color="auto"/>
              <w:bottom w:val="single" w:sz="4" w:space="0" w:color="auto"/>
              <w:right w:val="single" w:sz="4" w:space="0" w:color="auto"/>
            </w:tcBorders>
            <w:shd w:val="clear" w:color="000000" w:fill="D9D9D9"/>
            <w:noWrap/>
            <w:hideMark/>
          </w:tcPr>
          <w:p w:rsidR="003E6989" w:rsidRDefault="003E6989" w:rsidP="006A5410">
            <w:pPr>
              <w:spacing w:line="240" w:lineRule="auto"/>
              <w:rPr>
                <w:rFonts w:cs="Calibri"/>
                <w:sz w:val="16"/>
                <w:szCs w:val="16"/>
              </w:rPr>
            </w:pPr>
            <w:r>
              <w:rPr>
                <w:rFonts w:cs="Calibri"/>
                <w:sz w:val="16"/>
                <w:szCs w:val="16"/>
              </w:rPr>
              <w:t>Subsidies</w:t>
            </w:r>
          </w:p>
        </w:tc>
        <w:tc>
          <w:tcPr>
            <w:tcW w:w="953"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693</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327,117</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144,309</w:t>
            </w:r>
          </w:p>
        </w:tc>
        <w:tc>
          <w:tcPr>
            <w:tcW w:w="1168"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1169"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327,810</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144,309</w:t>
            </w:r>
          </w:p>
        </w:tc>
      </w:tr>
      <w:tr w:rsidR="003E6989" w:rsidTr="001F2C80">
        <w:trPr>
          <w:trHeight w:val="57"/>
        </w:trPr>
        <w:tc>
          <w:tcPr>
            <w:tcW w:w="4018" w:type="dxa"/>
            <w:tcBorders>
              <w:top w:val="nil"/>
              <w:left w:val="single" w:sz="4" w:space="0" w:color="auto"/>
              <w:bottom w:val="single" w:sz="4" w:space="0" w:color="auto"/>
              <w:right w:val="single" w:sz="4" w:space="0" w:color="auto"/>
            </w:tcBorders>
            <w:shd w:val="clear" w:color="000000" w:fill="D9D9D9"/>
            <w:noWrap/>
            <w:hideMark/>
          </w:tcPr>
          <w:p w:rsidR="003E6989" w:rsidRDefault="003E6989" w:rsidP="006A5410">
            <w:pPr>
              <w:spacing w:line="240" w:lineRule="auto"/>
              <w:rPr>
                <w:rFonts w:cs="Calibri"/>
                <w:sz w:val="16"/>
                <w:szCs w:val="16"/>
              </w:rPr>
            </w:pPr>
            <w:r>
              <w:rPr>
                <w:rFonts w:cs="Calibri"/>
                <w:sz w:val="16"/>
                <w:szCs w:val="16"/>
              </w:rPr>
              <w:t>Grants</w:t>
            </w:r>
          </w:p>
        </w:tc>
        <w:tc>
          <w:tcPr>
            <w:tcW w:w="953"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15,932,767</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15,150,944</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9,792,553</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9,259,152</w:t>
            </w:r>
          </w:p>
        </w:tc>
        <w:tc>
          <w:tcPr>
            <w:tcW w:w="1168"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1169"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25,725,320</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24,410,096</w:t>
            </w:r>
          </w:p>
        </w:tc>
      </w:tr>
      <w:tr w:rsidR="003E6989" w:rsidTr="001F2C80">
        <w:trPr>
          <w:trHeight w:val="57"/>
        </w:trPr>
        <w:tc>
          <w:tcPr>
            <w:tcW w:w="4018" w:type="dxa"/>
            <w:tcBorders>
              <w:top w:val="nil"/>
              <w:left w:val="single" w:sz="4" w:space="0" w:color="auto"/>
              <w:bottom w:val="single" w:sz="4" w:space="0" w:color="auto"/>
              <w:right w:val="single" w:sz="4" w:space="0" w:color="auto"/>
            </w:tcBorders>
            <w:shd w:val="clear" w:color="000000" w:fill="D9D9D9"/>
            <w:noWrap/>
            <w:hideMark/>
          </w:tcPr>
          <w:p w:rsidR="003E6989" w:rsidRDefault="003E6989" w:rsidP="006A5410">
            <w:pPr>
              <w:spacing w:line="240" w:lineRule="auto"/>
              <w:rPr>
                <w:rFonts w:cs="Calibri"/>
                <w:sz w:val="16"/>
                <w:szCs w:val="16"/>
              </w:rPr>
            </w:pPr>
            <w:r>
              <w:rPr>
                <w:rFonts w:cs="Calibri"/>
                <w:sz w:val="16"/>
                <w:szCs w:val="16"/>
              </w:rPr>
              <w:t>Suppliers</w:t>
            </w:r>
          </w:p>
        </w:tc>
        <w:tc>
          <w:tcPr>
            <w:tcW w:w="953"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44,824</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115,912</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554,003</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222,665</w:t>
            </w:r>
          </w:p>
        </w:tc>
        <w:tc>
          <w:tcPr>
            <w:tcW w:w="1168"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1169"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598,827</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338,577</w:t>
            </w:r>
          </w:p>
        </w:tc>
      </w:tr>
      <w:tr w:rsidR="003E6989" w:rsidTr="001F2C80">
        <w:trPr>
          <w:trHeight w:val="57"/>
        </w:trPr>
        <w:tc>
          <w:tcPr>
            <w:tcW w:w="4018" w:type="dxa"/>
            <w:tcBorders>
              <w:top w:val="nil"/>
              <w:left w:val="single" w:sz="4" w:space="0" w:color="auto"/>
              <w:bottom w:val="single" w:sz="4" w:space="0" w:color="auto"/>
              <w:right w:val="single" w:sz="4" w:space="0" w:color="auto"/>
            </w:tcBorders>
            <w:shd w:val="clear" w:color="000000" w:fill="D9D9D9"/>
            <w:noWrap/>
            <w:hideMark/>
          </w:tcPr>
          <w:p w:rsidR="003E6989" w:rsidRDefault="003E6989" w:rsidP="006A5410">
            <w:pPr>
              <w:spacing w:line="240" w:lineRule="auto"/>
              <w:rPr>
                <w:rFonts w:cs="Calibri"/>
                <w:sz w:val="16"/>
                <w:szCs w:val="16"/>
              </w:rPr>
            </w:pPr>
            <w:r>
              <w:rPr>
                <w:rFonts w:cs="Calibri"/>
                <w:sz w:val="16"/>
                <w:szCs w:val="16"/>
              </w:rPr>
              <w:t>Other</w:t>
            </w:r>
          </w:p>
        </w:tc>
        <w:tc>
          <w:tcPr>
            <w:tcW w:w="953"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18,461</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25,342</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1,694,717</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2,064,226</w:t>
            </w:r>
          </w:p>
        </w:tc>
        <w:tc>
          <w:tcPr>
            <w:tcW w:w="1168"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15,009</w:t>
            </w:r>
          </w:p>
        </w:tc>
        <w:tc>
          <w:tcPr>
            <w:tcW w:w="1169"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13,370</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1,728,187</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2,102,938</w:t>
            </w:r>
          </w:p>
        </w:tc>
      </w:tr>
      <w:tr w:rsidR="003E6989" w:rsidTr="001F2C80">
        <w:trPr>
          <w:trHeight w:val="57"/>
        </w:trPr>
        <w:tc>
          <w:tcPr>
            <w:tcW w:w="4018" w:type="dxa"/>
            <w:tcBorders>
              <w:top w:val="nil"/>
              <w:left w:val="single" w:sz="4" w:space="0" w:color="auto"/>
              <w:bottom w:val="single" w:sz="4" w:space="0" w:color="auto"/>
              <w:right w:val="single" w:sz="4" w:space="0" w:color="auto"/>
            </w:tcBorders>
            <w:shd w:val="clear" w:color="000000" w:fill="D9D9D9"/>
            <w:hideMark/>
          </w:tcPr>
          <w:p w:rsidR="003E6989" w:rsidRDefault="003E6989" w:rsidP="006A5410">
            <w:pPr>
              <w:spacing w:line="240" w:lineRule="auto"/>
              <w:rPr>
                <w:rFonts w:cs="Calibri"/>
                <w:b/>
                <w:bCs/>
                <w:i/>
                <w:iCs/>
                <w:sz w:val="16"/>
                <w:szCs w:val="16"/>
              </w:rPr>
            </w:pPr>
            <w:r>
              <w:rPr>
                <w:rFonts w:cs="Calibri"/>
                <w:b/>
                <w:bCs/>
                <w:i/>
                <w:iCs/>
                <w:sz w:val="16"/>
                <w:szCs w:val="16"/>
              </w:rPr>
              <w:t>Total expenses</w:t>
            </w:r>
          </w:p>
        </w:tc>
        <w:tc>
          <w:tcPr>
            <w:tcW w:w="953"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21,024,754</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18,736,115</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12,432,655</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11,781,531</w:t>
            </w:r>
          </w:p>
        </w:tc>
        <w:tc>
          <w:tcPr>
            <w:tcW w:w="1168"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15,009</w:t>
            </w:r>
          </w:p>
        </w:tc>
        <w:tc>
          <w:tcPr>
            <w:tcW w:w="1169"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13,370</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33,472,418</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30,531,016</w:t>
            </w:r>
          </w:p>
        </w:tc>
      </w:tr>
      <w:tr w:rsidR="003E6989" w:rsidTr="001F2C80">
        <w:trPr>
          <w:trHeight w:val="57"/>
        </w:trPr>
        <w:tc>
          <w:tcPr>
            <w:tcW w:w="13991" w:type="dxa"/>
            <w:gridSpan w:val="11"/>
            <w:tcBorders>
              <w:top w:val="single" w:sz="4" w:space="0" w:color="auto"/>
              <w:left w:val="single" w:sz="4" w:space="0" w:color="auto"/>
              <w:bottom w:val="single" w:sz="4" w:space="0" w:color="auto"/>
              <w:right w:val="nil"/>
            </w:tcBorders>
            <w:shd w:val="clear" w:color="000000" w:fill="D9D9D9"/>
            <w:hideMark/>
          </w:tcPr>
          <w:p w:rsidR="003E6989" w:rsidRDefault="003E6989" w:rsidP="006A5410">
            <w:pPr>
              <w:spacing w:line="240" w:lineRule="auto"/>
              <w:rPr>
                <w:rFonts w:cs="Calibri"/>
                <w:b/>
                <w:bCs/>
                <w:sz w:val="16"/>
                <w:szCs w:val="16"/>
              </w:rPr>
            </w:pPr>
            <w:r>
              <w:rPr>
                <w:rFonts w:cs="Calibri"/>
                <w:b/>
                <w:bCs/>
                <w:sz w:val="16"/>
                <w:szCs w:val="16"/>
              </w:rPr>
              <w:t>Income</w:t>
            </w:r>
          </w:p>
        </w:tc>
      </w:tr>
      <w:tr w:rsidR="003E6989" w:rsidTr="001F2C80">
        <w:trPr>
          <w:trHeight w:val="57"/>
        </w:trPr>
        <w:tc>
          <w:tcPr>
            <w:tcW w:w="4018" w:type="dxa"/>
            <w:tcBorders>
              <w:top w:val="nil"/>
              <w:left w:val="single" w:sz="4" w:space="0" w:color="auto"/>
              <w:bottom w:val="single" w:sz="4" w:space="0" w:color="auto"/>
              <w:right w:val="single" w:sz="4" w:space="0" w:color="auto"/>
            </w:tcBorders>
            <w:shd w:val="clear" w:color="000000" w:fill="D9D9D9"/>
            <w:noWrap/>
            <w:hideMark/>
          </w:tcPr>
          <w:p w:rsidR="003E6989" w:rsidRDefault="003E6989" w:rsidP="006A5410">
            <w:pPr>
              <w:spacing w:line="240" w:lineRule="auto"/>
              <w:rPr>
                <w:rFonts w:cs="Calibri"/>
                <w:sz w:val="16"/>
                <w:szCs w:val="16"/>
              </w:rPr>
            </w:pPr>
            <w:r>
              <w:rPr>
                <w:rFonts w:cs="Calibri"/>
                <w:sz w:val="16"/>
                <w:szCs w:val="16"/>
              </w:rPr>
              <w:t>Interest</w:t>
            </w:r>
          </w:p>
        </w:tc>
        <w:tc>
          <w:tcPr>
            <w:tcW w:w="953"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2</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336</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529,335</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582,798</w:t>
            </w:r>
          </w:p>
        </w:tc>
        <w:tc>
          <w:tcPr>
            <w:tcW w:w="1168"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1169"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529,337</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583,134</w:t>
            </w:r>
          </w:p>
        </w:tc>
      </w:tr>
      <w:tr w:rsidR="003E6989" w:rsidTr="001F2C80">
        <w:trPr>
          <w:trHeight w:val="57"/>
        </w:trPr>
        <w:tc>
          <w:tcPr>
            <w:tcW w:w="4018" w:type="dxa"/>
            <w:tcBorders>
              <w:top w:val="nil"/>
              <w:left w:val="single" w:sz="4" w:space="0" w:color="auto"/>
              <w:bottom w:val="single" w:sz="4" w:space="0" w:color="auto"/>
              <w:right w:val="single" w:sz="4" w:space="0" w:color="auto"/>
            </w:tcBorders>
            <w:shd w:val="clear" w:color="000000" w:fill="D9D9D9"/>
            <w:noWrap/>
            <w:hideMark/>
          </w:tcPr>
          <w:p w:rsidR="003E6989" w:rsidRDefault="003E6989" w:rsidP="006A5410">
            <w:pPr>
              <w:spacing w:line="240" w:lineRule="auto"/>
              <w:rPr>
                <w:rFonts w:cs="Calibri"/>
                <w:sz w:val="16"/>
                <w:szCs w:val="16"/>
              </w:rPr>
            </w:pPr>
            <w:r>
              <w:rPr>
                <w:rFonts w:cs="Calibri"/>
                <w:sz w:val="16"/>
                <w:szCs w:val="16"/>
              </w:rPr>
              <w:t>Levies</w:t>
            </w:r>
          </w:p>
        </w:tc>
        <w:tc>
          <w:tcPr>
            <w:tcW w:w="953"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10,144</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8,576</w:t>
            </w:r>
          </w:p>
        </w:tc>
        <w:tc>
          <w:tcPr>
            <w:tcW w:w="1168"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1169"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10,144</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8,576</w:t>
            </w:r>
          </w:p>
        </w:tc>
      </w:tr>
      <w:tr w:rsidR="003E6989" w:rsidTr="001F2C80">
        <w:trPr>
          <w:trHeight w:val="57"/>
        </w:trPr>
        <w:tc>
          <w:tcPr>
            <w:tcW w:w="4018" w:type="dxa"/>
            <w:tcBorders>
              <w:top w:val="nil"/>
              <w:left w:val="single" w:sz="4" w:space="0" w:color="auto"/>
              <w:bottom w:val="single" w:sz="4" w:space="0" w:color="auto"/>
              <w:right w:val="single" w:sz="4" w:space="0" w:color="auto"/>
            </w:tcBorders>
            <w:shd w:val="clear" w:color="000000" w:fill="D9D9D9"/>
            <w:noWrap/>
            <w:hideMark/>
          </w:tcPr>
          <w:p w:rsidR="003E6989" w:rsidRDefault="003E6989" w:rsidP="006A5410">
            <w:pPr>
              <w:spacing w:line="240" w:lineRule="auto"/>
              <w:rPr>
                <w:rFonts w:cs="Calibri"/>
                <w:sz w:val="16"/>
                <w:szCs w:val="16"/>
              </w:rPr>
            </w:pPr>
            <w:r>
              <w:rPr>
                <w:rFonts w:cs="Calibri"/>
                <w:sz w:val="16"/>
                <w:szCs w:val="16"/>
              </w:rPr>
              <w:t>Non taxation revenue - Other</w:t>
            </w:r>
          </w:p>
        </w:tc>
        <w:tc>
          <w:tcPr>
            <w:tcW w:w="953"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5,972</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42,677</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807,205</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806,610</w:t>
            </w:r>
          </w:p>
        </w:tc>
        <w:tc>
          <w:tcPr>
            <w:tcW w:w="1168"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1169"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554</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813,177</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849,841</w:t>
            </w:r>
          </w:p>
        </w:tc>
      </w:tr>
      <w:tr w:rsidR="003E6989" w:rsidTr="001F2C80">
        <w:trPr>
          <w:trHeight w:val="57"/>
        </w:trPr>
        <w:tc>
          <w:tcPr>
            <w:tcW w:w="4018" w:type="dxa"/>
            <w:tcBorders>
              <w:top w:val="nil"/>
              <w:left w:val="single" w:sz="4" w:space="0" w:color="auto"/>
              <w:bottom w:val="single" w:sz="4" w:space="0" w:color="auto"/>
              <w:right w:val="single" w:sz="4" w:space="0" w:color="auto"/>
            </w:tcBorders>
            <w:shd w:val="clear" w:color="000000" w:fill="D9D9D9"/>
            <w:noWrap/>
            <w:hideMark/>
          </w:tcPr>
          <w:p w:rsidR="003E6989" w:rsidRDefault="003E6989" w:rsidP="006A5410">
            <w:pPr>
              <w:spacing w:line="240" w:lineRule="auto"/>
              <w:rPr>
                <w:rFonts w:cs="Calibri"/>
                <w:sz w:val="16"/>
                <w:szCs w:val="16"/>
              </w:rPr>
            </w:pPr>
            <w:r>
              <w:rPr>
                <w:rFonts w:cs="Calibri"/>
                <w:sz w:val="16"/>
                <w:szCs w:val="16"/>
              </w:rPr>
              <w:t>Gains</w:t>
            </w:r>
          </w:p>
        </w:tc>
        <w:tc>
          <w:tcPr>
            <w:tcW w:w="953"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16</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1,200,250</w:t>
            </w:r>
          </w:p>
        </w:tc>
        <w:tc>
          <w:tcPr>
            <w:tcW w:w="1168"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1169"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1,200,266</w:t>
            </w:r>
          </w:p>
        </w:tc>
      </w:tr>
      <w:tr w:rsidR="003E6989" w:rsidTr="001F2C80">
        <w:trPr>
          <w:trHeight w:val="57"/>
        </w:trPr>
        <w:tc>
          <w:tcPr>
            <w:tcW w:w="4018" w:type="dxa"/>
            <w:tcBorders>
              <w:top w:val="nil"/>
              <w:left w:val="single" w:sz="4" w:space="0" w:color="auto"/>
              <w:bottom w:val="single" w:sz="4" w:space="0" w:color="auto"/>
              <w:right w:val="single" w:sz="4" w:space="0" w:color="auto"/>
            </w:tcBorders>
            <w:shd w:val="clear" w:color="000000" w:fill="D9D9D9"/>
            <w:hideMark/>
          </w:tcPr>
          <w:p w:rsidR="003E6989" w:rsidRDefault="003E6989" w:rsidP="006A5410">
            <w:pPr>
              <w:spacing w:line="240" w:lineRule="auto"/>
              <w:rPr>
                <w:rFonts w:cs="Calibri"/>
                <w:b/>
                <w:bCs/>
                <w:i/>
                <w:iCs/>
                <w:sz w:val="16"/>
                <w:szCs w:val="16"/>
              </w:rPr>
            </w:pPr>
            <w:r>
              <w:rPr>
                <w:rFonts w:cs="Calibri"/>
                <w:b/>
                <w:bCs/>
                <w:i/>
                <w:iCs/>
                <w:sz w:val="16"/>
                <w:szCs w:val="16"/>
              </w:rPr>
              <w:t>Total income</w:t>
            </w:r>
          </w:p>
        </w:tc>
        <w:tc>
          <w:tcPr>
            <w:tcW w:w="953"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5,974</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43,029</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1,346,684</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2,598,234</w:t>
            </w:r>
          </w:p>
        </w:tc>
        <w:tc>
          <w:tcPr>
            <w:tcW w:w="1168"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1169"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554</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1,352,658</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2,641,817</w:t>
            </w:r>
          </w:p>
        </w:tc>
      </w:tr>
      <w:tr w:rsidR="003E6989" w:rsidTr="001F2C80">
        <w:trPr>
          <w:trHeight w:val="57"/>
        </w:trPr>
        <w:tc>
          <w:tcPr>
            <w:tcW w:w="4018" w:type="dxa"/>
            <w:tcBorders>
              <w:top w:val="nil"/>
              <w:left w:val="single" w:sz="4" w:space="0" w:color="auto"/>
              <w:bottom w:val="single" w:sz="4" w:space="0" w:color="auto"/>
              <w:right w:val="single" w:sz="4" w:space="0" w:color="auto"/>
            </w:tcBorders>
            <w:shd w:val="clear" w:color="000000" w:fill="D9D9D9"/>
            <w:hideMark/>
          </w:tcPr>
          <w:p w:rsidR="003E6989" w:rsidRDefault="003E6989" w:rsidP="006A5410">
            <w:pPr>
              <w:spacing w:line="240" w:lineRule="auto"/>
              <w:rPr>
                <w:rFonts w:cs="Calibri"/>
                <w:b/>
                <w:bCs/>
                <w:sz w:val="16"/>
                <w:szCs w:val="16"/>
              </w:rPr>
            </w:pPr>
            <w:r>
              <w:rPr>
                <w:rFonts w:cs="Calibri"/>
                <w:b/>
                <w:bCs/>
                <w:sz w:val="16"/>
                <w:szCs w:val="16"/>
              </w:rPr>
              <w:t>Net cost/(contribution) of outcome delivery</w:t>
            </w:r>
          </w:p>
        </w:tc>
        <w:tc>
          <w:tcPr>
            <w:tcW w:w="953"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21,018,780</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18,693,086</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11,085,971</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9,183,297</w:t>
            </w:r>
          </w:p>
        </w:tc>
        <w:tc>
          <w:tcPr>
            <w:tcW w:w="1168"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15,009</w:t>
            </w:r>
          </w:p>
        </w:tc>
        <w:tc>
          <w:tcPr>
            <w:tcW w:w="1169"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13,370</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(554)</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32,119,760</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27,889,199</w:t>
            </w:r>
          </w:p>
        </w:tc>
      </w:tr>
      <w:tr w:rsidR="003E6989" w:rsidTr="001F2C80">
        <w:trPr>
          <w:trHeight w:val="57"/>
        </w:trPr>
        <w:tc>
          <w:tcPr>
            <w:tcW w:w="13991" w:type="dxa"/>
            <w:gridSpan w:val="11"/>
            <w:tcBorders>
              <w:top w:val="single" w:sz="4" w:space="0" w:color="auto"/>
              <w:left w:val="single" w:sz="4" w:space="0" w:color="auto"/>
              <w:bottom w:val="single" w:sz="4" w:space="0" w:color="auto"/>
              <w:right w:val="nil"/>
            </w:tcBorders>
            <w:shd w:val="clear" w:color="000000" w:fill="D9D9D9"/>
            <w:hideMark/>
          </w:tcPr>
          <w:p w:rsidR="003E6989" w:rsidRDefault="003E6989" w:rsidP="006A5410">
            <w:pPr>
              <w:spacing w:line="240" w:lineRule="auto"/>
              <w:rPr>
                <w:rFonts w:cs="Calibri"/>
                <w:b/>
                <w:bCs/>
                <w:sz w:val="16"/>
                <w:szCs w:val="16"/>
              </w:rPr>
            </w:pPr>
            <w:r>
              <w:rPr>
                <w:rFonts w:cs="Calibri"/>
                <w:b/>
                <w:bCs/>
                <w:sz w:val="16"/>
                <w:szCs w:val="16"/>
              </w:rPr>
              <w:t>Assets</w:t>
            </w:r>
          </w:p>
        </w:tc>
      </w:tr>
      <w:tr w:rsidR="003E6989" w:rsidTr="001F2C80">
        <w:trPr>
          <w:trHeight w:val="57"/>
        </w:trPr>
        <w:tc>
          <w:tcPr>
            <w:tcW w:w="4018" w:type="dxa"/>
            <w:tcBorders>
              <w:top w:val="nil"/>
              <w:left w:val="single" w:sz="4" w:space="0" w:color="auto"/>
              <w:bottom w:val="single" w:sz="4" w:space="0" w:color="auto"/>
              <w:right w:val="single" w:sz="4" w:space="0" w:color="auto"/>
            </w:tcBorders>
            <w:shd w:val="clear" w:color="000000" w:fill="D9D9D9"/>
            <w:noWrap/>
            <w:hideMark/>
          </w:tcPr>
          <w:p w:rsidR="003E6989" w:rsidRDefault="003E6989" w:rsidP="006A5410">
            <w:pPr>
              <w:spacing w:line="240" w:lineRule="auto"/>
              <w:rPr>
                <w:rFonts w:cs="Calibri"/>
                <w:sz w:val="16"/>
                <w:szCs w:val="16"/>
              </w:rPr>
            </w:pPr>
            <w:r>
              <w:rPr>
                <w:rFonts w:cs="Calibri"/>
                <w:sz w:val="16"/>
                <w:szCs w:val="16"/>
              </w:rPr>
              <w:t>Cash and cash equivalents</w:t>
            </w:r>
          </w:p>
        </w:tc>
        <w:tc>
          <w:tcPr>
            <w:tcW w:w="953"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37,360</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5,146</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34,732</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21,382</w:t>
            </w:r>
          </w:p>
        </w:tc>
        <w:tc>
          <w:tcPr>
            <w:tcW w:w="1168"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1169"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72,092</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26,528</w:t>
            </w:r>
          </w:p>
        </w:tc>
      </w:tr>
      <w:tr w:rsidR="003E6989" w:rsidTr="001F2C80">
        <w:trPr>
          <w:trHeight w:val="57"/>
        </w:trPr>
        <w:tc>
          <w:tcPr>
            <w:tcW w:w="4018" w:type="dxa"/>
            <w:tcBorders>
              <w:top w:val="nil"/>
              <w:left w:val="single" w:sz="4" w:space="0" w:color="auto"/>
              <w:bottom w:val="single" w:sz="4" w:space="0" w:color="auto"/>
              <w:right w:val="single" w:sz="4" w:space="0" w:color="auto"/>
            </w:tcBorders>
            <w:shd w:val="clear" w:color="000000" w:fill="D9D9D9"/>
            <w:noWrap/>
            <w:hideMark/>
          </w:tcPr>
          <w:p w:rsidR="003E6989" w:rsidRDefault="003E6989" w:rsidP="006A5410">
            <w:pPr>
              <w:spacing w:line="240" w:lineRule="auto"/>
              <w:rPr>
                <w:rFonts w:cs="Calibri"/>
                <w:sz w:val="16"/>
                <w:szCs w:val="16"/>
              </w:rPr>
            </w:pPr>
            <w:r>
              <w:rPr>
                <w:rFonts w:cs="Calibri"/>
                <w:sz w:val="16"/>
                <w:szCs w:val="16"/>
              </w:rPr>
              <w:t>Receivables</w:t>
            </w:r>
          </w:p>
        </w:tc>
        <w:tc>
          <w:tcPr>
            <w:tcW w:w="953"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471,413</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4,339</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37,398,987</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30,923,635</w:t>
            </w:r>
          </w:p>
        </w:tc>
        <w:tc>
          <w:tcPr>
            <w:tcW w:w="1168"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1169"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37,870,400</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30,927,974</w:t>
            </w:r>
          </w:p>
        </w:tc>
      </w:tr>
      <w:tr w:rsidR="003E6989" w:rsidTr="001F2C80">
        <w:trPr>
          <w:trHeight w:val="57"/>
        </w:trPr>
        <w:tc>
          <w:tcPr>
            <w:tcW w:w="4018" w:type="dxa"/>
            <w:tcBorders>
              <w:top w:val="nil"/>
              <w:left w:val="single" w:sz="4" w:space="0" w:color="auto"/>
              <w:bottom w:val="single" w:sz="4" w:space="0" w:color="auto"/>
              <w:right w:val="single" w:sz="4" w:space="0" w:color="auto"/>
            </w:tcBorders>
            <w:shd w:val="clear" w:color="000000" w:fill="D9D9D9"/>
            <w:noWrap/>
            <w:hideMark/>
          </w:tcPr>
          <w:p w:rsidR="003E6989" w:rsidRDefault="003E6989" w:rsidP="006A5410">
            <w:pPr>
              <w:spacing w:line="240" w:lineRule="auto"/>
              <w:rPr>
                <w:rFonts w:cs="Calibri"/>
                <w:sz w:val="16"/>
                <w:szCs w:val="16"/>
              </w:rPr>
            </w:pPr>
            <w:r>
              <w:rPr>
                <w:rFonts w:cs="Calibri"/>
                <w:sz w:val="16"/>
                <w:szCs w:val="16"/>
              </w:rPr>
              <w:t>Investments</w:t>
            </w:r>
          </w:p>
        </w:tc>
        <w:tc>
          <w:tcPr>
            <w:tcW w:w="953"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5,336</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6,795</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2,113,001</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2,143,135</w:t>
            </w:r>
          </w:p>
        </w:tc>
        <w:tc>
          <w:tcPr>
            <w:tcW w:w="1168"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1169"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2,118,337</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2,149,930</w:t>
            </w:r>
          </w:p>
        </w:tc>
      </w:tr>
      <w:tr w:rsidR="003E6989" w:rsidTr="001F2C80">
        <w:trPr>
          <w:trHeight w:val="57"/>
        </w:trPr>
        <w:tc>
          <w:tcPr>
            <w:tcW w:w="4018" w:type="dxa"/>
            <w:tcBorders>
              <w:top w:val="nil"/>
              <w:left w:val="single" w:sz="4" w:space="0" w:color="auto"/>
              <w:bottom w:val="single" w:sz="4" w:space="0" w:color="auto"/>
              <w:right w:val="single" w:sz="4" w:space="0" w:color="auto"/>
            </w:tcBorders>
            <w:shd w:val="clear" w:color="000000" w:fill="D9D9D9"/>
            <w:noWrap/>
            <w:hideMark/>
          </w:tcPr>
          <w:p w:rsidR="003E6989" w:rsidRDefault="003E6989" w:rsidP="006A5410">
            <w:pPr>
              <w:spacing w:line="240" w:lineRule="auto"/>
              <w:rPr>
                <w:rFonts w:cs="Calibri"/>
                <w:sz w:val="16"/>
                <w:szCs w:val="16"/>
              </w:rPr>
            </w:pPr>
            <w:r>
              <w:rPr>
                <w:rFonts w:cs="Calibri"/>
                <w:sz w:val="16"/>
                <w:szCs w:val="16"/>
              </w:rPr>
              <w:t>Other non-financial assets</w:t>
            </w:r>
          </w:p>
        </w:tc>
        <w:tc>
          <w:tcPr>
            <w:tcW w:w="953"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240</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1168"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1169"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240</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r>
      <w:tr w:rsidR="003E6989" w:rsidTr="001F2C80">
        <w:trPr>
          <w:trHeight w:val="57"/>
        </w:trPr>
        <w:tc>
          <w:tcPr>
            <w:tcW w:w="4018" w:type="dxa"/>
            <w:tcBorders>
              <w:top w:val="nil"/>
              <w:left w:val="single" w:sz="4" w:space="0" w:color="auto"/>
              <w:bottom w:val="single" w:sz="4" w:space="0" w:color="auto"/>
              <w:right w:val="single" w:sz="4" w:space="0" w:color="auto"/>
            </w:tcBorders>
            <w:shd w:val="clear" w:color="000000" w:fill="D9D9D9"/>
            <w:hideMark/>
          </w:tcPr>
          <w:p w:rsidR="003E6989" w:rsidRDefault="003E6989" w:rsidP="006A5410">
            <w:pPr>
              <w:spacing w:line="240" w:lineRule="auto"/>
              <w:rPr>
                <w:rFonts w:cs="Calibri"/>
                <w:b/>
                <w:bCs/>
                <w:i/>
                <w:iCs/>
                <w:sz w:val="16"/>
                <w:szCs w:val="16"/>
              </w:rPr>
            </w:pPr>
            <w:r>
              <w:rPr>
                <w:rFonts w:cs="Calibri"/>
                <w:b/>
                <w:bCs/>
                <w:i/>
                <w:iCs/>
                <w:sz w:val="16"/>
                <w:szCs w:val="16"/>
              </w:rPr>
              <w:t>Total assets</w:t>
            </w:r>
          </w:p>
        </w:tc>
        <w:tc>
          <w:tcPr>
            <w:tcW w:w="953"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514,109</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16,280</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39,546,960</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33,088,152</w:t>
            </w:r>
          </w:p>
        </w:tc>
        <w:tc>
          <w:tcPr>
            <w:tcW w:w="1168"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1169"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40,061,069</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33,104,432</w:t>
            </w:r>
          </w:p>
        </w:tc>
      </w:tr>
      <w:tr w:rsidR="003E6989" w:rsidTr="001F2C80">
        <w:trPr>
          <w:trHeight w:val="57"/>
        </w:trPr>
        <w:tc>
          <w:tcPr>
            <w:tcW w:w="13991" w:type="dxa"/>
            <w:gridSpan w:val="11"/>
            <w:tcBorders>
              <w:top w:val="single" w:sz="4" w:space="0" w:color="auto"/>
              <w:left w:val="single" w:sz="4" w:space="0" w:color="auto"/>
              <w:bottom w:val="single" w:sz="4" w:space="0" w:color="auto"/>
              <w:right w:val="nil"/>
            </w:tcBorders>
            <w:shd w:val="clear" w:color="000000" w:fill="D9D9D9"/>
            <w:hideMark/>
          </w:tcPr>
          <w:p w:rsidR="003E6989" w:rsidRDefault="003E6989" w:rsidP="006A5410">
            <w:pPr>
              <w:spacing w:line="240" w:lineRule="auto"/>
              <w:rPr>
                <w:rFonts w:cs="Calibri"/>
                <w:b/>
                <w:bCs/>
                <w:sz w:val="16"/>
                <w:szCs w:val="16"/>
              </w:rPr>
            </w:pPr>
            <w:r>
              <w:rPr>
                <w:rFonts w:cs="Calibri"/>
                <w:b/>
                <w:bCs/>
                <w:sz w:val="16"/>
                <w:szCs w:val="16"/>
              </w:rPr>
              <w:t>Liabilities</w:t>
            </w:r>
          </w:p>
        </w:tc>
      </w:tr>
      <w:tr w:rsidR="003E6989" w:rsidTr="001F2C80">
        <w:trPr>
          <w:trHeight w:val="57"/>
        </w:trPr>
        <w:tc>
          <w:tcPr>
            <w:tcW w:w="4018" w:type="dxa"/>
            <w:tcBorders>
              <w:top w:val="nil"/>
              <w:left w:val="single" w:sz="4" w:space="0" w:color="auto"/>
              <w:bottom w:val="single" w:sz="4" w:space="0" w:color="auto"/>
              <w:right w:val="single" w:sz="4" w:space="0" w:color="auto"/>
            </w:tcBorders>
            <w:shd w:val="clear" w:color="000000" w:fill="D9D9D9"/>
            <w:noWrap/>
            <w:hideMark/>
          </w:tcPr>
          <w:p w:rsidR="003E6989" w:rsidRDefault="003E6989" w:rsidP="006A5410">
            <w:pPr>
              <w:spacing w:line="240" w:lineRule="auto"/>
              <w:rPr>
                <w:rFonts w:cs="Calibri"/>
                <w:sz w:val="16"/>
                <w:szCs w:val="16"/>
              </w:rPr>
            </w:pPr>
            <w:r>
              <w:rPr>
                <w:rFonts w:cs="Calibri"/>
                <w:sz w:val="16"/>
                <w:szCs w:val="16"/>
              </w:rPr>
              <w:t>Suppliers</w:t>
            </w:r>
          </w:p>
        </w:tc>
        <w:tc>
          <w:tcPr>
            <w:tcW w:w="953"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13,670</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3,886</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43,193</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50,253</w:t>
            </w:r>
          </w:p>
        </w:tc>
        <w:tc>
          <w:tcPr>
            <w:tcW w:w="1168"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1169"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761</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96</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57,624</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54,235</w:t>
            </w:r>
          </w:p>
        </w:tc>
      </w:tr>
      <w:tr w:rsidR="003E6989" w:rsidTr="001F2C80">
        <w:trPr>
          <w:trHeight w:val="57"/>
        </w:trPr>
        <w:tc>
          <w:tcPr>
            <w:tcW w:w="4018" w:type="dxa"/>
            <w:tcBorders>
              <w:top w:val="nil"/>
              <w:left w:val="single" w:sz="4" w:space="0" w:color="auto"/>
              <w:bottom w:val="single" w:sz="4" w:space="0" w:color="auto"/>
              <w:right w:val="single" w:sz="4" w:space="0" w:color="auto"/>
            </w:tcBorders>
            <w:shd w:val="clear" w:color="000000" w:fill="D9D9D9"/>
            <w:noWrap/>
            <w:hideMark/>
          </w:tcPr>
          <w:p w:rsidR="003E6989" w:rsidRDefault="003E6989" w:rsidP="006A5410">
            <w:pPr>
              <w:spacing w:line="240" w:lineRule="auto"/>
              <w:rPr>
                <w:rFonts w:cs="Calibri"/>
                <w:sz w:val="16"/>
                <w:szCs w:val="16"/>
              </w:rPr>
            </w:pPr>
            <w:r>
              <w:rPr>
                <w:rFonts w:cs="Calibri"/>
                <w:sz w:val="16"/>
                <w:szCs w:val="16"/>
              </w:rPr>
              <w:t>Personal benefits</w:t>
            </w:r>
          </w:p>
        </w:tc>
        <w:tc>
          <w:tcPr>
            <w:tcW w:w="953"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149,271</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1168"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1169"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149,271</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r>
      <w:tr w:rsidR="003E6989" w:rsidTr="001F2C80">
        <w:trPr>
          <w:trHeight w:val="57"/>
        </w:trPr>
        <w:tc>
          <w:tcPr>
            <w:tcW w:w="4018" w:type="dxa"/>
            <w:tcBorders>
              <w:top w:val="nil"/>
              <w:left w:val="single" w:sz="4" w:space="0" w:color="auto"/>
              <w:bottom w:val="single" w:sz="4" w:space="0" w:color="auto"/>
              <w:right w:val="single" w:sz="4" w:space="0" w:color="auto"/>
            </w:tcBorders>
            <w:shd w:val="clear" w:color="000000" w:fill="D9D9D9"/>
            <w:noWrap/>
            <w:hideMark/>
          </w:tcPr>
          <w:p w:rsidR="003E6989" w:rsidRDefault="003E6989" w:rsidP="006A5410">
            <w:pPr>
              <w:spacing w:line="240" w:lineRule="auto"/>
              <w:rPr>
                <w:rFonts w:cs="Calibri"/>
                <w:sz w:val="16"/>
                <w:szCs w:val="16"/>
              </w:rPr>
            </w:pPr>
            <w:r>
              <w:rPr>
                <w:rFonts w:cs="Calibri"/>
                <w:sz w:val="16"/>
                <w:szCs w:val="16"/>
              </w:rPr>
              <w:t>Grants</w:t>
            </w:r>
          </w:p>
        </w:tc>
        <w:tc>
          <w:tcPr>
            <w:tcW w:w="953"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15,743</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3,318</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20,503</w:t>
            </w:r>
          </w:p>
        </w:tc>
        <w:tc>
          <w:tcPr>
            <w:tcW w:w="1168"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1169"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3,318</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36,246</w:t>
            </w:r>
          </w:p>
        </w:tc>
      </w:tr>
      <w:tr w:rsidR="003E6989" w:rsidTr="001F2C80">
        <w:trPr>
          <w:trHeight w:val="57"/>
        </w:trPr>
        <w:tc>
          <w:tcPr>
            <w:tcW w:w="4018" w:type="dxa"/>
            <w:tcBorders>
              <w:top w:val="nil"/>
              <w:left w:val="single" w:sz="4" w:space="0" w:color="auto"/>
              <w:bottom w:val="single" w:sz="4" w:space="0" w:color="auto"/>
              <w:right w:val="single" w:sz="4" w:space="0" w:color="auto"/>
            </w:tcBorders>
            <w:shd w:val="clear" w:color="000000" w:fill="D9D9D9"/>
            <w:noWrap/>
            <w:hideMark/>
          </w:tcPr>
          <w:p w:rsidR="003E6989" w:rsidRDefault="003E6989" w:rsidP="006A5410">
            <w:pPr>
              <w:spacing w:line="240" w:lineRule="auto"/>
              <w:rPr>
                <w:rFonts w:cs="Calibri"/>
                <w:sz w:val="16"/>
                <w:szCs w:val="16"/>
              </w:rPr>
            </w:pPr>
            <w:r>
              <w:rPr>
                <w:rFonts w:cs="Calibri"/>
                <w:sz w:val="16"/>
                <w:szCs w:val="16"/>
              </w:rPr>
              <w:t>Other payables</w:t>
            </w:r>
          </w:p>
        </w:tc>
        <w:tc>
          <w:tcPr>
            <w:tcW w:w="953"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13,748</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2,118</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23,333</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15,571</w:t>
            </w:r>
          </w:p>
        </w:tc>
        <w:tc>
          <w:tcPr>
            <w:tcW w:w="1168"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1169"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12</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37,081</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17,701</w:t>
            </w:r>
          </w:p>
        </w:tc>
      </w:tr>
      <w:tr w:rsidR="003E6989" w:rsidTr="001F2C80">
        <w:trPr>
          <w:trHeight w:val="57"/>
        </w:trPr>
        <w:tc>
          <w:tcPr>
            <w:tcW w:w="4018" w:type="dxa"/>
            <w:tcBorders>
              <w:top w:val="nil"/>
              <w:left w:val="single" w:sz="4" w:space="0" w:color="auto"/>
              <w:bottom w:val="single" w:sz="4" w:space="0" w:color="auto"/>
              <w:right w:val="single" w:sz="4" w:space="0" w:color="auto"/>
            </w:tcBorders>
            <w:shd w:val="clear" w:color="000000" w:fill="D9D9D9"/>
            <w:noWrap/>
            <w:hideMark/>
          </w:tcPr>
          <w:p w:rsidR="003E6989" w:rsidRDefault="003E6989" w:rsidP="006A5410">
            <w:pPr>
              <w:spacing w:line="240" w:lineRule="auto"/>
              <w:rPr>
                <w:rFonts w:cs="Calibri"/>
                <w:sz w:val="16"/>
                <w:szCs w:val="16"/>
              </w:rPr>
            </w:pPr>
            <w:r>
              <w:rPr>
                <w:rFonts w:cs="Calibri"/>
                <w:sz w:val="16"/>
                <w:szCs w:val="16"/>
              </w:rPr>
              <w:t>Provision for personal benefits</w:t>
            </w:r>
          </w:p>
        </w:tc>
        <w:tc>
          <w:tcPr>
            <w:tcW w:w="953"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872,819</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1168"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1169"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872,819</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r>
      <w:tr w:rsidR="003E6989" w:rsidTr="001F2C80">
        <w:trPr>
          <w:trHeight w:val="57"/>
        </w:trPr>
        <w:tc>
          <w:tcPr>
            <w:tcW w:w="4018" w:type="dxa"/>
            <w:tcBorders>
              <w:top w:val="nil"/>
              <w:left w:val="single" w:sz="4" w:space="0" w:color="auto"/>
              <w:bottom w:val="single" w:sz="4" w:space="0" w:color="auto"/>
              <w:right w:val="single" w:sz="4" w:space="0" w:color="auto"/>
            </w:tcBorders>
            <w:shd w:val="clear" w:color="000000" w:fill="D9D9D9"/>
            <w:noWrap/>
            <w:hideMark/>
          </w:tcPr>
          <w:p w:rsidR="003E6989" w:rsidRDefault="003E6989" w:rsidP="006A5410">
            <w:pPr>
              <w:spacing w:line="240" w:lineRule="auto"/>
              <w:rPr>
                <w:rFonts w:cs="Calibri"/>
                <w:sz w:val="16"/>
                <w:szCs w:val="16"/>
              </w:rPr>
            </w:pPr>
            <w:r>
              <w:rPr>
                <w:rFonts w:cs="Calibri"/>
                <w:sz w:val="16"/>
                <w:szCs w:val="16"/>
              </w:rPr>
              <w:t>Provision for grants</w:t>
            </w:r>
          </w:p>
        </w:tc>
        <w:tc>
          <w:tcPr>
            <w:tcW w:w="953"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6,959,011</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6,068,013</w:t>
            </w:r>
          </w:p>
        </w:tc>
        <w:tc>
          <w:tcPr>
            <w:tcW w:w="1168"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1169"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6,959,011</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6,068,013</w:t>
            </w:r>
          </w:p>
        </w:tc>
      </w:tr>
      <w:tr w:rsidR="003E6989" w:rsidTr="001F2C80">
        <w:trPr>
          <w:trHeight w:val="57"/>
        </w:trPr>
        <w:tc>
          <w:tcPr>
            <w:tcW w:w="4018" w:type="dxa"/>
            <w:tcBorders>
              <w:top w:val="nil"/>
              <w:left w:val="single" w:sz="4" w:space="0" w:color="auto"/>
              <w:bottom w:val="single" w:sz="4" w:space="0" w:color="auto"/>
              <w:right w:val="single" w:sz="4" w:space="0" w:color="auto"/>
            </w:tcBorders>
            <w:shd w:val="clear" w:color="000000" w:fill="D9D9D9"/>
            <w:hideMark/>
          </w:tcPr>
          <w:p w:rsidR="003E6989" w:rsidRDefault="003E6989" w:rsidP="006A5410">
            <w:pPr>
              <w:spacing w:line="240" w:lineRule="auto"/>
              <w:rPr>
                <w:rFonts w:cs="Calibri"/>
                <w:b/>
                <w:bCs/>
                <w:i/>
                <w:iCs/>
                <w:sz w:val="16"/>
                <w:szCs w:val="16"/>
              </w:rPr>
            </w:pPr>
            <w:r>
              <w:rPr>
                <w:rFonts w:cs="Calibri"/>
                <w:b/>
                <w:bCs/>
                <w:i/>
                <w:iCs/>
                <w:sz w:val="16"/>
                <w:szCs w:val="16"/>
              </w:rPr>
              <w:t>Total liabilities</w:t>
            </w:r>
          </w:p>
        </w:tc>
        <w:tc>
          <w:tcPr>
            <w:tcW w:w="953"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1,049,508</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21,747</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7,028,855</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6,154,340</w:t>
            </w:r>
          </w:p>
        </w:tc>
        <w:tc>
          <w:tcPr>
            <w:tcW w:w="1168"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w:t>
            </w:r>
          </w:p>
        </w:tc>
        <w:tc>
          <w:tcPr>
            <w:tcW w:w="1169"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w:t>
            </w:r>
          </w:p>
        </w:tc>
        <w:tc>
          <w:tcPr>
            <w:tcW w:w="954"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761</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108</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b/>
                <w:bCs/>
                <w:sz w:val="16"/>
                <w:szCs w:val="16"/>
              </w:rPr>
            </w:pPr>
            <w:r>
              <w:rPr>
                <w:rFonts w:cs="Calibri"/>
                <w:b/>
                <w:bCs/>
                <w:sz w:val="16"/>
                <w:szCs w:val="16"/>
              </w:rPr>
              <w:t>8,079,124</w:t>
            </w:r>
          </w:p>
        </w:tc>
        <w:tc>
          <w:tcPr>
            <w:tcW w:w="955" w:type="dxa"/>
            <w:tcBorders>
              <w:top w:val="nil"/>
              <w:left w:val="nil"/>
              <w:bottom w:val="single" w:sz="4" w:space="0" w:color="auto"/>
              <w:right w:val="single" w:sz="4" w:space="0" w:color="auto"/>
            </w:tcBorders>
            <w:shd w:val="clear" w:color="000000" w:fill="D9D9D9"/>
            <w:noWrap/>
            <w:vAlign w:val="bottom"/>
            <w:hideMark/>
          </w:tcPr>
          <w:p w:rsidR="003E6989" w:rsidRDefault="003E6989" w:rsidP="006A5410">
            <w:pPr>
              <w:spacing w:line="240" w:lineRule="auto"/>
              <w:jc w:val="right"/>
              <w:rPr>
                <w:rFonts w:cs="Calibri"/>
                <w:sz w:val="16"/>
                <w:szCs w:val="16"/>
              </w:rPr>
            </w:pPr>
            <w:r>
              <w:rPr>
                <w:rFonts w:cs="Calibri"/>
                <w:sz w:val="16"/>
                <w:szCs w:val="16"/>
              </w:rPr>
              <w:t>6,176,195</w:t>
            </w:r>
          </w:p>
        </w:tc>
      </w:tr>
    </w:tbl>
    <w:p w:rsidR="003E6989" w:rsidRDefault="003E6989" w:rsidP="00E011FB">
      <w:pPr>
        <w:pStyle w:val="12line"/>
        <w:rPr>
          <w:lang w:eastAsia="en-AU"/>
        </w:rPr>
      </w:pPr>
    </w:p>
    <w:sectPr w:rsidR="003E6989" w:rsidSect="006A5410">
      <w:pgSz w:w="16838" w:h="11906" w:orient="landscape"/>
      <w:pgMar w:top="1440" w:right="1440" w:bottom="1440" w:left="1440" w:header="708" w:footer="708"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F4F" w:rsidRDefault="00A47F4F">
      <w:pPr>
        <w:spacing w:line="240" w:lineRule="auto"/>
      </w:pPr>
      <w:r>
        <w:separator/>
      </w:r>
    </w:p>
  </w:endnote>
  <w:endnote w:type="continuationSeparator" w:id="0">
    <w:p w:rsidR="00A47F4F" w:rsidRDefault="00A47F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font>
  <w:font w:name="Swiss 721 BT">
    <w:altName w:val="Swiss 721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988485"/>
      <w:docPartObj>
        <w:docPartGallery w:val="Page Numbers (Bottom of Page)"/>
        <w:docPartUnique/>
      </w:docPartObj>
    </w:sdtPr>
    <w:sdtEndPr>
      <w:rPr>
        <w:noProof/>
      </w:rPr>
    </w:sdtEndPr>
    <w:sdtContent>
      <w:p w:rsidR="00A47F4F" w:rsidRDefault="00A47F4F">
        <w:pPr>
          <w:pStyle w:val="Footer"/>
          <w:jc w:val="right"/>
        </w:pPr>
        <w:r>
          <w:fldChar w:fldCharType="begin"/>
        </w:r>
        <w:r>
          <w:instrText xml:space="preserve"> PAGE   \* MERGEFORMAT </w:instrText>
        </w:r>
        <w:r>
          <w:fldChar w:fldCharType="separate"/>
        </w:r>
        <w:r w:rsidR="005E7B95">
          <w:rPr>
            <w:noProof/>
          </w:rPr>
          <w:t>4</w:t>
        </w:r>
        <w:r>
          <w:rPr>
            <w:noProof/>
          </w:rPr>
          <w:fldChar w:fldCharType="end"/>
        </w:r>
      </w:p>
    </w:sdtContent>
  </w:sdt>
  <w:p w:rsidR="00A47F4F" w:rsidRDefault="00A47F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4F" w:rsidRDefault="00A47F4F" w:rsidP="008468D3">
    <w:pPr>
      <w:autoSpaceDE w:val="0"/>
      <w:autoSpaceDN w:val="0"/>
      <w:adjustRightInd w:val="0"/>
      <w:spacing w:line="240" w:lineRule="auto"/>
      <w:ind w:left="5670"/>
      <w:rPr>
        <w:rFonts w:ascii="Arial" w:hAnsi="Arial" w:cs="Arial"/>
        <w:color w:val="525756"/>
        <w:sz w:val="13"/>
        <w:szCs w:val="13"/>
      </w:rPr>
    </w:pPr>
    <w:r>
      <w:rPr>
        <w:rFonts w:ascii="Arial" w:hAnsi="Arial" w:cs="Arial"/>
        <w:color w:val="525756"/>
        <w:sz w:val="13"/>
        <w:szCs w:val="13"/>
      </w:rPr>
      <w:t>GPO B</w:t>
    </w:r>
    <w:r>
      <w:rPr>
        <w:rFonts w:ascii="Arial" w:hAnsi="Arial" w:cs="Arial"/>
        <w:color w:val="6C6E6E"/>
        <w:sz w:val="13"/>
        <w:szCs w:val="13"/>
      </w:rPr>
      <w:t xml:space="preserve">ox </w:t>
    </w:r>
    <w:r>
      <w:rPr>
        <w:rFonts w:ascii="Arial" w:hAnsi="Arial" w:cs="Arial"/>
        <w:color w:val="525756"/>
        <w:sz w:val="13"/>
        <w:szCs w:val="13"/>
      </w:rPr>
      <w:t>7</w:t>
    </w:r>
    <w:r>
      <w:rPr>
        <w:rFonts w:ascii="Arial" w:hAnsi="Arial" w:cs="Arial"/>
        <w:color w:val="6C6E6E"/>
        <w:sz w:val="13"/>
        <w:szCs w:val="13"/>
      </w:rPr>
      <w:t>0</w:t>
    </w:r>
    <w:r>
      <w:rPr>
        <w:rFonts w:ascii="Arial" w:hAnsi="Arial" w:cs="Arial"/>
        <w:color w:val="525756"/>
        <w:sz w:val="13"/>
        <w:szCs w:val="13"/>
      </w:rPr>
      <w:t>7 CANB</w:t>
    </w:r>
    <w:r>
      <w:rPr>
        <w:rFonts w:ascii="Arial" w:hAnsi="Arial" w:cs="Arial"/>
        <w:color w:val="6C6E6E"/>
        <w:sz w:val="13"/>
        <w:szCs w:val="13"/>
      </w:rPr>
      <w:t>E</w:t>
    </w:r>
    <w:r>
      <w:rPr>
        <w:rFonts w:ascii="Arial" w:hAnsi="Arial" w:cs="Arial"/>
        <w:color w:val="525756"/>
        <w:sz w:val="13"/>
        <w:szCs w:val="13"/>
      </w:rPr>
      <w:t>RRA AC</w:t>
    </w:r>
    <w:r>
      <w:rPr>
        <w:rFonts w:ascii="Arial" w:hAnsi="Arial" w:cs="Arial"/>
        <w:color w:val="6C6E6E"/>
        <w:sz w:val="13"/>
        <w:szCs w:val="13"/>
      </w:rPr>
      <w:t xml:space="preserve">T </w:t>
    </w:r>
    <w:r>
      <w:rPr>
        <w:rFonts w:ascii="Arial" w:hAnsi="Arial" w:cs="Arial"/>
        <w:color w:val="525756"/>
        <w:sz w:val="13"/>
        <w:szCs w:val="13"/>
      </w:rPr>
      <w:t>2601</w:t>
    </w:r>
  </w:p>
  <w:p w:rsidR="00A47F4F" w:rsidRDefault="00A47F4F" w:rsidP="008468D3">
    <w:pPr>
      <w:autoSpaceDE w:val="0"/>
      <w:autoSpaceDN w:val="0"/>
      <w:adjustRightInd w:val="0"/>
      <w:spacing w:line="240" w:lineRule="auto"/>
      <w:ind w:left="5670"/>
      <w:rPr>
        <w:rFonts w:ascii="Arial" w:hAnsi="Arial" w:cs="Arial"/>
        <w:color w:val="525756"/>
        <w:sz w:val="13"/>
        <w:szCs w:val="13"/>
      </w:rPr>
    </w:pPr>
    <w:r>
      <w:rPr>
        <w:rFonts w:ascii="Arial" w:hAnsi="Arial" w:cs="Arial"/>
        <w:color w:val="525756"/>
        <w:sz w:val="13"/>
        <w:szCs w:val="13"/>
      </w:rPr>
      <w:t>19 Nat</w:t>
    </w:r>
    <w:r>
      <w:rPr>
        <w:rFonts w:ascii="Arial" w:hAnsi="Arial" w:cs="Arial"/>
        <w:color w:val="6C6E6E"/>
        <w:sz w:val="13"/>
        <w:szCs w:val="13"/>
      </w:rPr>
      <w:t xml:space="preserve">ional </w:t>
    </w:r>
    <w:r>
      <w:rPr>
        <w:rFonts w:ascii="Arial" w:hAnsi="Arial" w:cs="Arial"/>
        <w:color w:val="525756"/>
        <w:sz w:val="13"/>
        <w:szCs w:val="13"/>
      </w:rPr>
      <w:t>Circ</w:t>
    </w:r>
    <w:r>
      <w:rPr>
        <w:rFonts w:ascii="Arial" w:hAnsi="Arial" w:cs="Arial"/>
        <w:color w:val="6C6E6E"/>
        <w:sz w:val="13"/>
        <w:szCs w:val="13"/>
      </w:rPr>
      <w:t>ui</w:t>
    </w:r>
    <w:r>
      <w:rPr>
        <w:rFonts w:ascii="Arial" w:hAnsi="Arial" w:cs="Arial"/>
        <w:color w:val="525756"/>
        <w:sz w:val="13"/>
        <w:szCs w:val="13"/>
      </w:rPr>
      <w:t>t BARTON ACT</w:t>
    </w:r>
  </w:p>
  <w:p w:rsidR="00A47F4F" w:rsidRDefault="00A47F4F" w:rsidP="008468D3">
    <w:pPr>
      <w:autoSpaceDE w:val="0"/>
      <w:autoSpaceDN w:val="0"/>
      <w:adjustRightInd w:val="0"/>
      <w:spacing w:line="240" w:lineRule="auto"/>
      <w:ind w:left="5670"/>
      <w:rPr>
        <w:rFonts w:ascii="Arial" w:hAnsi="Arial" w:cs="Arial"/>
        <w:color w:val="525756"/>
        <w:sz w:val="13"/>
        <w:szCs w:val="13"/>
      </w:rPr>
    </w:pPr>
    <w:r>
      <w:rPr>
        <w:rFonts w:ascii="Arial" w:hAnsi="Arial" w:cs="Arial"/>
        <w:color w:val="6C6E6E"/>
        <w:sz w:val="13"/>
        <w:szCs w:val="13"/>
      </w:rPr>
      <w:t>Ph</w:t>
    </w:r>
    <w:r>
      <w:rPr>
        <w:rFonts w:ascii="Arial" w:hAnsi="Arial" w:cs="Arial"/>
        <w:color w:val="525756"/>
        <w:sz w:val="13"/>
        <w:szCs w:val="13"/>
      </w:rPr>
      <w:t xml:space="preserve">one </w:t>
    </w:r>
    <w:r>
      <w:rPr>
        <w:rFonts w:ascii="Arial" w:hAnsi="Arial" w:cs="Arial"/>
        <w:color w:val="6C6E6E"/>
        <w:sz w:val="13"/>
        <w:szCs w:val="13"/>
      </w:rPr>
      <w:t>(</w:t>
    </w:r>
    <w:r>
      <w:rPr>
        <w:rFonts w:ascii="Arial" w:hAnsi="Arial" w:cs="Arial"/>
        <w:color w:val="525756"/>
        <w:sz w:val="13"/>
        <w:szCs w:val="13"/>
      </w:rPr>
      <w:t>0</w:t>
    </w:r>
    <w:r>
      <w:rPr>
        <w:rFonts w:ascii="Arial" w:hAnsi="Arial" w:cs="Arial"/>
        <w:color w:val="6C6E6E"/>
        <w:sz w:val="13"/>
        <w:szCs w:val="13"/>
      </w:rPr>
      <w:t xml:space="preserve">2} </w:t>
    </w:r>
    <w:r>
      <w:rPr>
        <w:rFonts w:ascii="Arial" w:hAnsi="Arial" w:cs="Arial"/>
        <w:color w:val="525756"/>
        <w:sz w:val="13"/>
        <w:szCs w:val="13"/>
      </w:rPr>
      <w:t xml:space="preserve">6203 7300 Fax </w:t>
    </w:r>
    <w:r>
      <w:rPr>
        <w:rFonts w:ascii="Arial" w:hAnsi="Arial" w:cs="Arial"/>
        <w:color w:val="6C6E6E"/>
        <w:sz w:val="13"/>
        <w:szCs w:val="13"/>
      </w:rPr>
      <w:t>(</w:t>
    </w:r>
    <w:r>
      <w:rPr>
        <w:rFonts w:ascii="Arial" w:hAnsi="Arial" w:cs="Arial"/>
        <w:color w:val="525756"/>
        <w:sz w:val="13"/>
        <w:szCs w:val="13"/>
      </w:rPr>
      <w:t>02} 6203 7777</w:t>
    </w:r>
  </w:p>
  <w:sdt>
    <w:sdtPr>
      <w:id w:val="-780342695"/>
      <w:docPartObj>
        <w:docPartGallery w:val="Page Numbers (Bottom of Page)"/>
        <w:docPartUnique/>
      </w:docPartObj>
    </w:sdtPr>
    <w:sdtEndPr>
      <w:rPr>
        <w:noProof/>
      </w:rPr>
    </w:sdtEndPr>
    <w:sdtContent>
      <w:p w:rsidR="00A47F4F" w:rsidRPr="00C94244" w:rsidRDefault="00C94244" w:rsidP="00C94244">
        <w:pPr>
          <w:pStyle w:val="Footer"/>
          <w:jc w:val="right"/>
          <w:rPr>
            <w:rFonts w:ascii="Calibri" w:hAnsi="Calibri"/>
            <w:noProof/>
            <w:sz w:val="18"/>
            <w:lang w:eastAsia="en-US"/>
          </w:rPr>
        </w:pPr>
        <w:r>
          <w:fldChar w:fldCharType="begin"/>
        </w:r>
        <w:r>
          <w:instrText xml:space="preserve"> PAGE   \* MERGEFORMAT </w:instrText>
        </w:r>
        <w:r>
          <w:fldChar w:fldCharType="separate"/>
        </w:r>
        <w:r w:rsidR="005E7B95">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498579858"/>
      <w:docPartObj>
        <w:docPartGallery w:val="Page Numbers (Bottom of Page)"/>
        <w:docPartUnique/>
      </w:docPartObj>
    </w:sdtPr>
    <w:sdtEndPr/>
    <w:sdtContent>
      <w:p w:rsidR="00A47F4F" w:rsidRDefault="00A47F4F">
        <w:pPr>
          <w:pStyle w:val="Footer"/>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PAGE   \* MERGEFORMAT </w:instrText>
        </w:r>
        <w:r>
          <w:rPr>
            <w:rFonts w:asciiTheme="minorHAnsi" w:hAnsiTheme="minorHAnsi" w:cstheme="minorHAnsi"/>
          </w:rPr>
          <w:fldChar w:fldCharType="separate"/>
        </w:r>
        <w:r w:rsidR="005E7B95">
          <w:rPr>
            <w:rFonts w:asciiTheme="minorHAnsi" w:hAnsiTheme="minorHAnsi" w:cstheme="minorHAnsi"/>
            <w:noProof/>
          </w:rPr>
          <w:t>15</w:t>
        </w:r>
        <w:r>
          <w:rPr>
            <w:rFonts w:asciiTheme="minorHAnsi" w:hAnsiTheme="minorHAnsi" w:cstheme="minorHAnsi"/>
          </w:rPr>
          <w:fldChar w:fldCharType="end"/>
        </w:r>
      </w:p>
    </w:sdtContent>
  </w:sdt>
  <w:p w:rsidR="00A47F4F" w:rsidRDefault="00A47F4F">
    <w:pPr>
      <w:pStyle w:val="Footer"/>
      <w:rPr>
        <w:rFonts w:asciiTheme="minorHAnsi" w:hAnsiTheme="minorHAnsi" w:cstheme="minorHAnsi"/>
      </w:rPr>
    </w:pPr>
    <w:r>
      <w:rPr>
        <w:rFonts w:asciiTheme="minorHAnsi" w:hAnsiTheme="minorHAnsi" w:cstheme="minorHAnsi"/>
      </w:rPr>
      <w:t>The above schedule should be read in conjunction with the accompanying notes.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545046"/>
      <w:docPartObj>
        <w:docPartGallery w:val="Page Numbers (Bottom of Page)"/>
        <w:docPartUnique/>
      </w:docPartObj>
    </w:sdtPr>
    <w:sdtEndPr/>
    <w:sdtContent>
      <w:p w:rsidR="00A47F4F" w:rsidRDefault="00A47F4F">
        <w:pPr>
          <w:pStyle w:val="Footer"/>
          <w:jc w:val="right"/>
        </w:pPr>
        <w:r>
          <w:rPr>
            <w:rFonts w:asciiTheme="minorHAnsi" w:hAnsiTheme="minorHAnsi" w:cstheme="minorHAnsi"/>
          </w:rPr>
          <w:fldChar w:fldCharType="begin"/>
        </w:r>
        <w:r>
          <w:rPr>
            <w:rFonts w:asciiTheme="minorHAnsi" w:hAnsiTheme="minorHAnsi" w:cstheme="minorHAnsi"/>
          </w:rPr>
          <w:instrText xml:space="preserve"> PAGE  \* Arabic  \* MERGEFORMAT </w:instrText>
        </w:r>
        <w:r>
          <w:rPr>
            <w:rFonts w:asciiTheme="minorHAnsi" w:hAnsiTheme="minorHAnsi" w:cstheme="minorHAnsi"/>
          </w:rPr>
          <w:fldChar w:fldCharType="separate"/>
        </w:r>
        <w:r w:rsidR="005E7B95">
          <w:rPr>
            <w:rFonts w:asciiTheme="minorHAnsi" w:hAnsiTheme="minorHAnsi" w:cstheme="minorHAnsi"/>
            <w:noProof/>
          </w:rPr>
          <w:t>41</w:t>
        </w:r>
        <w:r>
          <w:rPr>
            <w:rFonts w:asciiTheme="minorHAnsi" w:hAnsiTheme="minorHAnsi" w:cstheme="minorHAnsi"/>
          </w:rPr>
          <w:fldChar w:fldCharType="end"/>
        </w:r>
      </w:p>
    </w:sdtContent>
  </w:sdt>
  <w:p w:rsidR="00A47F4F" w:rsidRDefault="00A47F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F4F" w:rsidRDefault="00A47F4F">
      <w:pPr>
        <w:spacing w:line="240" w:lineRule="auto"/>
      </w:pPr>
      <w:r>
        <w:separator/>
      </w:r>
    </w:p>
  </w:footnote>
  <w:footnote w:type="continuationSeparator" w:id="0">
    <w:p w:rsidR="00A47F4F" w:rsidRDefault="00A47F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4F" w:rsidRPr="00E73CE0" w:rsidRDefault="00A47F4F" w:rsidP="00E73CE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4F" w:rsidRPr="00403CAE" w:rsidRDefault="00A47F4F" w:rsidP="00403CA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4F" w:rsidRPr="00403CAE" w:rsidRDefault="00A47F4F" w:rsidP="00403CA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4F" w:rsidRPr="00403CAE" w:rsidRDefault="00A47F4F" w:rsidP="00403CA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4F" w:rsidRPr="00403CAE" w:rsidRDefault="00A47F4F" w:rsidP="00403CA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4F" w:rsidRPr="00403CAE" w:rsidRDefault="00A47F4F" w:rsidP="00403CAE">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4F" w:rsidRPr="00403CAE" w:rsidRDefault="00A47F4F" w:rsidP="00403C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4F" w:rsidRPr="00403CAE" w:rsidRDefault="00A47F4F" w:rsidP="00403C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4F" w:rsidRPr="00403CAE" w:rsidRDefault="00A47F4F" w:rsidP="00403C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4F" w:rsidRPr="00403CAE" w:rsidRDefault="00A47F4F" w:rsidP="00403CA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4F" w:rsidRPr="00403CAE" w:rsidRDefault="00A47F4F" w:rsidP="00403CA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4F" w:rsidRPr="00403CAE" w:rsidRDefault="00A47F4F" w:rsidP="00403CA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4F" w:rsidRPr="00403CAE" w:rsidRDefault="00A47F4F" w:rsidP="00403CA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4F" w:rsidRPr="00403CAE" w:rsidRDefault="00A47F4F" w:rsidP="00403CA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4F" w:rsidRPr="00403CAE" w:rsidRDefault="00A47F4F" w:rsidP="00403C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0ED7E0"/>
    <w:lvl w:ilvl="0">
      <w:start w:val="1"/>
      <w:numFmt w:val="decimal"/>
      <w:lvlText w:val="%1."/>
      <w:lvlJc w:val="left"/>
      <w:pPr>
        <w:tabs>
          <w:tab w:val="num" w:pos="1492"/>
        </w:tabs>
        <w:ind w:left="1492" w:hanging="360"/>
      </w:pPr>
    </w:lvl>
  </w:abstractNum>
  <w:abstractNum w:abstractNumId="1">
    <w:nsid w:val="FFFFFF7D"/>
    <w:multiLevelType w:val="singleLevel"/>
    <w:tmpl w:val="744C2566"/>
    <w:lvl w:ilvl="0">
      <w:start w:val="1"/>
      <w:numFmt w:val="decimal"/>
      <w:lvlText w:val="%1."/>
      <w:lvlJc w:val="left"/>
      <w:pPr>
        <w:tabs>
          <w:tab w:val="num" w:pos="1209"/>
        </w:tabs>
        <w:ind w:left="1209" w:hanging="360"/>
      </w:pPr>
    </w:lvl>
  </w:abstractNum>
  <w:abstractNum w:abstractNumId="2">
    <w:nsid w:val="FFFFFF7E"/>
    <w:multiLevelType w:val="singleLevel"/>
    <w:tmpl w:val="0380B410"/>
    <w:lvl w:ilvl="0">
      <w:start w:val="1"/>
      <w:numFmt w:val="decimal"/>
      <w:lvlText w:val="%1."/>
      <w:lvlJc w:val="left"/>
      <w:pPr>
        <w:tabs>
          <w:tab w:val="num" w:pos="926"/>
        </w:tabs>
        <w:ind w:left="926" w:hanging="360"/>
      </w:pPr>
    </w:lvl>
  </w:abstractNum>
  <w:abstractNum w:abstractNumId="3">
    <w:nsid w:val="FFFFFF7F"/>
    <w:multiLevelType w:val="singleLevel"/>
    <w:tmpl w:val="7D800650"/>
    <w:lvl w:ilvl="0">
      <w:start w:val="1"/>
      <w:numFmt w:val="decimal"/>
      <w:lvlText w:val="%1."/>
      <w:lvlJc w:val="left"/>
      <w:pPr>
        <w:tabs>
          <w:tab w:val="num" w:pos="643"/>
        </w:tabs>
        <w:ind w:left="643" w:hanging="360"/>
      </w:pPr>
    </w:lvl>
  </w:abstractNum>
  <w:abstractNum w:abstractNumId="4">
    <w:nsid w:val="FFFFFF80"/>
    <w:multiLevelType w:val="singleLevel"/>
    <w:tmpl w:val="1174EA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730FE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E1E04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79090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A22AF0"/>
    <w:lvl w:ilvl="0">
      <w:start w:val="1"/>
      <w:numFmt w:val="decimal"/>
      <w:lvlText w:val="%1."/>
      <w:lvlJc w:val="left"/>
      <w:pPr>
        <w:tabs>
          <w:tab w:val="num" w:pos="360"/>
        </w:tabs>
        <w:ind w:left="360" w:hanging="360"/>
      </w:pPr>
    </w:lvl>
  </w:abstractNum>
  <w:abstractNum w:abstractNumId="9">
    <w:nsid w:val="FFFFFF89"/>
    <w:multiLevelType w:val="singleLevel"/>
    <w:tmpl w:val="A468C774"/>
    <w:lvl w:ilvl="0">
      <w:start w:val="1"/>
      <w:numFmt w:val="bullet"/>
      <w:lvlText w:val=""/>
      <w:lvlJc w:val="left"/>
      <w:pPr>
        <w:tabs>
          <w:tab w:val="num" w:pos="360"/>
        </w:tabs>
        <w:ind w:left="360" w:hanging="360"/>
      </w:pPr>
      <w:rPr>
        <w:rFonts w:ascii="Symbol" w:hAnsi="Symbol" w:hint="default"/>
      </w:rPr>
    </w:lvl>
  </w:abstractNum>
  <w:abstractNum w:abstractNumId="10">
    <w:nsid w:val="01AF4F85"/>
    <w:multiLevelType w:val="multilevel"/>
    <w:tmpl w:val="4A2C09A0"/>
    <w:styleLink w:val="CurrentList2"/>
    <w:lvl w:ilvl="0">
      <w:start w:val="2"/>
      <w:numFmt w:val="decimal"/>
      <w:lvlText w:val="Note %1: "/>
      <w:lvlJc w:val="left"/>
      <w:pPr>
        <w:tabs>
          <w:tab w:val="num" w:pos="1352"/>
        </w:tabs>
        <w:ind w:left="1352" w:hanging="99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upperLetter"/>
      <w:lvlText w:val="Note %1%2: "/>
      <w:lvlJc w:val="left"/>
      <w:pPr>
        <w:tabs>
          <w:tab w:val="num" w:pos="1532"/>
        </w:tabs>
        <w:ind w:left="1532" w:hanging="992"/>
      </w:pPr>
      <w:rPr>
        <w:rFonts w:ascii="Times New Roman" w:hAnsi="Times New Roman" w:cs="Times New Roman" w:hint="default"/>
        <w:b/>
        <w:i w:val="0"/>
        <w:strike w:val="0"/>
        <w:dstrike w:val="0"/>
        <w:color w:val="auto"/>
        <w:sz w:val="20"/>
        <w:szCs w:val="20"/>
        <w:u w:val="none"/>
        <w:effect w:val="none"/>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06D84F41"/>
    <w:multiLevelType w:val="hybridMultilevel"/>
    <w:tmpl w:val="5630D544"/>
    <w:lvl w:ilvl="0" w:tplc="35AA1066">
      <w:start w:val="1"/>
      <w:numFmt w:val="decimal"/>
      <w:lvlText w:val="%1."/>
      <w:lvlJc w:val="left"/>
      <w:pPr>
        <w:ind w:left="72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C9618C6"/>
    <w:multiLevelType w:val="hybridMultilevel"/>
    <w:tmpl w:val="5784B5EC"/>
    <w:lvl w:ilvl="0" w:tplc="04241E30">
      <w:numFmt w:val="bullet"/>
      <w:lvlText w:val="-"/>
      <w:lvlJc w:val="left"/>
      <w:pPr>
        <w:ind w:left="405" w:hanging="360"/>
      </w:pPr>
      <w:rPr>
        <w:rFonts w:ascii="Calibri" w:eastAsia="Times New Roman"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3">
    <w:nsid w:val="0EC42909"/>
    <w:multiLevelType w:val="multilevel"/>
    <w:tmpl w:val="753AC1FE"/>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nsid w:val="13E6000B"/>
    <w:multiLevelType w:val="multilevel"/>
    <w:tmpl w:val="D7D496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53B1BF4"/>
    <w:multiLevelType w:val="multilevel"/>
    <w:tmpl w:val="1AB2610A"/>
    <w:lvl w:ilvl="0">
      <w:start w:val="1"/>
      <w:numFmt w:val="decimal"/>
      <w:lvlText w:val="%1"/>
      <w:lvlJc w:val="left"/>
      <w:pPr>
        <w:ind w:left="360" w:hanging="360"/>
      </w:pPr>
      <w:rPr>
        <w:rFonts w:hint="default"/>
      </w:rPr>
    </w:lvl>
    <w:lvl w:ilvl="1">
      <w:start w:val="1"/>
      <w:numFmt w:val="decimal"/>
      <w:pStyle w:val="subcategoryheading"/>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nsid w:val="1B775712"/>
    <w:multiLevelType w:val="hybridMultilevel"/>
    <w:tmpl w:val="225EE774"/>
    <w:lvl w:ilvl="0" w:tplc="992E13E2">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D95887"/>
    <w:multiLevelType w:val="multilevel"/>
    <w:tmpl w:val="4A2C09A0"/>
    <w:styleLink w:val="Style2"/>
    <w:lvl w:ilvl="0">
      <w:start w:val="1"/>
      <w:numFmt w:val="decimal"/>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upperLetter"/>
      <w:lvlText w:val="Note %1%2: "/>
      <w:lvlJc w:val="left"/>
      <w:pPr>
        <w:tabs>
          <w:tab w:val="num" w:pos="1532"/>
        </w:tabs>
        <w:ind w:left="1532" w:hanging="992"/>
      </w:pPr>
      <w:rPr>
        <w:rFonts w:ascii="Times New Roman" w:hAnsi="Times New Roman" w:cs="Times New Roman" w:hint="default"/>
        <w:b/>
        <w:i w:val="0"/>
        <w:strike w:val="0"/>
        <w:dstrike w:val="0"/>
        <w:color w:val="auto"/>
        <w:sz w:val="20"/>
        <w:szCs w:val="20"/>
        <w:u w:val="none"/>
        <w:effect w:val="none"/>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690174C"/>
    <w:multiLevelType w:val="hybridMultilevel"/>
    <w:tmpl w:val="6F36C828"/>
    <w:lvl w:ilvl="0" w:tplc="264A4B6E">
      <w:start w:val="1"/>
      <w:numFmt w:val="bullet"/>
      <w:lvlText w:val=""/>
      <w:lvlJc w:val="left"/>
      <w:pPr>
        <w:ind w:left="360" w:hanging="360"/>
      </w:pPr>
      <w:rPr>
        <w:rFonts w:ascii="Symbol" w:hAnsi="Symbol" w:hint="default"/>
        <w:color w:val="auto"/>
      </w:rPr>
    </w:lvl>
    <w:lvl w:ilvl="1" w:tplc="04A44A26">
      <w:start w:val="3"/>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6997AF8"/>
    <w:multiLevelType w:val="hybridMultilevel"/>
    <w:tmpl w:val="87AA1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71345BE"/>
    <w:multiLevelType w:val="singleLevel"/>
    <w:tmpl w:val="EB825A20"/>
    <w:lvl w:ilvl="0">
      <w:start w:val="1"/>
      <w:numFmt w:val="bullet"/>
      <w:lvlText w:val=""/>
      <w:lvlJc w:val="left"/>
      <w:pPr>
        <w:tabs>
          <w:tab w:val="num" w:pos="340"/>
        </w:tabs>
        <w:ind w:left="340" w:hanging="340"/>
      </w:pPr>
      <w:rPr>
        <w:rFonts w:ascii="Symbol" w:hAnsi="Symbol" w:hint="default"/>
        <w:color w:val="auto"/>
        <w:sz w:val="22"/>
      </w:rPr>
    </w:lvl>
  </w:abstractNum>
  <w:abstractNum w:abstractNumId="21">
    <w:nsid w:val="27331AAE"/>
    <w:multiLevelType w:val="singleLevel"/>
    <w:tmpl w:val="E19A81B4"/>
    <w:lvl w:ilvl="0">
      <w:start w:val="1"/>
      <w:numFmt w:val="bullet"/>
      <w:lvlText w:val=""/>
      <w:lvlJc w:val="left"/>
      <w:pPr>
        <w:tabs>
          <w:tab w:val="num" w:pos="340"/>
        </w:tabs>
        <w:ind w:left="340" w:hanging="340"/>
      </w:pPr>
      <w:rPr>
        <w:rFonts w:ascii="Symbol" w:hAnsi="Symbol" w:hint="default"/>
        <w:color w:val="auto"/>
        <w:sz w:val="22"/>
      </w:rPr>
    </w:lvl>
  </w:abstractNum>
  <w:abstractNum w:abstractNumId="22">
    <w:nsid w:val="2CEA4481"/>
    <w:multiLevelType w:val="multilevel"/>
    <w:tmpl w:val="0DFE1A6A"/>
    <w:lvl w:ilvl="0">
      <w:start w:val="1"/>
      <w:numFmt w:val="bullet"/>
      <w:lvlRestart w:val="0"/>
      <w:pStyle w:val="AR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3">
    <w:nsid w:val="2D84699B"/>
    <w:multiLevelType w:val="singleLevel"/>
    <w:tmpl w:val="D9729EF2"/>
    <w:lvl w:ilvl="0">
      <w:start w:val="1"/>
      <w:numFmt w:val="bullet"/>
      <w:lvlText w:val=""/>
      <w:lvlJc w:val="left"/>
      <w:pPr>
        <w:tabs>
          <w:tab w:val="num" w:pos="340"/>
        </w:tabs>
        <w:ind w:left="340" w:hanging="340"/>
      </w:pPr>
      <w:rPr>
        <w:rFonts w:ascii="Symbol" w:hAnsi="Symbol" w:hint="default"/>
        <w:color w:val="auto"/>
        <w:sz w:val="22"/>
      </w:rPr>
    </w:lvl>
  </w:abstractNum>
  <w:abstractNum w:abstractNumId="24">
    <w:nsid w:val="2F657F4D"/>
    <w:multiLevelType w:val="singleLevel"/>
    <w:tmpl w:val="B7A02DA8"/>
    <w:lvl w:ilvl="0">
      <w:start w:val="1"/>
      <w:numFmt w:val="bullet"/>
      <w:pStyle w:val="Policytextdeptbulletpoint"/>
      <w:lvlText w:val=""/>
      <w:lvlJc w:val="left"/>
      <w:pPr>
        <w:tabs>
          <w:tab w:val="num" w:pos="340"/>
        </w:tabs>
        <w:ind w:left="340" w:hanging="340"/>
      </w:pPr>
      <w:rPr>
        <w:rFonts w:ascii="Symbol" w:hAnsi="Symbol" w:hint="default"/>
        <w:color w:val="auto"/>
        <w:sz w:val="22"/>
      </w:rPr>
    </w:lvl>
  </w:abstractNum>
  <w:abstractNum w:abstractNumId="25">
    <w:nsid w:val="30C93988"/>
    <w:multiLevelType w:val="singleLevel"/>
    <w:tmpl w:val="B46E5814"/>
    <w:lvl w:ilvl="0">
      <w:start w:val="1"/>
      <w:numFmt w:val="bullet"/>
      <w:lvlText w:val=""/>
      <w:lvlJc w:val="left"/>
      <w:pPr>
        <w:tabs>
          <w:tab w:val="num" w:pos="340"/>
        </w:tabs>
        <w:ind w:left="340" w:hanging="340"/>
      </w:pPr>
      <w:rPr>
        <w:rFonts w:ascii="Symbol" w:hAnsi="Symbol" w:hint="default"/>
        <w:color w:val="auto"/>
        <w:sz w:val="22"/>
      </w:rPr>
    </w:lvl>
  </w:abstractNum>
  <w:abstractNum w:abstractNumId="26">
    <w:nsid w:val="363601A1"/>
    <w:multiLevelType w:val="singleLevel"/>
    <w:tmpl w:val="6388C652"/>
    <w:lvl w:ilvl="0">
      <w:start w:val="1"/>
      <w:numFmt w:val="bullet"/>
      <w:pStyle w:val="PolicyTextadminbullets"/>
      <w:lvlText w:val=""/>
      <w:lvlJc w:val="left"/>
      <w:pPr>
        <w:tabs>
          <w:tab w:val="num" w:pos="340"/>
        </w:tabs>
        <w:ind w:left="340" w:hanging="340"/>
      </w:pPr>
      <w:rPr>
        <w:rFonts w:ascii="Symbol" w:hAnsi="Symbol" w:hint="default"/>
        <w:color w:val="auto"/>
        <w:sz w:val="22"/>
      </w:rPr>
    </w:lvl>
  </w:abstractNum>
  <w:abstractNum w:abstractNumId="27">
    <w:nsid w:val="381952E6"/>
    <w:multiLevelType w:val="hybridMultilevel"/>
    <w:tmpl w:val="07942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9FE05B2"/>
    <w:multiLevelType w:val="multilevel"/>
    <w:tmpl w:val="D5DA8C3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30">
    <w:nsid w:val="3FB65D04"/>
    <w:multiLevelType w:val="singleLevel"/>
    <w:tmpl w:val="BC4400C2"/>
    <w:lvl w:ilvl="0">
      <w:start w:val="1"/>
      <w:numFmt w:val="bullet"/>
      <w:lvlText w:val=""/>
      <w:lvlJc w:val="left"/>
      <w:pPr>
        <w:tabs>
          <w:tab w:val="num" w:pos="340"/>
        </w:tabs>
        <w:ind w:left="340" w:hanging="340"/>
      </w:pPr>
      <w:rPr>
        <w:rFonts w:ascii="Symbol" w:hAnsi="Symbol" w:hint="default"/>
        <w:color w:val="auto"/>
        <w:sz w:val="22"/>
      </w:rPr>
    </w:lvl>
  </w:abstractNum>
  <w:abstractNum w:abstractNumId="31">
    <w:nsid w:val="401B1C11"/>
    <w:multiLevelType w:val="singleLevel"/>
    <w:tmpl w:val="1CAA26B6"/>
    <w:lvl w:ilvl="0">
      <w:start w:val="1"/>
      <w:numFmt w:val="bullet"/>
      <w:lvlText w:val=""/>
      <w:lvlJc w:val="left"/>
      <w:pPr>
        <w:tabs>
          <w:tab w:val="num" w:pos="340"/>
        </w:tabs>
        <w:ind w:left="340" w:hanging="340"/>
      </w:pPr>
      <w:rPr>
        <w:rFonts w:ascii="Symbol" w:hAnsi="Symbol" w:hint="default"/>
        <w:color w:val="auto"/>
        <w:sz w:val="22"/>
      </w:rPr>
    </w:lvl>
  </w:abstractNum>
  <w:abstractNum w:abstractNumId="32">
    <w:nsid w:val="435E3B80"/>
    <w:multiLevelType w:val="hybridMultilevel"/>
    <w:tmpl w:val="C3B21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3FB49B7"/>
    <w:multiLevelType w:val="singleLevel"/>
    <w:tmpl w:val="9EDE5682"/>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34">
    <w:nsid w:val="51992686"/>
    <w:multiLevelType w:val="hybridMultilevel"/>
    <w:tmpl w:val="6414C56A"/>
    <w:lvl w:ilvl="0" w:tplc="BA60A9B4">
      <w:start w:val="1"/>
      <w:numFmt w:val="decimal"/>
      <w:lvlText w:val="%1."/>
      <w:lvlJc w:val="left"/>
      <w:pPr>
        <w:ind w:left="720" w:hanging="360"/>
      </w:pPr>
      <w:rPr>
        <w:rFonts w:hint="default"/>
      </w:rPr>
    </w:lvl>
    <w:lvl w:ilvl="1" w:tplc="270ECA08">
      <w:start w:val="1"/>
      <w:numFmt w:val="decimal"/>
      <w:suff w:val="space"/>
      <w:lvlText w:val="%2.1"/>
      <w:lvlJc w:val="left"/>
      <w:pPr>
        <w:ind w:left="567" w:hanging="567"/>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2485DFA"/>
    <w:multiLevelType w:val="hybridMultilevel"/>
    <w:tmpl w:val="E08CE8A0"/>
    <w:lvl w:ilvl="0" w:tplc="9B940478">
      <w:numFmt w:val="bullet"/>
      <w:lvlText w:val="-"/>
      <w:lvlJc w:val="left"/>
      <w:pPr>
        <w:ind w:left="405" w:hanging="360"/>
      </w:pPr>
      <w:rPr>
        <w:rFonts w:ascii="Calibri" w:eastAsia="Times New Roman"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6">
    <w:nsid w:val="53134884"/>
    <w:multiLevelType w:val="multilevel"/>
    <w:tmpl w:val="57F47E3C"/>
    <w:lvl w:ilvl="0">
      <w:start w:val="1"/>
      <w:numFmt w:val="decimal"/>
      <w:pStyle w:val="SectionHeading"/>
      <w:lvlText w:val="%1."/>
      <w:lvlJc w:val="left"/>
      <w:pPr>
        <w:ind w:left="360" w:hanging="360"/>
      </w:pPr>
      <w:rPr>
        <w:rFonts w:hint="default"/>
      </w:rPr>
    </w:lvl>
    <w:lvl w:ilvl="1">
      <w:start w:val="1"/>
      <w:numFmt w:val="decimal"/>
      <w:pStyle w:val="SubHeading"/>
      <w:suff w:val="space"/>
      <w:lvlText w:val="%1.%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8">
    <w:nsid w:val="585F6A5F"/>
    <w:multiLevelType w:val="multilevel"/>
    <w:tmpl w:val="4A2C09A0"/>
    <w:styleLink w:val="CurrentList1"/>
    <w:lvl w:ilvl="0">
      <w:start w:val="1"/>
      <w:numFmt w:val="decimal"/>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upperLetter"/>
      <w:lvlText w:val="Note %1%2: "/>
      <w:lvlJc w:val="left"/>
      <w:pPr>
        <w:tabs>
          <w:tab w:val="num" w:pos="1532"/>
        </w:tabs>
        <w:ind w:left="1532" w:hanging="992"/>
      </w:pPr>
      <w:rPr>
        <w:rFonts w:ascii="Times New Roman" w:hAnsi="Times New Roman" w:cs="Times New Roman" w:hint="default"/>
        <w:b/>
        <w:i w:val="0"/>
        <w:strike w:val="0"/>
        <w:dstrike w:val="0"/>
        <w:color w:val="auto"/>
        <w:sz w:val="20"/>
        <w:szCs w:val="20"/>
        <w:u w:val="none"/>
        <w:effect w:val="none"/>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5D276BA2"/>
    <w:multiLevelType w:val="hybridMultilevel"/>
    <w:tmpl w:val="52166F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0670E23"/>
    <w:multiLevelType w:val="singleLevel"/>
    <w:tmpl w:val="FC8C2572"/>
    <w:lvl w:ilvl="0">
      <w:start w:val="1"/>
      <w:numFmt w:val="bullet"/>
      <w:lvlText w:val=""/>
      <w:lvlJc w:val="left"/>
      <w:pPr>
        <w:tabs>
          <w:tab w:val="num" w:pos="360"/>
        </w:tabs>
        <w:ind w:left="357" w:hanging="357"/>
      </w:pPr>
      <w:rPr>
        <w:rFonts w:ascii="Symbol" w:hAnsi="Symbol" w:hint="default"/>
      </w:rPr>
    </w:lvl>
  </w:abstractNum>
  <w:abstractNum w:abstractNumId="41">
    <w:nsid w:val="66A34EFD"/>
    <w:multiLevelType w:val="singleLevel"/>
    <w:tmpl w:val="3A7E6798"/>
    <w:lvl w:ilvl="0">
      <w:start w:val="1"/>
      <w:numFmt w:val="bullet"/>
      <w:lvlText w:val=""/>
      <w:lvlJc w:val="left"/>
      <w:pPr>
        <w:tabs>
          <w:tab w:val="num" w:pos="340"/>
        </w:tabs>
        <w:ind w:left="340" w:hanging="340"/>
      </w:pPr>
      <w:rPr>
        <w:rFonts w:ascii="Symbol" w:hAnsi="Symbol" w:hint="default"/>
        <w:color w:val="auto"/>
        <w:sz w:val="22"/>
      </w:rPr>
    </w:lvl>
  </w:abstractNum>
  <w:abstractNum w:abstractNumId="42">
    <w:nsid w:val="68EA3959"/>
    <w:multiLevelType w:val="multilevel"/>
    <w:tmpl w:val="5C2C9654"/>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3">
    <w:nsid w:val="6A38338E"/>
    <w:multiLevelType w:val="singleLevel"/>
    <w:tmpl w:val="2922866A"/>
    <w:lvl w:ilvl="0">
      <w:start w:val="1"/>
      <w:numFmt w:val="bullet"/>
      <w:pStyle w:val="NotesHeading-Level1GreyShade"/>
      <w:lvlText w:val=""/>
      <w:lvlJc w:val="left"/>
      <w:pPr>
        <w:tabs>
          <w:tab w:val="num" w:pos="360"/>
        </w:tabs>
        <w:ind w:left="360" w:hanging="360"/>
      </w:pPr>
      <w:rPr>
        <w:rFonts w:ascii="Symbol" w:hAnsi="Symbol" w:cs="Times New Roman" w:hint="default"/>
      </w:rPr>
    </w:lvl>
  </w:abstractNum>
  <w:abstractNum w:abstractNumId="44">
    <w:nsid w:val="70804040"/>
    <w:multiLevelType w:val="hybridMultilevel"/>
    <w:tmpl w:val="4D7E47AC"/>
    <w:lvl w:ilvl="0" w:tplc="8E7805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273732F"/>
    <w:multiLevelType w:val="singleLevel"/>
    <w:tmpl w:val="340C18A6"/>
    <w:lvl w:ilvl="0">
      <w:start w:val="1"/>
      <w:numFmt w:val="bullet"/>
      <w:lvlText w:val=""/>
      <w:lvlJc w:val="left"/>
      <w:pPr>
        <w:tabs>
          <w:tab w:val="num" w:pos="340"/>
        </w:tabs>
        <w:ind w:left="340" w:hanging="340"/>
      </w:pPr>
      <w:rPr>
        <w:rFonts w:ascii="Symbol" w:hAnsi="Symbol" w:hint="default"/>
        <w:color w:val="auto"/>
        <w:sz w:val="22"/>
      </w:rPr>
    </w:lvl>
  </w:abstractNum>
  <w:abstractNum w:abstractNumId="46">
    <w:nsid w:val="72E921FA"/>
    <w:multiLevelType w:val="multilevel"/>
    <w:tmpl w:val="C3BED586"/>
    <w:lvl w:ilvl="0">
      <w:start w:val="1"/>
      <w:numFmt w:val="decimal"/>
      <w:pStyle w:val="NotesHeading-Level1"/>
      <w:lvlText w:val="Note %1: "/>
      <w:lvlJc w:val="left"/>
      <w:pPr>
        <w:tabs>
          <w:tab w:val="num" w:pos="851"/>
        </w:tabs>
        <w:ind w:left="1134" w:hanging="1134"/>
      </w:pPr>
      <w:rPr>
        <w:rFonts w:asciiTheme="minorHAnsi" w:hAnsiTheme="minorHAnsi" w:cstheme="minorHAnsi" w:hint="default"/>
        <w:b/>
        <w:bCs w:val="0"/>
        <w:i w:val="0"/>
        <w:iCs w:val="0"/>
        <w:caps w:val="0"/>
        <w:smallCaps w:val="0"/>
        <w:strike w:val="0"/>
        <w:dstrike w:val="0"/>
        <w:noProof w:val="0"/>
        <w:vanish w:val="0"/>
        <w:webHidden w:val="0"/>
        <w:color w:val="auto"/>
        <w:spacing w:val="0"/>
        <w:kern w:val="0"/>
        <w:position w:val="0"/>
        <w:sz w:val="20"/>
        <w:szCs w:val="20"/>
        <w:u w:val="none"/>
        <w:effect w:val="none"/>
        <w:vertAlign w:val="baseline"/>
        <w:em w:val="none"/>
        <w:specVanish w:val="0"/>
      </w:rPr>
    </w:lvl>
    <w:lvl w:ilvl="1">
      <w:start w:val="1"/>
      <w:numFmt w:val="upperLetter"/>
      <w:pStyle w:val="NotesHeading-Level2"/>
      <w:lvlText w:val="Note %1%2: "/>
      <w:lvlJc w:val="left"/>
      <w:pPr>
        <w:tabs>
          <w:tab w:val="num" w:pos="851"/>
        </w:tabs>
        <w:ind w:left="1532" w:hanging="1532"/>
      </w:pPr>
      <w:rPr>
        <w:rFonts w:ascii="Times New Roman" w:hAnsi="Times New Roman" w:cs="Times New Roman" w:hint="default"/>
        <w:b/>
        <w:i w:val="0"/>
        <w:color w:val="auto"/>
        <w:sz w:val="20"/>
        <w:szCs w:val="20"/>
        <w:u w:val="single"/>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heme="minorHAnsi" w:eastAsia="Times New Roman" w:hAnsiTheme="minorHAnsi" w:cstheme="minorHAnsi"/>
        <w:vertAlign w:val="superscrip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nsid w:val="74CD2EB1"/>
    <w:multiLevelType w:val="multilevel"/>
    <w:tmpl w:val="34589BAE"/>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8">
    <w:nsid w:val="7AA135C9"/>
    <w:multiLevelType w:val="singleLevel"/>
    <w:tmpl w:val="C94041CE"/>
    <w:lvl w:ilvl="0">
      <w:start w:val="1"/>
      <w:numFmt w:val="bullet"/>
      <w:lvlText w:val=""/>
      <w:lvlJc w:val="left"/>
      <w:pPr>
        <w:tabs>
          <w:tab w:val="num" w:pos="340"/>
        </w:tabs>
        <w:ind w:left="340" w:hanging="340"/>
      </w:pPr>
      <w:rPr>
        <w:rFonts w:ascii="Symbol" w:hAnsi="Symbol" w:hint="default"/>
        <w:color w:val="auto"/>
        <w:sz w:val="22"/>
      </w:rPr>
    </w:lvl>
  </w:abstractNum>
  <w:num w:numId="1">
    <w:abstractNumId w:val="33"/>
  </w:num>
  <w:num w:numId="2">
    <w:abstractNumId w:val="37"/>
  </w:num>
  <w:num w:numId="3">
    <w:abstractNumId w:val="29"/>
    <w:lvlOverride w:ilvl="0">
      <w:startOverride w:val="1"/>
    </w:lvlOverride>
  </w:num>
  <w:num w:numId="4">
    <w:abstractNumId w:val="42"/>
  </w:num>
  <w:num w:numId="5">
    <w:abstractNumId w:val="13"/>
  </w:num>
  <w:num w:numId="6">
    <w:abstractNumId w:val="47"/>
  </w:num>
  <w:num w:numId="7">
    <w:abstractNumId w:val="22"/>
  </w:num>
  <w:num w:numId="8">
    <w:abstractNumId w:val="22"/>
  </w:num>
  <w:num w:numId="9">
    <w:abstractNumId w:val="18"/>
  </w:num>
  <w:num w:numId="10">
    <w:abstractNumId w:val="46"/>
  </w:num>
  <w:num w:numId="11">
    <w:abstractNumId w:val="43"/>
  </w:num>
  <w:num w:numId="12">
    <w:abstractNumId w:val="40"/>
  </w:num>
  <w:num w:numId="13">
    <w:abstractNumId w:val="10"/>
  </w:num>
  <w:num w:numId="14">
    <w:abstractNumId w:val="17"/>
  </w:num>
  <w:num w:numId="15">
    <w:abstractNumId w:val="38"/>
  </w:num>
  <w:num w:numId="16">
    <w:abstractNumId w:val="32"/>
  </w:num>
  <w:num w:numId="17">
    <w:abstractNumId w:val="19"/>
  </w:num>
  <w:num w:numId="18">
    <w:abstractNumId w:val="35"/>
  </w:num>
  <w:num w:numId="19">
    <w:abstractNumId w:val="11"/>
  </w:num>
  <w:num w:numId="20">
    <w:abstractNumId w:val="15"/>
  </w:num>
  <w:num w:numId="21">
    <w:abstractNumId w:val="36"/>
  </w:num>
  <w:num w:numId="22">
    <w:abstractNumId w:val="14"/>
  </w:num>
  <w:num w:numId="23">
    <w:abstractNumId w:val="45"/>
  </w:num>
  <w:num w:numId="24">
    <w:abstractNumId w:val="25"/>
  </w:num>
  <w:num w:numId="25">
    <w:abstractNumId w:val="31"/>
  </w:num>
  <w:num w:numId="26">
    <w:abstractNumId w:val="21"/>
  </w:num>
  <w:num w:numId="27">
    <w:abstractNumId w:val="41"/>
  </w:num>
  <w:num w:numId="28">
    <w:abstractNumId w:val="23"/>
  </w:num>
  <w:num w:numId="29">
    <w:abstractNumId w:val="16"/>
  </w:num>
  <w:num w:numId="30">
    <w:abstractNumId w:val="34"/>
  </w:num>
  <w:num w:numId="31">
    <w:abstractNumId w:val="28"/>
  </w:num>
  <w:num w:numId="32">
    <w:abstractNumId w:val="48"/>
  </w:num>
  <w:num w:numId="33">
    <w:abstractNumId w:val="20"/>
  </w:num>
  <w:num w:numId="34">
    <w:abstractNumId w:val="24"/>
  </w:num>
  <w:num w:numId="35">
    <w:abstractNumId w:val="30"/>
  </w:num>
  <w:num w:numId="36">
    <w:abstractNumId w:val="8"/>
  </w:num>
  <w:num w:numId="37">
    <w:abstractNumId w:val="26"/>
  </w:num>
  <w:num w:numId="38">
    <w:abstractNumId w:val="39"/>
  </w:num>
  <w:num w:numId="39">
    <w:abstractNumId w:val="12"/>
  </w:num>
  <w:num w:numId="40">
    <w:abstractNumId w:val="27"/>
  </w:num>
  <w:num w:numId="41">
    <w:abstractNumId w:val="44"/>
  </w:num>
  <w:num w:numId="42">
    <w:abstractNumId w:val="9"/>
  </w:num>
  <w:num w:numId="43">
    <w:abstractNumId w:val="7"/>
  </w:num>
  <w:num w:numId="44">
    <w:abstractNumId w:val="6"/>
  </w:num>
  <w:num w:numId="45">
    <w:abstractNumId w:val="5"/>
  </w:num>
  <w:num w:numId="46">
    <w:abstractNumId w:val="4"/>
  </w:num>
  <w:num w:numId="47">
    <w:abstractNumId w:val="3"/>
  </w:num>
  <w:num w:numId="48">
    <w:abstractNumId w:val="2"/>
  </w:num>
  <w:num w:numId="49">
    <w:abstractNumId w:val="1"/>
  </w:num>
  <w:num w:numId="5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B16"/>
    <w:rsid w:val="00036A81"/>
    <w:rsid w:val="00064A80"/>
    <w:rsid w:val="00087C4C"/>
    <w:rsid w:val="000A3647"/>
    <w:rsid w:val="00140B35"/>
    <w:rsid w:val="00161F3A"/>
    <w:rsid w:val="001E4A63"/>
    <w:rsid w:val="001F2C80"/>
    <w:rsid w:val="00200175"/>
    <w:rsid w:val="00204618"/>
    <w:rsid w:val="002135AE"/>
    <w:rsid w:val="002233E3"/>
    <w:rsid w:val="00232425"/>
    <w:rsid w:val="002633BC"/>
    <w:rsid w:val="00271ADC"/>
    <w:rsid w:val="00373F61"/>
    <w:rsid w:val="003B65F3"/>
    <w:rsid w:val="003E3EE9"/>
    <w:rsid w:val="003E6989"/>
    <w:rsid w:val="00403CAE"/>
    <w:rsid w:val="004C4AB7"/>
    <w:rsid w:val="004E30B3"/>
    <w:rsid w:val="004F64D7"/>
    <w:rsid w:val="0052366A"/>
    <w:rsid w:val="0052716D"/>
    <w:rsid w:val="00562EDF"/>
    <w:rsid w:val="005863AA"/>
    <w:rsid w:val="005937AA"/>
    <w:rsid w:val="005E7B95"/>
    <w:rsid w:val="00601F44"/>
    <w:rsid w:val="006A3FE8"/>
    <w:rsid w:val="006A5410"/>
    <w:rsid w:val="00700551"/>
    <w:rsid w:val="007628B2"/>
    <w:rsid w:val="008468D3"/>
    <w:rsid w:val="008B7B7E"/>
    <w:rsid w:val="0091724D"/>
    <w:rsid w:val="00A12DF6"/>
    <w:rsid w:val="00A20A18"/>
    <w:rsid w:val="00A47038"/>
    <w:rsid w:val="00A47F4F"/>
    <w:rsid w:val="00A639C5"/>
    <w:rsid w:val="00AB5210"/>
    <w:rsid w:val="00AF2758"/>
    <w:rsid w:val="00AF5FDF"/>
    <w:rsid w:val="00AF7E92"/>
    <w:rsid w:val="00B204AD"/>
    <w:rsid w:val="00B91AF3"/>
    <w:rsid w:val="00BC6152"/>
    <w:rsid w:val="00C21DC5"/>
    <w:rsid w:val="00C5489A"/>
    <w:rsid w:val="00C548B1"/>
    <w:rsid w:val="00C7001F"/>
    <w:rsid w:val="00C90F32"/>
    <w:rsid w:val="00C94244"/>
    <w:rsid w:val="00CB7F40"/>
    <w:rsid w:val="00CC7B16"/>
    <w:rsid w:val="00D1404A"/>
    <w:rsid w:val="00D21804"/>
    <w:rsid w:val="00D266F3"/>
    <w:rsid w:val="00D64A08"/>
    <w:rsid w:val="00DC7175"/>
    <w:rsid w:val="00E011FB"/>
    <w:rsid w:val="00E62F3C"/>
    <w:rsid w:val="00E73CE0"/>
    <w:rsid w:val="00E91E04"/>
    <w:rsid w:val="00E96268"/>
    <w:rsid w:val="00EB3A47"/>
    <w:rsid w:val="00EB78F3"/>
    <w:rsid w:val="00ED3E62"/>
    <w:rsid w:val="00F161B2"/>
    <w:rsid w:val="00F25D1B"/>
    <w:rsid w:val="00FA1739"/>
    <w:rsid w:val="00FB36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0" w:qFormat="1"/>
    <w:lsdException w:name="table of figures"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989"/>
    <w:pPr>
      <w:spacing w:line="260" w:lineRule="atLeast"/>
    </w:pPr>
    <w:rPr>
      <w:rFonts w:ascii="Calibri" w:hAnsi="Calibri"/>
      <w:sz w:val="18"/>
    </w:rPr>
  </w:style>
  <w:style w:type="paragraph" w:styleId="Heading1">
    <w:name w:val="heading 1"/>
    <w:aliases w:val="Heading 1 do not use,Section heading 1,Front Page Title,1.,Para 1,Para 11"/>
    <w:basedOn w:val="HeadingBase"/>
    <w:next w:val="Normal"/>
    <w:link w:val="Heading1Char"/>
    <w:qFormat/>
    <w:rsid w:val="00064A80"/>
    <w:pPr>
      <w:spacing w:after="240"/>
      <w:jc w:val="center"/>
      <w:outlineLvl w:val="0"/>
    </w:pPr>
    <w:rPr>
      <w:b/>
      <w:smallCaps/>
      <w:kern w:val="28"/>
      <w:sz w:val="34"/>
    </w:rPr>
  </w:style>
  <w:style w:type="paragraph" w:styleId="Heading2">
    <w:name w:val="heading 2"/>
    <w:aliases w:val="Heading 2 do not use,Front Page List of Sections"/>
    <w:basedOn w:val="HeadingBase"/>
    <w:next w:val="Normal"/>
    <w:link w:val="Heading2Char"/>
    <w:qFormat/>
    <w:rsid w:val="00064A80"/>
    <w:pPr>
      <w:spacing w:before="360" w:after="360"/>
      <w:outlineLvl w:val="1"/>
    </w:pPr>
    <w:rPr>
      <w:sz w:val="30"/>
    </w:rPr>
  </w:style>
  <w:style w:type="paragraph" w:styleId="Heading3">
    <w:name w:val="heading 3"/>
    <w:aliases w:val="Heading 3 do not use"/>
    <w:basedOn w:val="HeadingBase"/>
    <w:next w:val="Normal"/>
    <w:link w:val="Heading3Char"/>
    <w:qFormat/>
    <w:rsid w:val="00064A80"/>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064A80"/>
    <w:pPr>
      <w:tabs>
        <w:tab w:val="left" w:pos="709"/>
      </w:tabs>
      <w:spacing w:before="120" w:after="120"/>
      <w:outlineLvl w:val="3"/>
    </w:pPr>
    <w:rPr>
      <w:b/>
      <w:sz w:val="22"/>
    </w:rPr>
  </w:style>
  <w:style w:type="paragraph" w:styleId="Heading5">
    <w:name w:val="heading 5"/>
    <w:basedOn w:val="HeadingBase"/>
    <w:next w:val="Normal"/>
    <w:link w:val="Heading5Char"/>
    <w:qFormat/>
    <w:rsid w:val="00064A80"/>
    <w:pPr>
      <w:spacing w:after="120"/>
      <w:outlineLvl w:val="4"/>
    </w:pPr>
    <w:rPr>
      <w:b/>
      <w:bCs/>
      <w:iCs/>
      <w:sz w:val="20"/>
      <w:szCs w:val="26"/>
    </w:rPr>
  </w:style>
  <w:style w:type="paragraph" w:styleId="Heading6">
    <w:name w:val="heading 6"/>
    <w:basedOn w:val="HeadingBase"/>
    <w:next w:val="Normal"/>
    <w:link w:val="Heading6Char"/>
    <w:qFormat/>
    <w:rsid w:val="00064A80"/>
    <w:pPr>
      <w:spacing w:after="120"/>
      <w:outlineLvl w:val="5"/>
    </w:pPr>
    <w:rPr>
      <w:bCs/>
      <w:sz w:val="20"/>
      <w:szCs w:val="22"/>
    </w:rPr>
  </w:style>
  <w:style w:type="paragraph" w:styleId="Heading7">
    <w:name w:val="heading 7"/>
    <w:aliases w:val="Section Sub-Heading 4"/>
    <w:basedOn w:val="HeadingBase"/>
    <w:next w:val="Normal"/>
    <w:link w:val="Heading7Char"/>
    <w:qFormat/>
    <w:rsid w:val="00064A80"/>
    <w:pPr>
      <w:spacing w:after="100"/>
      <w:outlineLvl w:val="6"/>
    </w:pPr>
    <w:rPr>
      <w:sz w:val="18"/>
      <w:szCs w:val="24"/>
    </w:rPr>
  </w:style>
  <w:style w:type="paragraph" w:styleId="Heading8">
    <w:name w:val="heading 8"/>
    <w:basedOn w:val="HeadingBase"/>
    <w:next w:val="Normal"/>
    <w:link w:val="Heading8Char"/>
    <w:qFormat/>
    <w:rsid w:val="00064A80"/>
    <w:pPr>
      <w:spacing w:before="240" w:after="60"/>
      <w:outlineLvl w:val="7"/>
    </w:pPr>
    <w:rPr>
      <w:rFonts w:ascii="Times New Roman" w:hAnsi="Times New Roman"/>
      <w:i/>
      <w:iCs/>
      <w:sz w:val="16"/>
      <w:szCs w:val="24"/>
    </w:rPr>
  </w:style>
  <w:style w:type="paragraph" w:styleId="Heading9">
    <w:name w:val="heading 9"/>
    <w:basedOn w:val="Normal"/>
    <w:next w:val="Normal"/>
    <w:link w:val="Heading9Char"/>
    <w:qFormat/>
    <w:rsid w:val="003E698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064A80"/>
    <w:rPr>
      <w:rFonts w:ascii="Swiss 721 BT" w:hAnsi="Swiss 721 BT" w:cs="Swiss 721 BT" w:hint="default"/>
      <w:color w:val="000000"/>
      <w:sz w:val="20"/>
      <w:szCs w:val="20"/>
    </w:rPr>
  </w:style>
  <w:style w:type="paragraph" w:customStyle="1" w:styleId="AlphaParagraph">
    <w:name w:val="Alpha Paragraph"/>
    <w:basedOn w:val="Normal"/>
    <w:rsid w:val="00064A80"/>
    <w:pPr>
      <w:numPr>
        <w:numId w:val="1"/>
      </w:numPr>
    </w:pPr>
  </w:style>
  <w:style w:type="paragraph" w:customStyle="1" w:styleId="HeadingBase">
    <w:name w:val="Heading Base"/>
    <w:link w:val="HeadingBaseChar"/>
    <w:rsid w:val="00064A80"/>
    <w:pPr>
      <w:keepNext/>
    </w:pPr>
    <w:rPr>
      <w:rFonts w:ascii="Arial" w:hAnsi="Arial"/>
      <w:sz w:val="24"/>
      <w:lang w:eastAsia="en-AU"/>
    </w:rPr>
  </w:style>
  <w:style w:type="character" w:customStyle="1" w:styleId="HeadingBaseChar">
    <w:name w:val="Heading Base Char"/>
    <w:link w:val="HeadingBase"/>
    <w:rsid w:val="00064A80"/>
    <w:rPr>
      <w:rFonts w:ascii="Arial" w:hAnsi="Arial" w:cs="Times New Roman"/>
      <w:sz w:val="24"/>
      <w:szCs w:val="20"/>
      <w:lang w:eastAsia="en-AU"/>
    </w:rPr>
  </w:style>
  <w:style w:type="paragraph" w:customStyle="1" w:styleId="AppendixHeading">
    <w:name w:val="Appendix Heading"/>
    <w:basedOn w:val="HeadingBase"/>
    <w:semiHidden/>
    <w:rsid w:val="00064A80"/>
    <w:pPr>
      <w:spacing w:after="240"/>
      <w:jc w:val="center"/>
      <w:outlineLvl w:val="3"/>
    </w:pPr>
    <w:rPr>
      <w:b/>
      <w:smallCaps/>
      <w:sz w:val="30"/>
    </w:rPr>
  </w:style>
  <w:style w:type="paragraph" w:styleId="BalloonText">
    <w:name w:val="Balloon Text"/>
    <w:basedOn w:val="Normal"/>
    <w:link w:val="BalloonTextChar"/>
    <w:semiHidden/>
    <w:rsid w:val="00064A80"/>
    <w:rPr>
      <w:rFonts w:ascii="Tahoma" w:hAnsi="Tahoma" w:cs="Tahoma"/>
      <w:sz w:val="16"/>
      <w:szCs w:val="16"/>
    </w:rPr>
  </w:style>
  <w:style w:type="character" w:customStyle="1" w:styleId="BalloonTextChar">
    <w:name w:val="Balloon Text Char"/>
    <w:basedOn w:val="DefaultParagraphFont"/>
    <w:link w:val="BalloonText"/>
    <w:rsid w:val="00064A80"/>
    <w:rPr>
      <w:rFonts w:ascii="Tahoma" w:hAnsi="Tahoma" w:cs="Tahoma"/>
      <w:sz w:val="16"/>
      <w:szCs w:val="16"/>
      <w:lang w:eastAsia="en-AU"/>
    </w:rPr>
  </w:style>
  <w:style w:type="paragraph" w:customStyle="1" w:styleId="BlockedQuotation">
    <w:name w:val="Blocked Quotation"/>
    <w:basedOn w:val="Normal"/>
    <w:semiHidden/>
    <w:rsid w:val="00064A80"/>
    <w:pPr>
      <w:ind w:left="567"/>
    </w:pPr>
  </w:style>
  <w:style w:type="paragraph" w:customStyle="1" w:styleId="BoxTextBase">
    <w:name w:val="Box Text Base"/>
    <w:basedOn w:val="Normal"/>
    <w:rsid w:val="00064A80"/>
    <w:pPr>
      <w:spacing w:after="120"/>
    </w:pPr>
    <w:rPr>
      <w:color w:val="000000"/>
    </w:rPr>
  </w:style>
  <w:style w:type="paragraph" w:customStyle="1" w:styleId="BoxText">
    <w:name w:val="Box Text"/>
    <w:basedOn w:val="BoxTextBase"/>
    <w:rsid w:val="00064A80"/>
  </w:style>
  <w:style w:type="paragraph" w:customStyle="1" w:styleId="BoxBullet">
    <w:name w:val="Box Bullet"/>
    <w:basedOn w:val="BoxText"/>
    <w:rsid w:val="00064A80"/>
    <w:pPr>
      <w:numPr>
        <w:numId w:val="2"/>
      </w:numPr>
    </w:pPr>
  </w:style>
  <w:style w:type="paragraph" w:customStyle="1" w:styleId="BoxDash">
    <w:name w:val="Box Dash"/>
    <w:basedOn w:val="Normal"/>
    <w:rsid w:val="00064A80"/>
    <w:pPr>
      <w:numPr>
        <w:ilvl w:val="1"/>
        <w:numId w:val="2"/>
      </w:numPr>
    </w:pPr>
    <w:rPr>
      <w:color w:val="000000"/>
    </w:rPr>
  </w:style>
  <w:style w:type="paragraph" w:customStyle="1" w:styleId="BoxDoubleDot">
    <w:name w:val="Box Double Dot"/>
    <w:basedOn w:val="BoxTextBase"/>
    <w:rsid w:val="00064A80"/>
    <w:pPr>
      <w:numPr>
        <w:ilvl w:val="2"/>
        <w:numId w:val="2"/>
      </w:numPr>
    </w:pPr>
  </w:style>
  <w:style w:type="paragraph" w:customStyle="1" w:styleId="BoxHeading">
    <w:name w:val="Box Heading"/>
    <w:basedOn w:val="HeadingBase"/>
    <w:next w:val="BoxText"/>
    <w:rsid w:val="00064A80"/>
    <w:pPr>
      <w:spacing w:before="120" w:after="120"/>
    </w:pPr>
    <w:rPr>
      <w:b/>
      <w:sz w:val="20"/>
    </w:rPr>
  </w:style>
  <w:style w:type="paragraph" w:customStyle="1" w:styleId="BoxHeadinglevel2">
    <w:name w:val="Box Heading level 2"/>
    <w:basedOn w:val="BoxHeading"/>
    <w:rsid w:val="00064A80"/>
    <w:pPr>
      <w:spacing w:before="0"/>
    </w:pPr>
    <w:rPr>
      <w:sz w:val="18"/>
    </w:rPr>
  </w:style>
  <w:style w:type="paragraph" w:customStyle="1" w:styleId="Bullet">
    <w:name w:val="Bullet"/>
    <w:basedOn w:val="Normal"/>
    <w:link w:val="BulletChar"/>
    <w:rsid w:val="00064A80"/>
    <w:pPr>
      <w:numPr>
        <w:numId w:val="5"/>
      </w:numPr>
    </w:pPr>
  </w:style>
  <w:style w:type="character" w:customStyle="1" w:styleId="BulletChar">
    <w:name w:val="Bullet Char"/>
    <w:link w:val="Bullet"/>
    <w:rsid w:val="00064A80"/>
    <w:rPr>
      <w:rFonts w:ascii="Book Antiqua" w:hAnsi="Book Antiqua" w:cs="Times New Roman"/>
      <w:sz w:val="20"/>
      <w:szCs w:val="20"/>
      <w:lang w:eastAsia="en-AU"/>
    </w:rPr>
  </w:style>
  <w:style w:type="paragraph" w:styleId="Caption">
    <w:name w:val="caption"/>
    <w:basedOn w:val="Normal"/>
    <w:next w:val="Normal"/>
    <w:qFormat/>
    <w:rsid w:val="00064A80"/>
    <w:rPr>
      <w:b/>
      <w:bCs/>
    </w:rPr>
  </w:style>
  <w:style w:type="paragraph" w:customStyle="1" w:styleId="ChartandTableFootnote">
    <w:name w:val="Chart and Table Footnote"/>
    <w:basedOn w:val="HeadingBase"/>
    <w:next w:val="Normal"/>
    <w:link w:val="ChartandTableFootnoteChar"/>
    <w:rsid w:val="00064A80"/>
    <w:pPr>
      <w:tabs>
        <w:tab w:val="left" w:pos="284"/>
      </w:tabs>
      <w:ind w:left="284" w:hanging="284"/>
      <w:jc w:val="both"/>
    </w:pPr>
    <w:rPr>
      <w:sz w:val="16"/>
    </w:rPr>
  </w:style>
  <w:style w:type="character" w:customStyle="1" w:styleId="ChartandTableFootnoteChar">
    <w:name w:val="Chart and Table Footnote Char"/>
    <w:link w:val="ChartandTableFootnote"/>
    <w:rsid w:val="00064A80"/>
    <w:rPr>
      <w:rFonts w:ascii="Arial" w:hAnsi="Arial" w:cs="Times New Roman"/>
      <w:sz w:val="16"/>
      <w:szCs w:val="20"/>
      <w:lang w:eastAsia="en-AU"/>
    </w:rPr>
  </w:style>
  <w:style w:type="paragraph" w:customStyle="1" w:styleId="ChartandTableFootnoteAlpha">
    <w:name w:val="Chart and Table Footnote Alpha"/>
    <w:basedOn w:val="HeadingBase"/>
    <w:next w:val="Normal"/>
    <w:rsid w:val="00064A80"/>
    <w:pPr>
      <w:numPr>
        <w:numId w:val="3"/>
      </w:numPr>
      <w:jc w:val="both"/>
    </w:pPr>
    <w:rPr>
      <w:sz w:val="16"/>
    </w:rPr>
  </w:style>
  <w:style w:type="paragraph" w:customStyle="1" w:styleId="ChartandTableFootnoteAlphaSmall">
    <w:name w:val="Chart and Table Footnote Alpha Small"/>
    <w:basedOn w:val="HeadingBase"/>
    <w:next w:val="Normal"/>
    <w:rsid w:val="00064A80"/>
    <w:pPr>
      <w:numPr>
        <w:numId w:val="4"/>
      </w:numPr>
      <w:jc w:val="both"/>
    </w:pPr>
    <w:rPr>
      <w:sz w:val="15"/>
    </w:rPr>
  </w:style>
  <w:style w:type="paragraph" w:customStyle="1" w:styleId="ChartandTableFootnoteSmall">
    <w:name w:val="Chart and Table Footnote Small"/>
    <w:basedOn w:val="HeadingBase"/>
    <w:next w:val="Normal"/>
    <w:rsid w:val="00064A80"/>
    <w:pPr>
      <w:tabs>
        <w:tab w:val="left" w:pos="284"/>
      </w:tabs>
      <w:jc w:val="both"/>
    </w:pPr>
    <w:rPr>
      <w:sz w:val="15"/>
    </w:rPr>
  </w:style>
  <w:style w:type="paragraph" w:customStyle="1" w:styleId="ChartGraphic">
    <w:name w:val="Chart Graphic"/>
    <w:basedOn w:val="HeadingBase"/>
    <w:rsid w:val="00064A80"/>
    <w:pPr>
      <w:jc w:val="center"/>
    </w:pPr>
    <w:rPr>
      <w:sz w:val="20"/>
    </w:rPr>
  </w:style>
  <w:style w:type="paragraph" w:customStyle="1" w:styleId="ChartMainHeading">
    <w:name w:val="Chart Main Heading"/>
    <w:basedOn w:val="Normal"/>
    <w:next w:val="ChartGraphic"/>
    <w:rsid w:val="00064A80"/>
    <w:pPr>
      <w:keepNext/>
      <w:spacing w:before="120" w:after="20"/>
      <w:jc w:val="center"/>
    </w:pPr>
    <w:rPr>
      <w:rFonts w:ascii="Arial" w:hAnsi="Arial"/>
      <w:b/>
    </w:rPr>
  </w:style>
  <w:style w:type="paragraph" w:customStyle="1" w:styleId="ChartSecondHeading">
    <w:name w:val="Chart Second Heading"/>
    <w:basedOn w:val="HeadingBase"/>
    <w:next w:val="ChartGraphic"/>
    <w:rsid w:val="00064A80"/>
    <w:pPr>
      <w:spacing w:before="60"/>
      <w:jc w:val="center"/>
    </w:pPr>
    <w:rPr>
      <w:sz w:val="20"/>
    </w:rPr>
  </w:style>
  <w:style w:type="paragraph" w:customStyle="1" w:styleId="Classification">
    <w:name w:val="Classification"/>
    <w:basedOn w:val="HeadingBase"/>
    <w:rsid w:val="00064A80"/>
    <w:pPr>
      <w:jc w:val="center"/>
    </w:pPr>
    <w:rPr>
      <w:b/>
      <w:smallCaps/>
    </w:rPr>
  </w:style>
  <w:style w:type="character" w:styleId="CommentReference">
    <w:name w:val="annotation reference"/>
    <w:uiPriority w:val="99"/>
    <w:semiHidden/>
    <w:rsid w:val="00064A80"/>
    <w:rPr>
      <w:sz w:val="16"/>
      <w:szCs w:val="16"/>
    </w:rPr>
  </w:style>
  <w:style w:type="paragraph" w:styleId="CommentText">
    <w:name w:val="annotation text"/>
    <w:basedOn w:val="Normal"/>
    <w:link w:val="CommentTextChar"/>
    <w:uiPriority w:val="99"/>
    <w:semiHidden/>
    <w:rsid w:val="00064A80"/>
    <w:rPr>
      <w:lang w:val="x-none" w:eastAsia="x-none"/>
    </w:rPr>
  </w:style>
  <w:style w:type="character" w:customStyle="1" w:styleId="CommentTextChar">
    <w:name w:val="Comment Text Char"/>
    <w:link w:val="CommentText"/>
    <w:uiPriority w:val="99"/>
    <w:rsid w:val="00064A80"/>
    <w:rPr>
      <w:rFonts w:ascii="Book Antiqua" w:hAnsi="Book Antiqua" w:cs="Times New Roman"/>
      <w:sz w:val="20"/>
      <w:szCs w:val="20"/>
      <w:lang w:val="x-none" w:eastAsia="x-none"/>
    </w:rPr>
  </w:style>
  <w:style w:type="paragraph" w:styleId="CommentSubject">
    <w:name w:val="annotation subject"/>
    <w:basedOn w:val="CommentText"/>
    <w:next w:val="CommentText"/>
    <w:link w:val="CommentSubjectChar"/>
    <w:semiHidden/>
    <w:rsid w:val="00064A80"/>
    <w:rPr>
      <w:b/>
      <w:bCs/>
    </w:rPr>
  </w:style>
  <w:style w:type="character" w:customStyle="1" w:styleId="CommentSubjectChar">
    <w:name w:val="Comment Subject Char"/>
    <w:basedOn w:val="CommentTextChar"/>
    <w:link w:val="CommentSubject"/>
    <w:rsid w:val="00064A80"/>
    <w:rPr>
      <w:rFonts w:ascii="Book Antiqua" w:hAnsi="Book Antiqua" w:cs="Times New Roman"/>
      <w:b/>
      <w:bCs/>
      <w:sz w:val="20"/>
      <w:szCs w:val="20"/>
      <w:lang w:val="x-none" w:eastAsia="x-none"/>
    </w:rPr>
  </w:style>
  <w:style w:type="paragraph" w:customStyle="1" w:styleId="ContentsHeading">
    <w:name w:val="Contents Heading"/>
    <w:basedOn w:val="HeadingBase"/>
    <w:next w:val="Normal"/>
    <w:rsid w:val="00064A80"/>
    <w:pPr>
      <w:spacing w:after="360"/>
      <w:jc w:val="center"/>
    </w:pPr>
    <w:rPr>
      <w:b/>
      <w:smallCaps/>
      <w:sz w:val="34"/>
    </w:rPr>
  </w:style>
  <w:style w:type="paragraph" w:customStyle="1" w:styleId="Crest">
    <w:name w:val="Crest"/>
    <w:basedOn w:val="Normal"/>
    <w:next w:val="Normal"/>
    <w:rsid w:val="00064A80"/>
    <w:pPr>
      <w:jc w:val="center"/>
    </w:pPr>
  </w:style>
  <w:style w:type="paragraph" w:customStyle="1" w:styleId="Dash">
    <w:name w:val="Dash"/>
    <w:basedOn w:val="Normal"/>
    <w:rsid w:val="00064A80"/>
    <w:pPr>
      <w:numPr>
        <w:ilvl w:val="1"/>
        <w:numId w:val="5"/>
      </w:numPr>
    </w:pPr>
  </w:style>
  <w:style w:type="paragraph" w:customStyle="1" w:styleId="Department">
    <w:name w:val="Department"/>
    <w:basedOn w:val="Normal"/>
    <w:rsid w:val="00064A80"/>
    <w:pPr>
      <w:jc w:val="center"/>
    </w:pPr>
    <w:rPr>
      <w:rFonts w:ascii="Arial" w:hAnsi="Arial"/>
      <w:b/>
      <w:sz w:val="52"/>
    </w:rPr>
  </w:style>
  <w:style w:type="paragraph" w:customStyle="1" w:styleId="DepartmentSubtitle">
    <w:name w:val="Department Subtitle"/>
    <w:basedOn w:val="Department"/>
    <w:rsid w:val="00064A80"/>
    <w:rPr>
      <w:sz w:val="44"/>
    </w:rPr>
  </w:style>
  <w:style w:type="paragraph" w:styleId="DocumentMap">
    <w:name w:val="Document Map"/>
    <w:basedOn w:val="Normal"/>
    <w:link w:val="DocumentMapChar"/>
    <w:semiHidden/>
    <w:rsid w:val="00064A80"/>
    <w:pPr>
      <w:shd w:val="clear" w:color="auto" w:fill="000080"/>
    </w:pPr>
    <w:rPr>
      <w:rFonts w:ascii="Tahoma" w:hAnsi="Tahoma" w:cs="Tahoma"/>
    </w:rPr>
  </w:style>
  <w:style w:type="character" w:customStyle="1" w:styleId="DocumentMapChar">
    <w:name w:val="Document Map Char"/>
    <w:basedOn w:val="DefaultParagraphFont"/>
    <w:link w:val="DocumentMap"/>
    <w:rsid w:val="00064A80"/>
    <w:rPr>
      <w:rFonts w:ascii="Tahoma" w:hAnsi="Tahoma" w:cs="Tahoma"/>
      <w:sz w:val="20"/>
      <w:szCs w:val="20"/>
      <w:shd w:val="clear" w:color="auto" w:fill="000080"/>
      <w:lang w:eastAsia="en-AU"/>
    </w:rPr>
  </w:style>
  <w:style w:type="paragraph" w:customStyle="1" w:styleId="DoubleDot">
    <w:name w:val="Double Dot"/>
    <w:basedOn w:val="Normal"/>
    <w:rsid w:val="00064A80"/>
    <w:pPr>
      <w:numPr>
        <w:ilvl w:val="2"/>
        <w:numId w:val="5"/>
      </w:numPr>
    </w:pPr>
  </w:style>
  <w:style w:type="character" w:styleId="EndnoteReference">
    <w:name w:val="endnote reference"/>
    <w:rsid w:val="00064A80"/>
    <w:rPr>
      <w:vertAlign w:val="superscript"/>
    </w:rPr>
  </w:style>
  <w:style w:type="paragraph" w:styleId="EndnoteText">
    <w:name w:val="endnote text"/>
    <w:basedOn w:val="Normal"/>
    <w:link w:val="EndnoteTextChar"/>
    <w:rsid w:val="00064A80"/>
  </w:style>
  <w:style w:type="character" w:customStyle="1" w:styleId="EndnoteTextChar">
    <w:name w:val="Endnote Text Char"/>
    <w:basedOn w:val="DefaultParagraphFont"/>
    <w:link w:val="EndnoteText"/>
    <w:rsid w:val="00064A80"/>
    <w:rPr>
      <w:rFonts w:ascii="Book Antiqua" w:hAnsi="Book Antiqua" w:cs="Times New Roman"/>
      <w:sz w:val="20"/>
      <w:szCs w:val="20"/>
      <w:lang w:eastAsia="en-AU"/>
    </w:rPr>
  </w:style>
  <w:style w:type="paragraph" w:customStyle="1" w:styleId="Exampletext">
    <w:name w:val="Example text"/>
    <w:basedOn w:val="Normal"/>
    <w:link w:val="ExampletextCharChar"/>
    <w:rsid w:val="00064A80"/>
    <w:rPr>
      <w:i/>
      <w:color w:val="FF0000"/>
    </w:rPr>
  </w:style>
  <w:style w:type="character" w:customStyle="1" w:styleId="ExampletextCharChar">
    <w:name w:val="Example text Char Char"/>
    <w:link w:val="Exampletext"/>
    <w:rsid w:val="00064A80"/>
    <w:rPr>
      <w:rFonts w:ascii="Book Antiqua" w:hAnsi="Book Antiqua" w:cs="Times New Roman"/>
      <w:i/>
      <w:color w:val="FF0000"/>
      <w:sz w:val="20"/>
      <w:szCs w:val="20"/>
      <w:lang w:eastAsia="en-AU"/>
    </w:rPr>
  </w:style>
  <w:style w:type="paragraph" w:customStyle="1" w:styleId="ExampleText0">
    <w:name w:val="Example Text"/>
    <w:basedOn w:val="Normal"/>
    <w:rsid w:val="00064A80"/>
    <w:rPr>
      <w:i/>
      <w:color w:val="FF0000"/>
    </w:rPr>
  </w:style>
  <w:style w:type="paragraph" w:customStyle="1" w:styleId="Exampletextbullet">
    <w:name w:val="Example text bullet"/>
    <w:basedOn w:val="Exampletext"/>
    <w:rsid w:val="00064A80"/>
    <w:pPr>
      <w:numPr>
        <w:numId w:val="6"/>
      </w:numPr>
    </w:pPr>
  </w:style>
  <w:style w:type="paragraph" w:customStyle="1" w:styleId="Exampletextdash">
    <w:name w:val="Example text dash"/>
    <w:basedOn w:val="Exampletextbullet"/>
    <w:rsid w:val="00064A80"/>
    <w:pPr>
      <w:numPr>
        <w:ilvl w:val="1"/>
      </w:numPr>
    </w:pPr>
  </w:style>
  <w:style w:type="paragraph" w:customStyle="1" w:styleId="FigureHeading">
    <w:name w:val="Figure Heading"/>
    <w:basedOn w:val="HeadingBase"/>
    <w:next w:val="ChartGraphic"/>
    <w:rsid w:val="00064A80"/>
    <w:pPr>
      <w:spacing w:after="120"/>
      <w:jc w:val="center"/>
    </w:pPr>
    <w:rPr>
      <w:b/>
      <w:sz w:val="20"/>
    </w:rPr>
  </w:style>
  <w:style w:type="paragraph" w:customStyle="1" w:styleId="FileProperties">
    <w:name w:val="File Properties"/>
    <w:basedOn w:val="Normal"/>
    <w:semiHidden/>
    <w:rsid w:val="00064A80"/>
    <w:rPr>
      <w:i/>
    </w:rPr>
  </w:style>
  <w:style w:type="character" w:styleId="FollowedHyperlink">
    <w:name w:val="FollowedHyperlink"/>
    <w:uiPriority w:val="99"/>
    <w:rsid w:val="00064A80"/>
    <w:rPr>
      <w:color w:val="800080"/>
      <w:u w:val="single"/>
    </w:rPr>
  </w:style>
  <w:style w:type="paragraph" w:customStyle="1" w:styleId="FooterBase">
    <w:name w:val="Footer Base"/>
    <w:rsid w:val="00064A80"/>
    <w:pPr>
      <w:jc w:val="center"/>
    </w:pPr>
    <w:rPr>
      <w:rFonts w:ascii="Arial" w:hAnsi="Arial"/>
      <w:lang w:eastAsia="en-AU"/>
    </w:rPr>
  </w:style>
  <w:style w:type="paragraph" w:styleId="Footer">
    <w:name w:val="footer"/>
    <w:basedOn w:val="FooterBase"/>
    <w:link w:val="FooterChar"/>
    <w:uiPriority w:val="99"/>
    <w:rsid w:val="00064A80"/>
    <w:pPr>
      <w:tabs>
        <w:tab w:val="center" w:pos="4153"/>
        <w:tab w:val="right" w:pos="8306"/>
      </w:tabs>
    </w:pPr>
  </w:style>
  <w:style w:type="character" w:customStyle="1" w:styleId="FooterChar">
    <w:name w:val="Footer Char"/>
    <w:basedOn w:val="DefaultParagraphFont"/>
    <w:link w:val="Footer"/>
    <w:uiPriority w:val="99"/>
    <w:rsid w:val="00064A80"/>
    <w:rPr>
      <w:rFonts w:ascii="Arial" w:hAnsi="Arial" w:cs="Times New Roman"/>
      <w:sz w:val="20"/>
      <w:szCs w:val="20"/>
      <w:lang w:eastAsia="en-AU"/>
    </w:rPr>
  </w:style>
  <w:style w:type="character" w:styleId="FootnoteReference">
    <w:name w:val="footnote reference"/>
    <w:uiPriority w:val="99"/>
    <w:rsid w:val="00064A80"/>
    <w:rPr>
      <w:vertAlign w:val="superscript"/>
    </w:rPr>
  </w:style>
  <w:style w:type="paragraph" w:styleId="FootnoteText">
    <w:name w:val="footnote text"/>
    <w:basedOn w:val="Normal"/>
    <w:link w:val="FootnoteTextChar"/>
    <w:rsid w:val="00064A80"/>
    <w:pPr>
      <w:tabs>
        <w:tab w:val="left" w:pos="284"/>
      </w:tabs>
      <w:ind w:left="284" w:hanging="284"/>
    </w:pPr>
  </w:style>
  <w:style w:type="character" w:customStyle="1" w:styleId="FootnoteTextChar">
    <w:name w:val="Footnote Text Char"/>
    <w:basedOn w:val="DefaultParagraphFont"/>
    <w:link w:val="FootnoteText"/>
    <w:rsid w:val="00064A80"/>
    <w:rPr>
      <w:rFonts w:ascii="Book Antiqua" w:hAnsi="Book Antiqua" w:cs="Times New Roman"/>
      <w:sz w:val="18"/>
      <w:szCs w:val="20"/>
      <w:lang w:eastAsia="en-AU"/>
    </w:rPr>
  </w:style>
  <w:style w:type="character" w:customStyle="1" w:styleId="FramedHeader">
    <w:name w:val="Framed Header"/>
    <w:rsid w:val="00064A80"/>
    <w:rPr>
      <w:rFonts w:ascii="Book Antiqua" w:hAnsi="Book Antiqua"/>
      <w:i/>
      <w:dstrike w:val="0"/>
      <w:color w:val="auto"/>
      <w:sz w:val="18"/>
      <w:vertAlign w:val="baseline"/>
    </w:rPr>
  </w:style>
  <w:style w:type="paragraph" w:customStyle="1" w:styleId="HeaderBase">
    <w:name w:val="Header Base"/>
    <w:rsid w:val="00064A80"/>
    <w:rPr>
      <w:rFonts w:ascii="Book Antiqua" w:hAnsi="Book Antiqua"/>
      <w:i/>
      <w:lang w:eastAsia="en-AU"/>
    </w:rPr>
  </w:style>
  <w:style w:type="paragraph" w:styleId="Header">
    <w:name w:val="header"/>
    <w:basedOn w:val="HeaderBase"/>
    <w:link w:val="HeaderChar"/>
    <w:uiPriority w:val="99"/>
    <w:rsid w:val="00064A80"/>
    <w:pPr>
      <w:tabs>
        <w:tab w:val="center" w:pos="4153"/>
        <w:tab w:val="right" w:pos="8306"/>
      </w:tabs>
    </w:pPr>
    <w:rPr>
      <w:lang w:val="x-none" w:eastAsia="x-none"/>
    </w:rPr>
  </w:style>
  <w:style w:type="character" w:customStyle="1" w:styleId="HeaderChar">
    <w:name w:val="Header Char"/>
    <w:link w:val="Header"/>
    <w:uiPriority w:val="99"/>
    <w:rsid w:val="00064A80"/>
    <w:rPr>
      <w:rFonts w:ascii="Book Antiqua" w:hAnsi="Book Antiqua" w:cs="Times New Roman"/>
      <w:i/>
      <w:sz w:val="20"/>
      <w:szCs w:val="20"/>
      <w:lang w:val="x-none" w:eastAsia="x-none"/>
    </w:rPr>
  </w:style>
  <w:style w:type="paragraph" w:customStyle="1" w:styleId="HeaderEven">
    <w:name w:val="Header Even"/>
    <w:basedOn w:val="HeaderBase"/>
    <w:rsid w:val="00064A80"/>
  </w:style>
  <w:style w:type="paragraph" w:customStyle="1" w:styleId="HeaderOdd">
    <w:name w:val="Header Odd"/>
    <w:basedOn w:val="HeaderBase"/>
    <w:rsid w:val="00064A80"/>
    <w:pPr>
      <w:jc w:val="right"/>
    </w:pPr>
  </w:style>
  <w:style w:type="character" w:customStyle="1" w:styleId="Heading1Char">
    <w:name w:val="Heading 1 Char"/>
    <w:aliases w:val="Heading 1 do not use Char,Section heading 1 Char,Front Page Title Char,1. Char,Para 1 Char,Para 11 Char"/>
    <w:basedOn w:val="DefaultParagraphFont"/>
    <w:link w:val="Heading1"/>
    <w:rsid w:val="00F25D1B"/>
    <w:rPr>
      <w:rFonts w:ascii="Arial" w:hAnsi="Arial" w:cs="Times New Roman"/>
      <w:b/>
      <w:smallCaps/>
      <w:kern w:val="28"/>
      <w:sz w:val="34"/>
      <w:szCs w:val="20"/>
      <w:lang w:eastAsia="en-AU"/>
    </w:rPr>
  </w:style>
  <w:style w:type="paragraph" w:customStyle="1" w:styleId="Heading1noTOC">
    <w:name w:val="Heading 1 no TOC"/>
    <w:basedOn w:val="Heading1"/>
    <w:rsid w:val="00064A80"/>
  </w:style>
  <w:style w:type="character" w:customStyle="1" w:styleId="Heading2Char">
    <w:name w:val="Heading 2 Char"/>
    <w:aliases w:val="Heading 2 do not use Char,Front Page List of Sections Char"/>
    <w:basedOn w:val="DefaultParagraphFont"/>
    <w:link w:val="Heading2"/>
    <w:rsid w:val="00F25D1B"/>
    <w:rPr>
      <w:rFonts w:ascii="Arial" w:hAnsi="Arial" w:cs="Times New Roman"/>
      <w:sz w:val="30"/>
      <w:szCs w:val="20"/>
      <w:lang w:eastAsia="en-AU"/>
    </w:rPr>
  </w:style>
  <w:style w:type="character" w:customStyle="1" w:styleId="Heading3Char">
    <w:name w:val="Heading 3 Char"/>
    <w:aliases w:val="Heading 3 do not use Char"/>
    <w:link w:val="Heading3"/>
    <w:rsid w:val="00064A80"/>
    <w:rPr>
      <w:rFonts w:ascii="Arial" w:hAnsi="Arial" w:cs="Times New Roman"/>
      <w:b/>
      <w:smallCaps/>
      <w:sz w:val="26"/>
      <w:szCs w:val="20"/>
      <w:lang w:eastAsia="en-AU"/>
    </w:rPr>
  </w:style>
  <w:style w:type="character" w:customStyle="1" w:styleId="Heading4Char">
    <w:name w:val="Heading 4 Char"/>
    <w:basedOn w:val="DefaultParagraphFont"/>
    <w:link w:val="Heading4"/>
    <w:rsid w:val="00F25D1B"/>
    <w:rPr>
      <w:rFonts w:ascii="Arial" w:hAnsi="Arial" w:cs="Times New Roman"/>
      <w:b/>
      <w:szCs w:val="20"/>
      <w:lang w:eastAsia="en-AU"/>
    </w:rPr>
  </w:style>
  <w:style w:type="character" w:customStyle="1" w:styleId="Heading5Char">
    <w:name w:val="Heading 5 Char"/>
    <w:basedOn w:val="DefaultParagraphFont"/>
    <w:link w:val="Heading5"/>
    <w:rsid w:val="00F25D1B"/>
    <w:rPr>
      <w:rFonts w:ascii="Arial" w:hAnsi="Arial" w:cs="Times New Roman"/>
      <w:b/>
      <w:bCs/>
      <w:iCs/>
      <w:sz w:val="20"/>
      <w:szCs w:val="26"/>
      <w:lang w:eastAsia="en-AU"/>
    </w:rPr>
  </w:style>
  <w:style w:type="character" w:customStyle="1" w:styleId="Heading6Char">
    <w:name w:val="Heading 6 Char"/>
    <w:basedOn w:val="DefaultParagraphFont"/>
    <w:link w:val="Heading6"/>
    <w:rsid w:val="00F25D1B"/>
    <w:rPr>
      <w:rFonts w:ascii="Arial" w:hAnsi="Arial" w:cs="Times New Roman"/>
      <w:bCs/>
      <w:sz w:val="20"/>
      <w:lang w:eastAsia="en-AU"/>
    </w:rPr>
  </w:style>
  <w:style w:type="character" w:customStyle="1" w:styleId="Heading7Char">
    <w:name w:val="Heading 7 Char"/>
    <w:aliases w:val="Section Sub-Heading 4 Char"/>
    <w:basedOn w:val="DefaultParagraphFont"/>
    <w:link w:val="Heading7"/>
    <w:rsid w:val="00F25D1B"/>
    <w:rPr>
      <w:rFonts w:ascii="Arial" w:hAnsi="Arial" w:cs="Times New Roman"/>
      <w:sz w:val="18"/>
      <w:szCs w:val="24"/>
      <w:lang w:eastAsia="en-AU"/>
    </w:rPr>
  </w:style>
  <w:style w:type="character" w:customStyle="1" w:styleId="Heading8Char">
    <w:name w:val="Heading 8 Char"/>
    <w:basedOn w:val="DefaultParagraphFont"/>
    <w:link w:val="Heading8"/>
    <w:rsid w:val="00F25D1B"/>
    <w:rPr>
      <w:rFonts w:ascii="Times New Roman" w:hAnsi="Times New Roman" w:cs="Times New Roman"/>
      <w:i/>
      <w:iCs/>
      <w:sz w:val="16"/>
      <w:szCs w:val="24"/>
      <w:lang w:eastAsia="en-AU"/>
    </w:rPr>
  </w:style>
  <w:style w:type="character" w:customStyle="1" w:styleId="HiddenSequenceCode">
    <w:name w:val="Hidden Sequence Code"/>
    <w:semiHidden/>
    <w:rsid w:val="00064A80"/>
    <w:rPr>
      <w:rFonts w:ascii="Times New Roman" w:hAnsi="Times New Roman"/>
      <w:vanish/>
      <w:sz w:val="16"/>
    </w:rPr>
  </w:style>
  <w:style w:type="character" w:styleId="Hyperlink">
    <w:name w:val="Hyperlink"/>
    <w:uiPriority w:val="99"/>
    <w:rsid w:val="00064A80"/>
    <w:rPr>
      <w:color w:val="0000FF"/>
      <w:u w:val="single"/>
    </w:rPr>
  </w:style>
  <w:style w:type="paragraph" w:styleId="Index1">
    <w:name w:val="index 1"/>
    <w:basedOn w:val="Normal"/>
    <w:next w:val="Normal"/>
    <w:autoRedefine/>
    <w:semiHidden/>
    <w:rsid w:val="00064A80"/>
    <w:pPr>
      <w:ind w:left="200" w:hanging="200"/>
    </w:pPr>
  </w:style>
  <w:style w:type="paragraph" w:styleId="Index2">
    <w:name w:val="index 2"/>
    <w:basedOn w:val="Normal"/>
    <w:next w:val="Normal"/>
    <w:autoRedefine/>
    <w:semiHidden/>
    <w:rsid w:val="00064A80"/>
    <w:pPr>
      <w:ind w:left="400" w:hanging="200"/>
    </w:pPr>
  </w:style>
  <w:style w:type="paragraph" w:styleId="Index3">
    <w:name w:val="index 3"/>
    <w:basedOn w:val="Normal"/>
    <w:next w:val="Normal"/>
    <w:autoRedefine/>
    <w:semiHidden/>
    <w:rsid w:val="00064A80"/>
    <w:pPr>
      <w:ind w:left="600" w:hanging="200"/>
    </w:pPr>
  </w:style>
  <w:style w:type="paragraph" w:styleId="Index4">
    <w:name w:val="index 4"/>
    <w:basedOn w:val="Normal"/>
    <w:next w:val="Normal"/>
    <w:autoRedefine/>
    <w:semiHidden/>
    <w:rsid w:val="00064A80"/>
    <w:pPr>
      <w:ind w:left="800" w:hanging="200"/>
    </w:pPr>
  </w:style>
  <w:style w:type="paragraph" w:styleId="Index5">
    <w:name w:val="index 5"/>
    <w:basedOn w:val="Normal"/>
    <w:next w:val="Normal"/>
    <w:autoRedefine/>
    <w:semiHidden/>
    <w:rsid w:val="00064A80"/>
    <w:pPr>
      <w:ind w:left="1000" w:hanging="200"/>
    </w:pPr>
  </w:style>
  <w:style w:type="paragraph" w:styleId="Index6">
    <w:name w:val="index 6"/>
    <w:basedOn w:val="Normal"/>
    <w:next w:val="Normal"/>
    <w:autoRedefine/>
    <w:semiHidden/>
    <w:rsid w:val="00064A80"/>
    <w:pPr>
      <w:ind w:left="1200" w:hanging="200"/>
    </w:pPr>
  </w:style>
  <w:style w:type="paragraph" w:styleId="Index7">
    <w:name w:val="index 7"/>
    <w:basedOn w:val="Normal"/>
    <w:next w:val="Normal"/>
    <w:autoRedefine/>
    <w:semiHidden/>
    <w:rsid w:val="00064A80"/>
    <w:pPr>
      <w:ind w:left="1400" w:hanging="200"/>
    </w:pPr>
  </w:style>
  <w:style w:type="paragraph" w:styleId="Index8">
    <w:name w:val="index 8"/>
    <w:basedOn w:val="Normal"/>
    <w:next w:val="Normal"/>
    <w:autoRedefine/>
    <w:semiHidden/>
    <w:rsid w:val="00064A80"/>
    <w:pPr>
      <w:ind w:left="1600" w:hanging="200"/>
    </w:pPr>
  </w:style>
  <w:style w:type="paragraph" w:styleId="Index9">
    <w:name w:val="index 9"/>
    <w:basedOn w:val="Normal"/>
    <w:next w:val="Normal"/>
    <w:autoRedefine/>
    <w:semiHidden/>
    <w:rsid w:val="00064A80"/>
    <w:pPr>
      <w:ind w:left="1800" w:hanging="200"/>
    </w:pPr>
  </w:style>
  <w:style w:type="paragraph" w:styleId="IndexHeading">
    <w:name w:val="index heading"/>
    <w:basedOn w:val="Normal"/>
    <w:next w:val="Index1"/>
    <w:semiHidden/>
    <w:rsid w:val="00064A80"/>
    <w:rPr>
      <w:rFonts w:ascii="Arial" w:hAnsi="Arial" w:cs="Arial"/>
      <w:b/>
      <w:bCs/>
    </w:rPr>
  </w:style>
  <w:style w:type="paragraph" w:styleId="ListParagraph">
    <w:name w:val="List Paragraph"/>
    <w:basedOn w:val="Normal"/>
    <w:link w:val="ListParagraphChar"/>
    <w:qFormat/>
    <w:rsid w:val="00064A80"/>
    <w:pPr>
      <w:spacing w:after="200" w:line="276" w:lineRule="auto"/>
      <w:ind w:left="720"/>
      <w:contextualSpacing/>
    </w:pPr>
    <w:rPr>
      <w:rFonts w:eastAsia="Calibri"/>
      <w:sz w:val="22"/>
      <w:szCs w:val="22"/>
      <w:lang w:val="en-US"/>
    </w:rPr>
  </w:style>
  <w:style w:type="paragraph" w:styleId="MacroText">
    <w:name w:val="macro"/>
    <w:link w:val="MacroTextChar"/>
    <w:semiHidden/>
    <w:rsid w:val="00064A80"/>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lang w:eastAsia="en-AU"/>
    </w:rPr>
  </w:style>
  <w:style w:type="character" w:customStyle="1" w:styleId="MacroTextChar">
    <w:name w:val="Macro Text Char"/>
    <w:basedOn w:val="DefaultParagraphFont"/>
    <w:link w:val="MacroText"/>
    <w:rsid w:val="00064A80"/>
    <w:rPr>
      <w:rFonts w:ascii="Courier New" w:hAnsi="Courier New" w:cs="Courier New"/>
      <w:sz w:val="20"/>
      <w:szCs w:val="20"/>
      <w:lang w:eastAsia="en-AU"/>
    </w:rPr>
  </w:style>
  <w:style w:type="paragraph" w:styleId="NoSpacing">
    <w:name w:val="No Spacing"/>
    <w:uiPriority w:val="1"/>
    <w:qFormat/>
    <w:rsid w:val="00064A80"/>
    <w:pPr>
      <w:jc w:val="both"/>
    </w:pPr>
    <w:rPr>
      <w:rFonts w:ascii="Book Antiqua" w:hAnsi="Book Antiqua"/>
      <w:lang w:eastAsia="en-AU"/>
    </w:rPr>
  </w:style>
  <w:style w:type="paragraph" w:styleId="NormalWeb">
    <w:name w:val="Normal (Web)"/>
    <w:basedOn w:val="Normal"/>
    <w:uiPriority w:val="99"/>
    <w:unhideWhenUsed/>
    <w:rsid w:val="00064A80"/>
    <w:pPr>
      <w:spacing w:before="100" w:beforeAutospacing="1" w:after="100" w:afterAutospacing="1"/>
    </w:pPr>
    <w:rPr>
      <w:rFonts w:eastAsiaTheme="minorEastAsia"/>
      <w:sz w:val="24"/>
      <w:szCs w:val="24"/>
    </w:rPr>
  </w:style>
  <w:style w:type="paragraph" w:styleId="NormalIndent">
    <w:name w:val="Normal Indent"/>
    <w:basedOn w:val="Normal"/>
    <w:rsid w:val="00064A80"/>
    <w:pPr>
      <w:ind w:left="567"/>
    </w:pPr>
  </w:style>
  <w:style w:type="paragraph" w:customStyle="1" w:styleId="NoteTableHeading">
    <w:name w:val="Note Table Heading"/>
    <w:basedOn w:val="HeadingBase"/>
    <w:next w:val="Normal"/>
    <w:semiHidden/>
    <w:rsid w:val="00064A80"/>
    <w:pPr>
      <w:spacing w:before="240"/>
    </w:pPr>
    <w:rPr>
      <w:b/>
      <w:sz w:val="20"/>
    </w:rPr>
  </w:style>
  <w:style w:type="paragraph" w:customStyle="1" w:styleId="Outcome">
    <w:name w:val="Outcome"/>
    <w:basedOn w:val="Normal"/>
    <w:rsid w:val="00064A80"/>
    <w:pPr>
      <w:spacing w:before="120" w:after="120" w:line="280" w:lineRule="exact"/>
    </w:pPr>
    <w:rPr>
      <w:rFonts w:ascii="Arial" w:hAnsi="Arial" w:cs="Arial"/>
      <w:b/>
    </w:rPr>
  </w:style>
  <w:style w:type="paragraph" w:customStyle="1" w:styleId="OverviewParagraph">
    <w:name w:val="Overview Paragraph"/>
    <w:basedOn w:val="Normal"/>
    <w:semiHidden/>
    <w:rsid w:val="00064A80"/>
    <w:pPr>
      <w:spacing w:before="120" w:after="120"/>
    </w:pPr>
  </w:style>
  <w:style w:type="character" w:styleId="PageNumber">
    <w:name w:val="page number"/>
    <w:uiPriority w:val="99"/>
    <w:rsid w:val="00064A80"/>
    <w:rPr>
      <w:rFonts w:ascii="Arial" w:hAnsi="Arial" w:cs="Arial"/>
    </w:rPr>
  </w:style>
  <w:style w:type="paragraph" w:styleId="Title">
    <w:name w:val="Title"/>
    <w:basedOn w:val="Normal"/>
    <w:link w:val="TitleChar"/>
    <w:qFormat/>
    <w:rsid w:val="00064A80"/>
    <w:pPr>
      <w:jc w:val="center"/>
      <w:outlineLvl w:val="0"/>
    </w:pPr>
    <w:rPr>
      <w:rFonts w:ascii="Arial" w:hAnsi="Arial" w:cs="Arial"/>
      <w:b/>
      <w:bCs/>
      <w:caps/>
      <w:kern w:val="28"/>
      <w:sz w:val="52"/>
      <w:szCs w:val="32"/>
    </w:rPr>
  </w:style>
  <w:style w:type="character" w:customStyle="1" w:styleId="TitleChar">
    <w:name w:val="Title Char"/>
    <w:basedOn w:val="DefaultParagraphFont"/>
    <w:link w:val="Title"/>
    <w:rsid w:val="00064A80"/>
    <w:rPr>
      <w:rFonts w:ascii="Arial" w:hAnsi="Arial" w:cs="Arial"/>
      <w:b/>
      <w:bCs/>
      <w:caps/>
      <w:kern w:val="28"/>
      <w:sz w:val="52"/>
      <w:szCs w:val="32"/>
      <w:lang w:eastAsia="en-AU"/>
    </w:rPr>
  </w:style>
  <w:style w:type="paragraph" w:customStyle="1" w:styleId="Part">
    <w:name w:val="Part"/>
    <w:basedOn w:val="Title"/>
    <w:next w:val="Normal"/>
    <w:rsid w:val="00064A80"/>
    <w:rPr>
      <w:caps w:val="0"/>
      <w:smallCaps/>
    </w:rPr>
  </w:style>
  <w:style w:type="paragraph" w:customStyle="1" w:styleId="PartHeading">
    <w:name w:val="Part Heading"/>
    <w:basedOn w:val="Part"/>
    <w:next w:val="Normal"/>
    <w:rsid w:val="00064A80"/>
  </w:style>
  <w:style w:type="paragraph" w:customStyle="1" w:styleId="ProgramHeading">
    <w:name w:val="Program Heading"/>
    <w:basedOn w:val="HeadingBase"/>
    <w:rsid w:val="00064A80"/>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064A80"/>
  </w:style>
  <w:style w:type="paragraph" w:customStyle="1" w:styleId="SingleParagraph">
    <w:name w:val="Single Paragraph"/>
    <w:basedOn w:val="Normal"/>
    <w:rsid w:val="00064A80"/>
  </w:style>
  <w:style w:type="paragraph" w:customStyle="1" w:styleId="Source">
    <w:name w:val="Source"/>
    <w:basedOn w:val="Normal"/>
    <w:rsid w:val="00064A80"/>
    <w:pPr>
      <w:tabs>
        <w:tab w:val="left" w:pos="284"/>
      </w:tabs>
    </w:pPr>
    <w:rPr>
      <w:rFonts w:ascii="Arial" w:hAnsi="Arial"/>
      <w:sz w:val="16"/>
    </w:rPr>
  </w:style>
  <w:style w:type="paragraph" w:customStyle="1" w:styleId="TableColumnHeadingBase">
    <w:name w:val="Table Column Heading Base"/>
    <w:basedOn w:val="Normal"/>
    <w:rsid w:val="00064A80"/>
    <w:pPr>
      <w:spacing w:before="60" w:after="60"/>
    </w:pPr>
    <w:rPr>
      <w:rFonts w:ascii="Arial" w:hAnsi="Arial"/>
      <w:b/>
    </w:rPr>
  </w:style>
  <w:style w:type="paragraph" w:customStyle="1" w:styleId="TableColumnHeadingCentred">
    <w:name w:val="Table Column Heading Centred"/>
    <w:basedOn w:val="TableColumnHeadingBase"/>
    <w:next w:val="Normal"/>
    <w:rsid w:val="00064A80"/>
    <w:pPr>
      <w:jc w:val="center"/>
    </w:pPr>
  </w:style>
  <w:style w:type="paragraph" w:customStyle="1" w:styleId="TableColumnHeadingLeft">
    <w:name w:val="Table Column Heading Left"/>
    <w:basedOn w:val="TableColumnHeadingBase"/>
    <w:next w:val="Normal"/>
    <w:rsid w:val="00064A80"/>
  </w:style>
  <w:style w:type="paragraph" w:customStyle="1" w:styleId="TableColumnHeadingRight">
    <w:name w:val="Table Column Heading Right"/>
    <w:basedOn w:val="TableColumnHeadingBase"/>
    <w:next w:val="Normal"/>
    <w:rsid w:val="00064A80"/>
    <w:pPr>
      <w:jc w:val="right"/>
    </w:pPr>
  </w:style>
  <w:style w:type="paragraph" w:customStyle="1" w:styleId="TableColumnOutgroupHeading">
    <w:name w:val="Table Column Outgroup Heading"/>
    <w:basedOn w:val="Normal"/>
    <w:rsid w:val="00064A80"/>
    <w:pPr>
      <w:spacing w:before="60" w:after="120"/>
    </w:pPr>
    <w:rPr>
      <w:b/>
      <w:sz w:val="22"/>
    </w:rPr>
  </w:style>
  <w:style w:type="paragraph" w:customStyle="1" w:styleId="TableColumnOutgroupSubheading">
    <w:name w:val="Table Column Outgroup Subheading"/>
    <w:basedOn w:val="Normal"/>
    <w:rsid w:val="00064A80"/>
    <w:pPr>
      <w:spacing w:before="60" w:after="120"/>
      <w:jc w:val="center"/>
    </w:pPr>
  </w:style>
  <w:style w:type="paragraph" w:customStyle="1" w:styleId="TableGraphic">
    <w:name w:val="Table Graphic"/>
    <w:basedOn w:val="Normal"/>
    <w:next w:val="Normal"/>
    <w:rsid w:val="00064A80"/>
    <w:pPr>
      <w:ind w:right="-113"/>
    </w:pPr>
  </w:style>
  <w:style w:type="table" w:styleId="TableGrid">
    <w:name w:val="Table Grid"/>
    <w:basedOn w:val="TableNormal"/>
    <w:uiPriority w:val="59"/>
    <w:rsid w:val="00064A80"/>
    <w:pPr>
      <w:spacing w:after="240" w:line="260" w:lineRule="exact"/>
      <w:jc w:val="both"/>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link w:val="TableHeadingChar"/>
    <w:rsid w:val="00064A80"/>
    <w:pPr>
      <w:spacing w:before="120" w:after="20"/>
    </w:pPr>
    <w:rPr>
      <w:b/>
    </w:rPr>
  </w:style>
  <w:style w:type="character" w:customStyle="1" w:styleId="TableHeadingChar">
    <w:name w:val="Table Heading Char"/>
    <w:link w:val="TableHeading"/>
    <w:rsid w:val="00064A80"/>
    <w:rPr>
      <w:rFonts w:ascii="Arial" w:hAnsi="Arial" w:cs="Times New Roman"/>
      <w:b/>
      <w:sz w:val="24"/>
      <w:szCs w:val="20"/>
      <w:lang w:eastAsia="en-AU"/>
    </w:rPr>
  </w:style>
  <w:style w:type="paragraph" w:customStyle="1" w:styleId="TableHeadingcontinued">
    <w:name w:val="Table Heading continued"/>
    <w:basedOn w:val="HeadingBase"/>
    <w:next w:val="TableGraphic"/>
    <w:rsid w:val="00064A80"/>
    <w:pPr>
      <w:spacing w:before="120" w:after="20"/>
    </w:pPr>
    <w:rPr>
      <w:rFonts w:ascii="Arial Bold" w:hAnsi="Arial Bold"/>
      <w:b/>
      <w:sz w:val="20"/>
    </w:rPr>
  </w:style>
  <w:style w:type="paragraph" w:customStyle="1" w:styleId="TableHeadingNoTable">
    <w:name w:val="Table Heading No Table"/>
    <w:basedOn w:val="TableHeading"/>
    <w:next w:val="Normal"/>
    <w:rsid w:val="00064A80"/>
    <w:pPr>
      <w:spacing w:after="240"/>
    </w:pPr>
  </w:style>
  <w:style w:type="paragraph" w:styleId="TableofAuthorities">
    <w:name w:val="table of authorities"/>
    <w:basedOn w:val="Normal"/>
    <w:next w:val="Normal"/>
    <w:semiHidden/>
    <w:rsid w:val="00064A80"/>
    <w:pPr>
      <w:ind w:left="200" w:hanging="200"/>
    </w:pPr>
  </w:style>
  <w:style w:type="paragraph" w:styleId="TableofFigures">
    <w:name w:val="table of figures"/>
    <w:basedOn w:val="Normal"/>
    <w:next w:val="Normal"/>
    <w:semiHidden/>
    <w:rsid w:val="00064A80"/>
  </w:style>
  <w:style w:type="paragraph" w:customStyle="1" w:styleId="TableTextBase">
    <w:name w:val="Table Text Base"/>
    <w:basedOn w:val="Normal"/>
    <w:link w:val="TableTextBaseChar"/>
    <w:rsid w:val="00064A80"/>
    <w:pPr>
      <w:spacing w:before="60" w:after="60"/>
    </w:pPr>
    <w:rPr>
      <w:rFonts w:ascii="Arial" w:hAnsi="Arial"/>
    </w:rPr>
  </w:style>
  <w:style w:type="character" w:customStyle="1" w:styleId="TableTextBaseChar">
    <w:name w:val="Table Text Base Char"/>
    <w:link w:val="TableTextBase"/>
    <w:rsid w:val="00064A80"/>
    <w:rPr>
      <w:rFonts w:ascii="Arial" w:hAnsi="Arial" w:cs="Times New Roman"/>
      <w:sz w:val="18"/>
      <w:szCs w:val="20"/>
      <w:lang w:eastAsia="en-AU"/>
    </w:rPr>
  </w:style>
  <w:style w:type="paragraph" w:customStyle="1" w:styleId="TableTextBullet">
    <w:name w:val="Table Text Bullet"/>
    <w:basedOn w:val="TableTextBase"/>
    <w:rsid w:val="00064A80"/>
  </w:style>
  <w:style w:type="paragraph" w:customStyle="1" w:styleId="TableTextCentred">
    <w:name w:val="Table Text Centred"/>
    <w:basedOn w:val="TableTextBase"/>
    <w:rsid w:val="00064A80"/>
    <w:pPr>
      <w:jc w:val="center"/>
    </w:pPr>
  </w:style>
  <w:style w:type="paragraph" w:customStyle="1" w:styleId="TableTextDash">
    <w:name w:val="Table Text Dash"/>
    <w:basedOn w:val="TableTextBase"/>
    <w:rsid w:val="00064A80"/>
    <w:pPr>
      <w:numPr>
        <w:ilvl w:val="1"/>
        <w:numId w:val="8"/>
      </w:numPr>
    </w:pPr>
  </w:style>
  <w:style w:type="paragraph" w:customStyle="1" w:styleId="TableTextIndented">
    <w:name w:val="Table Text Indented"/>
    <w:basedOn w:val="TableTextBase"/>
    <w:rsid w:val="00064A80"/>
    <w:pPr>
      <w:ind w:left="284"/>
    </w:pPr>
  </w:style>
  <w:style w:type="paragraph" w:customStyle="1" w:styleId="TableTextJustified">
    <w:name w:val="Table Text Justified"/>
    <w:basedOn w:val="TableTextBase"/>
    <w:rsid w:val="00064A80"/>
    <w:pPr>
      <w:jc w:val="both"/>
    </w:pPr>
  </w:style>
  <w:style w:type="paragraph" w:customStyle="1" w:styleId="TableTextLeft">
    <w:name w:val="Table Text Left"/>
    <w:basedOn w:val="TableTextBase"/>
    <w:link w:val="TableTextLeftChar"/>
    <w:rsid w:val="00064A80"/>
  </w:style>
  <w:style w:type="character" w:customStyle="1" w:styleId="TableTextLeftChar">
    <w:name w:val="Table Text Left Char"/>
    <w:basedOn w:val="TableTextBaseChar"/>
    <w:link w:val="TableTextLeft"/>
    <w:rsid w:val="00064A80"/>
    <w:rPr>
      <w:rFonts w:ascii="Arial" w:hAnsi="Arial" w:cs="Times New Roman"/>
      <w:sz w:val="18"/>
      <w:szCs w:val="20"/>
      <w:lang w:eastAsia="en-AU"/>
    </w:rPr>
  </w:style>
  <w:style w:type="paragraph" w:customStyle="1" w:styleId="TableTextRight">
    <w:name w:val="Table Text Right"/>
    <w:basedOn w:val="TableTextBase"/>
    <w:rsid w:val="00064A80"/>
    <w:pPr>
      <w:jc w:val="right"/>
    </w:pPr>
  </w:style>
  <w:style w:type="paragraph" w:customStyle="1" w:styleId="Title2ndLevel">
    <w:name w:val="Title 2nd Level"/>
    <w:basedOn w:val="Title"/>
    <w:rsid w:val="00064A80"/>
    <w:rPr>
      <w:sz w:val="24"/>
    </w:rPr>
  </w:style>
  <w:style w:type="paragraph" w:customStyle="1" w:styleId="Title3rdLevel">
    <w:name w:val="Title 3rd Level"/>
    <w:basedOn w:val="Normal"/>
    <w:next w:val="Title"/>
    <w:rsid w:val="00064A80"/>
    <w:pPr>
      <w:jc w:val="center"/>
    </w:pPr>
    <w:rPr>
      <w:rFonts w:ascii="Arial" w:hAnsi="Arial"/>
      <w:caps/>
    </w:rPr>
  </w:style>
  <w:style w:type="paragraph" w:styleId="TOAHeading">
    <w:name w:val="toa heading"/>
    <w:basedOn w:val="Normal"/>
    <w:next w:val="Normal"/>
    <w:semiHidden/>
    <w:rsid w:val="00064A80"/>
    <w:pPr>
      <w:spacing w:before="120"/>
    </w:pPr>
    <w:rPr>
      <w:rFonts w:ascii="Arial" w:hAnsi="Arial" w:cs="Arial"/>
      <w:b/>
      <w:bCs/>
      <w:sz w:val="24"/>
      <w:szCs w:val="24"/>
    </w:rPr>
  </w:style>
  <w:style w:type="paragraph" w:styleId="TOC1">
    <w:name w:val="toc 1"/>
    <w:basedOn w:val="HeaderBase"/>
    <w:next w:val="Normal"/>
    <w:uiPriority w:val="39"/>
    <w:rsid w:val="00064A80"/>
    <w:pPr>
      <w:spacing w:before="240" w:after="120" w:line="260" w:lineRule="atLeast"/>
    </w:pPr>
    <w:rPr>
      <w:rFonts w:asciiTheme="minorHAnsi" w:hAnsiTheme="minorHAnsi" w:cstheme="minorHAnsi"/>
      <w:b/>
      <w:bCs/>
      <w:i w:val="0"/>
      <w:lang w:eastAsia="en-US"/>
    </w:rPr>
  </w:style>
  <w:style w:type="paragraph" w:styleId="TOC2">
    <w:name w:val="toc 2"/>
    <w:basedOn w:val="HeadingBase"/>
    <w:next w:val="Normal"/>
    <w:uiPriority w:val="39"/>
    <w:rsid w:val="00064A80"/>
    <w:pPr>
      <w:keepNext w:val="0"/>
      <w:spacing w:before="120" w:line="260" w:lineRule="atLeast"/>
      <w:ind w:left="180"/>
    </w:pPr>
    <w:rPr>
      <w:rFonts w:asciiTheme="minorHAnsi" w:hAnsiTheme="minorHAnsi" w:cstheme="minorHAnsi"/>
      <w:i/>
      <w:iCs/>
      <w:sz w:val="20"/>
      <w:lang w:eastAsia="en-US"/>
    </w:rPr>
  </w:style>
  <w:style w:type="paragraph" w:styleId="TOC3">
    <w:name w:val="toc 3"/>
    <w:basedOn w:val="HeadingBase"/>
    <w:next w:val="Normal"/>
    <w:uiPriority w:val="39"/>
    <w:rsid w:val="00064A80"/>
    <w:pPr>
      <w:keepNext w:val="0"/>
      <w:spacing w:line="260" w:lineRule="atLeast"/>
      <w:ind w:left="360"/>
    </w:pPr>
    <w:rPr>
      <w:rFonts w:asciiTheme="minorHAnsi" w:hAnsiTheme="minorHAnsi" w:cstheme="minorHAnsi"/>
      <w:sz w:val="20"/>
      <w:lang w:eastAsia="en-US"/>
    </w:rPr>
  </w:style>
  <w:style w:type="paragraph" w:styleId="TOC4">
    <w:name w:val="toc 4"/>
    <w:basedOn w:val="HeadingBase"/>
    <w:next w:val="Normal"/>
    <w:rsid w:val="00064A80"/>
    <w:pPr>
      <w:keepNext w:val="0"/>
      <w:spacing w:line="260" w:lineRule="atLeast"/>
      <w:ind w:left="540"/>
    </w:pPr>
    <w:rPr>
      <w:rFonts w:asciiTheme="minorHAnsi" w:hAnsiTheme="minorHAnsi" w:cstheme="minorHAnsi"/>
      <w:sz w:val="20"/>
      <w:lang w:eastAsia="en-US"/>
    </w:rPr>
  </w:style>
  <w:style w:type="paragraph" w:styleId="TOC5">
    <w:name w:val="toc 5"/>
    <w:basedOn w:val="Normal"/>
    <w:next w:val="Normal"/>
    <w:autoRedefine/>
    <w:semiHidden/>
    <w:rsid w:val="00064A80"/>
    <w:pPr>
      <w:ind w:left="720"/>
    </w:pPr>
    <w:rPr>
      <w:rFonts w:asciiTheme="minorHAnsi" w:hAnsiTheme="minorHAnsi" w:cstheme="minorHAnsi"/>
      <w:sz w:val="20"/>
    </w:rPr>
  </w:style>
  <w:style w:type="paragraph" w:styleId="TOC6">
    <w:name w:val="toc 6"/>
    <w:basedOn w:val="Normal"/>
    <w:next w:val="Normal"/>
    <w:autoRedefine/>
    <w:semiHidden/>
    <w:rsid w:val="00064A80"/>
    <w:pPr>
      <w:ind w:left="900"/>
    </w:pPr>
    <w:rPr>
      <w:rFonts w:asciiTheme="minorHAnsi" w:hAnsiTheme="minorHAnsi" w:cstheme="minorHAnsi"/>
      <w:sz w:val="20"/>
    </w:rPr>
  </w:style>
  <w:style w:type="paragraph" w:styleId="TOC7">
    <w:name w:val="toc 7"/>
    <w:basedOn w:val="Normal"/>
    <w:next w:val="Normal"/>
    <w:autoRedefine/>
    <w:semiHidden/>
    <w:rsid w:val="00064A80"/>
    <w:pPr>
      <w:ind w:left="1080"/>
    </w:pPr>
    <w:rPr>
      <w:rFonts w:asciiTheme="minorHAnsi" w:hAnsiTheme="minorHAnsi" w:cstheme="minorHAnsi"/>
      <w:sz w:val="20"/>
    </w:rPr>
  </w:style>
  <w:style w:type="paragraph" w:styleId="TOC8">
    <w:name w:val="toc 8"/>
    <w:basedOn w:val="Normal"/>
    <w:next w:val="Normal"/>
    <w:autoRedefine/>
    <w:semiHidden/>
    <w:rsid w:val="00064A80"/>
    <w:pPr>
      <w:ind w:left="1260"/>
    </w:pPr>
    <w:rPr>
      <w:rFonts w:asciiTheme="minorHAnsi" w:hAnsiTheme="minorHAnsi" w:cstheme="minorHAnsi"/>
      <w:sz w:val="20"/>
    </w:rPr>
  </w:style>
  <w:style w:type="paragraph" w:styleId="TOC9">
    <w:name w:val="toc 9"/>
    <w:basedOn w:val="Normal"/>
    <w:next w:val="Normal"/>
    <w:autoRedefine/>
    <w:semiHidden/>
    <w:rsid w:val="00064A80"/>
    <w:pPr>
      <w:ind w:left="1440"/>
    </w:pPr>
    <w:rPr>
      <w:rFonts w:asciiTheme="minorHAnsi" w:hAnsiTheme="minorHAnsi" w:cstheme="minorHAnsi"/>
      <w:sz w:val="20"/>
    </w:rPr>
  </w:style>
  <w:style w:type="paragraph" w:customStyle="1" w:styleId="TPHeading1">
    <w:name w:val="TP Heading 1"/>
    <w:basedOn w:val="HeadingBase"/>
    <w:rsid w:val="00064A80"/>
    <w:rPr>
      <w:b/>
      <w:caps/>
      <w:sz w:val="52"/>
    </w:rPr>
  </w:style>
  <w:style w:type="paragraph" w:customStyle="1" w:styleId="TPHeading2">
    <w:name w:val="TP Heading 2"/>
    <w:basedOn w:val="HeadingBase"/>
    <w:rsid w:val="00064A80"/>
    <w:pPr>
      <w:jc w:val="center"/>
    </w:pPr>
    <w:rPr>
      <w:rFonts w:ascii="Georgia" w:hAnsi="Georgia"/>
      <w:caps/>
    </w:rPr>
  </w:style>
  <w:style w:type="paragraph" w:customStyle="1" w:styleId="TPHeading3">
    <w:name w:val="TP Heading 3"/>
    <w:basedOn w:val="HeadingBase"/>
    <w:rsid w:val="00064A80"/>
    <w:rPr>
      <w:rFonts w:ascii="Georgia" w:hAnsi="Georgia"/>
      <w:caps/>
    </w:rPr>
  </w:style>
  <w:style w:type="paragraph" w:customStyle="1" w:styleId="TransmittalAddressee">
    <w:name w:val="Transmittal Addressee"/>
    <w:basedOn w:val="Normal"/>
    <w:rsid w:val="00064A80"/>
  </w:style>
  <w:style w:type="paragraph" w:customStyle="1" w:styleId="TransmittalStyle1">
    <w:name w:val="Transmittal Style 1"/>
    <w:basedOn w:val="HeadingBase"/>
    <w:rsid w:val="00064A80"/>
    <w:pPr>
      <w:spacing w:after="60"/>
      <w:jc w:val="right"/>
    </w:pPr>
    <w:rPr>
      <w:b/>
      <w:smallCaps/>
    </w:rPr>
  </w:style>
  <w:style w:type="paragraph" w:customStyle="1" w:styleId="TransmittalStyle2">
    <w:name w:val="Transmittal Style 2"/>
    <w:basedOn w:val="HeadingBase"/>
    <w:rsid w:val="00064A80"/>
    <w:pPr>
      <w:spacing w:before="60" w:after="60"/>
      <w:jc w:val="right"/>
    </w:pPr>
    <w:rPr>
      <w:rFonts w:ascii="Helvetica" w:hAnsi="Helvetica"/>
      <w:b/>
      <w:caps/>
      <w:sz w:val="16"/>
    </w:rPr>
  </w:style>
  <w:style w:type="paragraph" w:customStyle="1" w:styleId="UserGuidelevelTOC">
    <w:name w:val="UserGuide level TOC"/>
    <w:basedOn w:val="HeadingBase"/>
    <w:next w:val="Normal"/>
    <w:rsid w:val="00064A80"/>
    <w:pPr>
      <w:spacing w:before="360" w:after="360"/>
    </w:pPr>
    <w:rPr>
      <w:sz w:val="30"/>
    </w:rPr>
  </w:style>
  <w:style w:type="character" w:customStyle="1" w:styleId="ActTitleetc">
    <w:name w:val="Act_Title_etc"/>
    <w:basedOn w:val="DefaultParagraphFont"/>
    <w:uiPriority w:val="1"/>
    <w:qFormat/>
    <w:rsid w:val="00C21DC5"/>
    <w:rPr>
      <w:i/>
    </w:rPr>
  </w:style>
  <w:style w:type="paragraph" w:customStyle="1" w:styleId="ARImage">
    <w:name w:val="AR_Image"/>
    <w:next w:val="Normal"/>
    <w:link w:val="ARImageChar"/>
    <w:qFormat/>
    <w:rsid w:val="00D1404A"/>
    <w:pPr>
      <w:spacing w:before="120" w:after="120"/>
    </w:pPr>
    <w:rPr>
      <w:rFonts w:ascii="Arial" w:hAnsi="Arial"/>
      <w:b/>
      <w:smallCaps/>
      <w:noProof/>
      <w:sz w:val="30"/>
      <w:lang w:eastAsia="en-AU"/>
    </w:rPr>
  </w:style>
  <w:style w:type="character" w:customStyle="1" w:styleId="ARImageChar">
    <w:name w:val="AR_Image Char"/>
    <w:basedOn w:val="DefaultParagraphFont"/>
    <w:link w:val="ARImage"/>
    <w:rsid w:val="00D1404A"/>
    <w:rPr>
      <w:rFonts w:ascii="Arial" w:hAnsi="Arial" w:cs="Times New Roman"/>
      <w:b/>
      <w:smallCaps/>
      <w:noProof/>
      <w:sz w:val="30"/>
      <w:szCs w:val="20"/>
      <w:lang w:eastAsia="en-AU"/>
    </w:rPr>
  </w:style>
  <w:style w:type="paragraph" w:customStyle="1" w:styleId="TableSubHeading">
    <w:name w:val="Table_Sub_Heading"/>
    <w:basedOn w:val="Heading5"/>
    <w:qFormat/>
    <w:rsid w:val="00A12DF6"/>
    <w:pPr>
      <w:spacing w:before="60" w:after="20"/>
    </w:pPr>
  </w:style>
  <w:style w:type="paragraph" w:customStyle="1" w:styleId="ARTableColumnHeadingBase">
    <w:name w:val="AR Table Column Heading Base"/>
    <w:basedOn w:val="Normal"/>
    <w:link w:val="ARTableColumnHeadingBaseChar"/>
    <w:locked/>
    <w:rsid w:val="00200175"/>
    <w:pPr>
      <w:spacing w:before="60" w:after="60"/>
    </w:pPr>
    <w:rPr>
      <w:rFonts w:ascii="Arial" w:eastAsiaTheme="minorEastAsia" w:hAnsi="Arial" w:cstheme="minorBidi"/>
      <w:i/>
      <w:szCs w:val="18"/>
    </w:rPr>
  </w:style>
  <w:style w:type="character" w:customStyle="1" w:styleId="ARTableColumnHeadingBaseChar">
    <w:name w:val="AR Table Column Heading Base Char"/>
    <w:basedOn w:val="DefaultParagraphFont"/>
    <w:link w:val="ARTableColumnHeadingBase"/>
    <w:rsid w:val="00200175"/>
    <w:rPr>
      <w:rFonts w:ascii="Arial" w:eastAsiaTheme="minorEastAsia" w:hAnsi="Arial"/>
      <w:i/>
      <w:sz w:val="18"/>
      <w:szCs w:val="18"/>
    </w:rPr>
  </w:style>
  <w:style w:type="paragraph" w:customStyle="1" w:styleId="ARTableColumnHeadingCentred">
    <w:name w:val="AR Table Column Heading Centred"/>
    <w:basedOn w:val="ARTableTextCentred"/>
    <w:next w:val="Normal"/>
    <w:locked/>
    <w:rsid w:val="00200175"/>
    <w:rPr>
      <w:i/>
    </w:rPr>
  </w:style>
  <w:style w:type="paragraph" w:customStyle="1" w:styleId="ARTableTextBase">
    <w:name w:val="AR Table Text Base"/>
    <w:basedOn w:val="Normal"/>
    <w:link w:val="ARTableTextBaseChar"/>
    <w:locked/>
    <w:rsid w:val="00200175"/>
    <w:pPr>
      <w:spacing w:before="60" w:after="60"/>
    </w:pPr>
    <w:rPr>
      <w:rFonts w:ascii="Arial" w:eastAsiaTheme="minorEastAsia" w:hAnsi="Arial" w:cstheme="minorBidi"/>
      <w:szCs w:val="22"/>
    </w:rPr>
  </w:style>
  <w:style w:type="character" w:customStyle="1" w:styleId="ARTableTextBaseChar">
    <w:name w:val="AR Table Text Base Char"/>
    <w:link w:val="ARTableTextBase"/>
    <w:rsid w:val="00200175"/>
    <w:rPr>
      <w:rFonts w:ascii="Arial" w:eastAsiaTheme="minorEastAsia" w:hAnsi="Arial"/>
      <w:sz w:val="18"/>
    </w:rPr>
  </w:style>
  <w:style w:type="paragraph" w:customStyle="1" w:styleId="ARTableTextCentred">
    <w:name w:val="AR Table Text Centred"/>
    <w:basedOn w:val="ARTableTextBase"/>
    <w:rsid w:val="00200175"/>
    <w:pPr>
      <w:jc w:val="center"/>
    </w:pPr>
  </w:style>
  <w:style w:type="paragraph" w:customStyle="1" w:styleId="ARTableColumnHeadingLeft">
    <w:name w:val="AR Table Column Heading Left"/>
    <w:basedOn w:val="ARTableTextBase"/>
    <w:next w:val="Normal"/>
    <w:rsid w:val="00200175"/>
    <w:pPr>
      <w:keepNext/>
    </w:pPr>
    <w:rPr>
      <w:i/>
    </w:rPr>
  </w:style>
  <w:style w:type="paragraph" w:customStyle="1" w:styleId="ARTableTextRight">
    <w:name w:val="AR Table Text Right"/>
    <w:basedOn w:val="ARTableTextBase"/>
    <w:locked/>
    <w:rsid w:val="00200175"/>
    <w:pPr>
      <w:jc w:val="right"/>
    </w:pPr>
  </w:style>
  <w:style w:type="paragraph" w:customStyle="1" w:styleId="ARTableColumnHeadingRight">
    <w:name w:val="AR Table Column Heading Right"/>
    <w:basedOn w:val="ARTableTextRight"/>
    <w:next w:val="Normal"/>
    <w:locked/>
    <w:rsid w:val="00200175"/>
    <w:rPr>
      <w:i/>
    </w:rPr>
  </w:style>
  <w:style w:type="paragraph" w:customStyle="1" w:styleId="ARTableTextBullet">
    <w:name w:val="AR Table Text Bullet"/>
    <w:basedOn w:val="ARTableTextBase"/>
    <w:locked/>
    <w:rsid w:val="00200175"/>
    <w:pPr>
      <w:numPr>
        <w:numId w:val="8"/>
      </w:numPr>
    </w:pPr>
  </w:style>
  <w:style w:type="paragraph" w:customStyle="1" w:styleId="ARTableTextLeft">
    <w:name w:val="AR Table Text Left"/>
    <w:basedOn w:val="ARTableTextBase"/>
    <w:link w:val="ARTableTextLeftChar"/>
    <w:rsid w:val="00200175"/>
  </w:style>
  <w:style w:type="character" w:customStyle="1" w:styleId="ARTableTextLeftChar">
    <w:name w:val="AR Table Text Left Char"/>
    <w:basedOn w:val="ARTableTextBaseChar"/>
    <w:link w:val="ARTableTextLeft"/>
    <w:rsid w:val="00200175"/>
    <w:rPr>
      <w:rFonts w:ascii="Arial" w:eastAsiaTheme="minorEastAsia" w:hAnsi="Arial"/>
      <w:sz w:val="18"/>
    </w:rPr>
  </w:style>
  <w:style w:type="paragraph" w:customStyle="1" w:styleId="ARTableSubHeading">
    <w:name w:val="AR Table_Sub_Heading"/>
    <w:basedOn w:val="ARTableColumnHeadingBase"/>
    <w:autoRedefine/>
    <w:qFormat/>
    <w:rsid w:val="003B65F3"/>
    <w:pPr>
      <w:keepNext/>
    </w:pPr>
    <w:rPr>
      <w:b/>
      <w:i w:val="0"/>
      <w:sz w:val="20"/>
    </w:rPr>
  </w:style>
  <w:style w:type="paragraph" w:customStyle="1" w:styleId="ARTableFootnoteText">
    <w:name w:val="AR Table Footnote Text"/>
    <w:basedOn w:val="FootnoteText"/>
    <w:qFormat/>
    <w:rsid w:val="002233E3"/>
    <w:pPr>
      <w:tabs>
        <w:tab w:val="clear" w:pos="284"/>
      </w:tabs>
      <w:ind w:left="426"/>
    </w:pPr>
    <w:rPr>
      <w:rFonts w:asciiTheme="minorHAnsi" w:eastAsiaTheme="minorEastAsia" w:hAnsiTheme="minorHAnsi" w:cstheme="minorBidi"/>
      <w:szCs w:val="22"/>
    </w:rPr>
  </w:style>
  <w:style w:type="paragraph" w:customStyle="1" w:styleId="PBS16copyrightpageitalics">
    <w:name w:val="PBS16 copyright page italics"/>
    <w:basedOn w:val="Normal"/>
    <w:rsid w:val="00F161B2"/>
    <w:pPr>
      <w:ind w:firstLine="720"/>
    </w:pPr>
    <w:rPr>
      <w:i/>
      <w:iCs/>
    </w:rPr>
  </w:style>
  <w:style w:type="paragraph" w:customStyle="1" w:styleId="PBS16NormalLeft">
    <w:name w:val="PBS16 Normal Left"/>
    <w:basedOn w:val="Normal"/>
    <w:rsid w:val="00F161B2"/>
  </w:style>
  <w:style w:type="character" w:customStyle="1" w:styleId="PBS16Actsitalics">
    <w:name w:val="PBS16 Acts (italics)"/>
    <w:basedOn w:val="DefaultParagraphFont"/>
    <w:uiPriority w:val="1"/>
    <w:rsid w:val="00F161B2"/>
    <w:rPr>
      <w:i/>
    </w:rPr>
  </w:style>
  <w:style w:type="paragraph" w:customStyle="1" w:styleId="PBS16ChartGraphicLeft">
    <w:name w:val="PBS16 Chart Graphic Left"/>
    <w:basedOn w:val="ChartGraphic"/>
    <w:rsid w:val="00F161B2"/>
    <w:pPr>
      <w:spacing w:after="240" w:line="240" w:lineRule="atLeast"/>
      <w:jc w:val="left"/>
    </w:pPr>
    <w:rPr>
      <w:noProof/>
    </w:rPr>
  </w:style>
  <w:style w:type="paragraph" w:customStyle="1" w:styleId="PBS16copyrightpagebold">
    <w:name w:val="PBS16 copyright page bold"/>
    <w:basedOn w:val="Normal"/>
    <w:next w:val="Normal"/>
    <w:rsid w:val="00F161B2"/>
    <w:rPr>
      <w:b/>
    </w:rPr>
  </w:style>
  <w:style w:type="paragraph" w:customStyle="1" w:styleId="PBS16indentedlist">
    <w:name w:val="PBS16 indented list"/>
    <w:rsid w:val="00F161B2"/>
    <w:pPr>
      <w:tabs>
        <w:tab w:val="left" w:pos="2268"/>
      </w:tabs>
      <w:spacing w:after="240" w:line="260" w:lineRule="exact"/>
      <w:ind w:left="567"/>
    </w:pPr>
    <w:rPr>
      <w:rFonts w:ascii="Book Antiqua" w:hAnsi="Book Antiqua"/>
      <w:lang w:eastAsia="en-AU"/>
    </w:rPr>
  </w:style>
  <w:style w:type="paragraph" w:customStyle="1" w:styleId="PBS16BulletList">
    <w:name w:val="PBS16 Bullet List"/>
    <w:basedOn w:val="Normal"/>
    <w:link w:val="PBS16BulletListChar"/>
    <w:qFormat/>
    <w:rsid w:val="00F161B2"/>
    <w:pPr>
      <w:spacing w:before="120" w:after="120"/>
      <w:ind w:left="567" w:hanging="567"/>
    </w:pPr>
    <w:rPr>
      <w:rFonts w:cstheme="minorBidi"/>
      <w:sz w:val="22"/>
      <w:szCs w:val="22"/>
    </w:rPr>
  </w:style>
  <w:style w:type="character" w:customStyle="1" w:styleId="PBS16BulletListChar">
    <w:name w:val="PBS16 Bullet List Char"/>
    <w:basedOn w:val="DefaultParagraphFont"/>
    <w:link w:val="PBS16BulletList"/>
    <w:rsid w:val="00F161B2"/>
    <w:rPr>
      <w:rFonts w:ascii="Book Antiqua" w:hAnsi="Book Antiqua"/>
    </w:rPr>
  </w:style>
  <w:style w:type="paragraph" w:customStyle="1" w:styleId="PBS16PortHeadingCentre">
    <w:name w:val="PBS16 Port Heading Centre"/>
    <w:basedOn w:val="PBS16Port"/>
    <w:next w:val="PBS16Port"/>
    <w:rsid w:val="00F161B2"/>
    <w:pPr>
      <w:jc w:val="center"/>
    </w:pPr>
    <w:rPr>
      <w:b/>
    </w:rPr>
  </w:style>
  <w:style w:type="paragraph" w:customStyle="1" w:styleId="PBS16Port">
    <w:name w:val="PBS16 Port"/>
    <w:basedOn w:val="SingleParagraph"/>
    <w:rsid w:val="00F161B2"/>
    <w:pPr>
      <w:pBdr>
        <w:top w:val="single" w:sz="4" w:space="4" w:color="auto"/>
        <w:left w:val="single" w:sz="4" w:space="4" w:color="auto"/>
        <w:bottom w:val="single" w:sz="4" w:space="4" w:color="auto"/>
        <w:right w:val="single" w:sz="4" w:space="4" w:color="auto"/>
      </w:pBdr>
      <w:spacing w:after="120"/>
    </w:pPr>
    <w:rPr>
      <w:sz w:val="19"/>
      <w:szCs w:val="19"/>
    </w:rPr>
  </w:style>
  <w:style w:type="paragraph" w:customStyle="1" w:styleId="PBS16PortCentre">
    <w:name w:val="PBS16 Port Centre"/>
    <w:basedOn w:val="PBS16Port"/>
    <w:rsid w:val="00F161B2"/>
    <w:pPr>
      <w:jc w:val="center"/>
    </w:pPr>
  </w:style>
  <w:style w:type="paragraph" w:customStyle="1" w:styleId="PBS16Agencies">
    <w:name w:val="PBS16 Agencies"/>
    <w:basedOn w:val="Normal"/>
    <w:rsid w:val="00F161B2"/>
    <w:pPr>
      <w:spacing w:after="120"/>
    </w:pPr>
    <w:rPr>
      <w:sz w:val="19"/>
      <w:szCs w:val="19"/>
    </w:rPr>
  </w:style>
  <w:style w:type="character" w:customStyle="1" w:styleId="Heading9Char">
    <w:name w:val="Heading 9 Char"/>
    <w:basedOn w:val="DefaultParagraphFont"/>
    <w:link w:val="Heading9"/>
    <w:rsid w:val="003E6989"/>
    <w:rPr>
      <w:rFonts w:ascii="Calibri" w:hAnsi="Calibri"/>
      <w:sz w:val="18"/>
    </w:rPr>
  </w:style>
  <w:style w:type="paragraph" w:styleId="Signature">
    <w:name w:val="Signature"/>
    <w:basedOn w:val="Normal"/>
    <w:link w:val="SignatureChar"/>
    <w:rsid w:val="003E6989"/>
    <w:pPr>
      <w:spacing w:line="240" w:lineRule="auto"/>
    </w:pPr>
  </w:style>
  <w:style w:type="character" w:customStyle="1" w:styleId="SignatureChar">
    <w:name w:val="Signature Char"/>
    <w:basedOn w:val="DefaultParagraphFont"/>
    <w:link w:val="Signature"/>
    <w:rsid w:val="003E6989"/>
    <w:rPr>
      <w:rFonts w:ascii="Calibri" w:hAnsi="Calibri"/>
      <w:sz w:val="18"/>
    </w:rPr>
  </w:style>
  <w:style w:type="paragraph" w:styleId="Revision">
    <w:name w:val="Revision"/>
    <w:uiPriority w:val="99"/>
    <w:semiHidden/>
    <w:rsid w:val="003E6989"/>
    <w:rPr>
      <w:rFonts w:ascii="Calibri" w:hAnsi="Calibri"/>
      <w:sz w:val="18"/>
    </w:rPr>
  </w:style>
  <w:style w:type="character" w:customStyle="1" w:styleId="StatementNameChar">
    <w:name w:val="Statement Name Char"/>
    <w:basedOn w:val="DefaultParagraphFont"/>
    <w:link w:val="StatementName"/>
    <w:locked/>
    <w:rsid w:val="003E6989"/>
    <w:rPr>
      <w:rFonts w:ascii="Arial" w:hAnsi="Arial" w:cs="Arial"/>
      <w:b/>
      <w:sz w:val="24"/>
      <w:szCs w:val="24"/>
    </w:rPr>
  </w:style>
  <w:style w:type="paragraph" w:customStyle="1" w:styleId="StatementName">
    <w:name w:val="Statement Name"/>
    <w:basedOn w:val="Normal"/>
    <w:next w:val="Normal"/>
    <w:link w:val="StatementNameChar"/>
    <w:autoRedefine/>
    <w:rsid w:val="003E6989"/>
    <w:pPr>
      <w:pBdr>
        <w:bottom w:val="single" w:sz="4" w:space="1" w:color="auto"/>
      </w:pBdr>
    </w:pPr>
    <w:rPr>
      <w:rFonts w:ascii="Arial" w:hAnsi="Arial" w:cs="Arial"/>
      <w:b/>
      <w:sz w:val="24"/>
      <w:szCs w:val="24"/>
    </w:rPr>
  </w:style>
  <w:style w:type="paragraph" w:customStyle="1" w:styleId="StatementDateHeader">
    <w:name w:val="Statement Date Header"/>
    <w:basedOn w:val="Normal"/>
    <w:next w:val="Normal"/>
    <w:rsid w:val="003E6989"/>
    <w:pPr>
      <w:pBdr>
        <w:bottom w:val="single" w:sz="4" w:space="1" w:color="auto"/>
      </w:pBdr>
    </w:pPr>
    <w:rPr>
      <w:rFonts w:ascii="Arial" w:hAnsi="Arial"/>
      <w:i/>
      <w:sz w:val="24"/>
    </w:rPr>
  </w:style>
  <w:style w:type="paragraph" w:customStyle="1" w:styleId="StatementTextLevel3">
    <w:name w:val="Statement Text Level 3"/>
    <w:basedOn w:val="Normal"/>
    <w:next w:val="Normal"/>
    <w:rsid w:val="003E6989"/>
    <w:rPr>
      <w:rFonts w:ascii="Arial" w:hAnsi="Arial"/>
    </w:rPr>
  </w:style>
  <w:style w:type="paragraph" w:customStyle="1" w:styleId="TableHeaderLevel1">
    <w:name w:val="Table Header Level 1"/>
    <w:basedOn w:val="Normal"/>
    <w:semiHidden/>
    <w:rsid w:val="003E6989"/>
    <w:pPr>
      <w:jc w:val="center"/>
    </w:pPr>
    <w:rPr>
      <w:rFonts w:ascii="Arial" w:hAnsi="Arial"/>
      <w:b/>
      <w:szCs w:val="18"/>
    </w:rPr>
  </w:style>
  <w:style w:type="paragraph" w:customStyle="1" w:styleId="StatementTextLevel1bItalic">
    <w:name w:val="Statement Text Level 1(b) + Italic"/>
    <w:basedOn w:val="Normal"/>
    <w:rsid w:val="003E6989"/>
    <w:rPr>
      <w:rFonts w:ascii="Arial" w:hAnsi="Arial"/>
      <w:b/>
      <w:bCs/>
      <w:i/>
      <w:iCs/>
      <w:szCs w:val="18"/>
    </w:rPr>
  </w:style>
  <w:style w:type="paragraph" w:customStyle="1" w:styleId="Graphic">
    <w:name w:val="Graphic"/>
    <w:basedOn w:val="Signature"/>
    <w:rsid w:val="003E6989"/>
    <w:pPr>
      <w:pBdr>
        <w:top w:val="single" w:sz="4" w:space="1" w:color="auto"/>
        <w:left w:val="single" w:sz="4" w:space="1" w:color="auto"/>
        <w:bottom w:val="single" w:sz="4" w:space="1" w:color="auto"/>
        <w:right w:val="single" w:sz="4" w:space="1" w:color="auto"/>
      </w:pBdr>
      <w:jc w:val="center"/>
    </w:pPr>
  </w:style>
  <w:style w:type="paragraph" w:customStyle="1" w:styleId="NotesTotal">
    <w:name w:val="Notes Total"/>
    <w:basedOn w:val="Normal"/>
    <w:autoRedefine/>
    <w:rsid w:val="003E6989"/>
    <w:pPr>
      <w:ind w:left="139" w:right="57"/>
    </w:pPr>
    <w:rPr>
      <w:b/>
      <w:iCs/>
      <w:sz w:val="20"/>
    </w:rPr>
  </w:style>
  <w:style w:type="paragraph" w:customStyle="1" w:styleId="TitlePage">
    <w:name w:val="Title Page"/>
    <w:basedOn w:val="Normal"/>
    <w:autoRedefine/>
    <w:rsid w:val="003E6989"/>
    <w:pPr>
      <w:spacing w:before="1200" w:after="1200"/>
      <w:ind w:left="57" w:right="57"/>
      <w:jc w:val="right"/>
    </w:pPr>
    <w:rPr>
      <w:b/>
      <w:bCs/>
      <w:sz w:val="48"/>
    </w:rPr>
  </w:style>
  <w:style w:type="paragraph" w:customStyle="1" w:styleId="zcontents">
    <w:name w:val="zcontents"/>
    <w:basedOn w:val="Normal"/>
    <w:semiHidden/>
    <w:rsid w:val="003E6989"/>
    <w:pPr>
      <w:spacing w:after="260" w:line="240" w:lineRule="auto"/>
    </w:pPr>
    <w:rPr>
      <w:b/>
      <w:sz w:val="32"/>
    </w:rPr>
  </w:style>
  <w:style w:type="paragraph" w:customStyle="1" w:styleId="Normal10pt">
    <w:name w:val="Normal + 10 pt"/>
    <w:aliases w:val="Line spacing:  single"/>
    <w:basedOn w:val="Normal"/>
    <w:rsid w:val="003E6989"/>
    <w:pPr>
      <w:spacing w:before="130" w:after="130"/>
    </w:pPr>
    <w:rPr>
      <w:b/>
      <w:sz w:val="20"/>
    </w:rPr>
  </w:style>
  <w:style w:type="paragraph" w:customStyle="1" w:styleId="Normal8pt">
    <w:name w:val="Normal + 8 pt"/>
    <w:basedOn w:val="Normal"/>
    <w:rsid w:val="003E6989"/>
    <w:pPr>
      <w:widowControl w:val="0"/>
      <w:autoSpaceDE w:val="0"/>
      <w:autoSpaceDN w:val="0"/>
      <w:spacing w:line="240" w:lineRule="auto"/>
    </w:pPr>
    <w:rPr>
      <w:bCs/>
      <w:iCs/>
      <w:spacing w:val="-6"/>
      <w:sz w:val="16"/>
      <w:szCs w:val="16"/>
      <w:lang w:val="en-US"/>
    </w:rPr>
  </w:style>
  <w:style w:type="paragraph" w:customStyle="1" w:styleId="NormalCalistoMT">
    <w:name w:val="Normal + Calisto MT"/>
    <w:aliases w:val="8 pt,Right"/>
    <w:basedOn w:val="Normal"/>
    <w:rsid w:val="003E6989"/>
    <w:pPr>
      <w:framePr w:hSpace="180" w:wrap="around" w:vAnchor="text" w:hAnchor="margin" w:y="1"/>
      <w:ind w:right="212"/>
      <w:jc w:val="right"/>
    </w:pPr>
    <w:rPr>
      <w:rFonts w:ascii="Calisto MT" w:hAnsi="Calisto MT"/>
      <w:sz w:val="16"/>
    </w:rPr>
  </w:style>
  <w:style w:type="character" w:customStyle="1" w:styleId="ReferenceTextChar">
    <w:name w:val="Reference Text Char"/>
    <w:basedOn w:val="DefaultParagraphFont"/>
    <w:link w:val="ReferenceText"/>
    <w:uiPriority w:val="99"/>
    <w:locked/>
    <w:rsid w:val="003E6989"/>
    <w:rPr>
      <w:rFonts w:asciiTheme="minorHAnsi" w:hAnsiTheme="minorHAnsi" w:cstheme="minorHAnsi"/>
      <w:sz w:val="18"/>
    </w:rPr>
  </w:style>
  <w:style w:type="paragraph" w:customStyle="1" w:styleId="ReferenceText">
    <w:name w:val="Reference Text"/>
    <w:basedOn w:val="Normal"/>
    <w:link w:val="ReferenceTextChar"/>
    <w:autoRedefine/>
    <w:uiPriority w:val="99"/>
    <w:qFormat/>
    <w:rsid w:val="003E6989"/>
    <w:pPr>
      <w:ind w:right="566"/>
    </w:pPr>
    <w:rPr>
      <w:rFonts w:asciiTheme="minorHAnsi" w:hAnsiTheme="minorHAnsi" w:cstheme="minorHAnsi"/>
    </w:rPr>
  </w:style>
  <w:style w:type="character" w:customStyle="1" w:styleId="NotesHeading-Level1Char">
    <w:name w:val="Notes Heading - Level 1 Char"/>
    <w:basedOn w:val="DefaultParagraphFont"/>
    <w:link w:val="NotesHeading-Level1"/>
    <w:locked/>
    <w:rsid w:val="003E6989"/>
    <w:rPr>
      <w:rFonts w:asciiTheme="minorHAnsi" w:hAnsiTheme="minorHAnsi"/>
      <w:b/>
    </w:rPr>
  </w:style>
  <w:style w:type="paragraph" w:customStyle="1" w:styleId="NotesHeading-Level1">
    <w:name w:val="Notes Heading - Level 1"/>
    <w:basedOn w:val="Normal"/>
    <w:link w:val="NotesHeading-Level1Char"/>
    <w:qFormat/>
    <w:rsid w:val="003E6989"/>
    <w:pPr>
      <w:numPr>
        <w:numId w:val="10"/>
      </w:numPr>
      <w:ind w:right="607"/>
      <w:outlineLvl w:val="0"/>
    </w:pPr>
    <w:rPr>
      <w:rFonts w:asciiTheme="minorHAnsi" w:hAnsiTheme="minorHAnsi"/>
      <w:b/>
      <w:sz w:val="20"/>
    </w:rPr>
  </w:style>
  <w:style w:type="paragraph" w:customStyle="1" w:styleId="NotesHeading-Level2">
    <w:name w:val="Notes Heading - Level 2"/>
    <w:basedOn w:val="NotesHeading-Level1"/>
    <w:rsid w:val="003E6989"/>
    <w:pPr>
      <w:framePr w:hSpace="180" w:wrap="around" w:vAnchor="text" w:hAnchor="margin" w:y="1"/>
      <w:numPr>
        <w:ilvl w:val="1"/>
      </w:numPr>
      <w:tabs>
        <w:tab w:val="clear" w:pos="851"/>
        <w:tab w:val="num" w:pos="567"/>
      </w:tabs>
      <w:ind w:left="567" w:hanging="567"/>
    </w:pPr>
    <w:rPr>
      <w:sz w:val="18"/>
    </w:rPr>
  </w:style>
  <w:style w:type="paragraph" w:customStyle="1" w:styleId="StatementHeading">
    <w:name w:val="Statement Heading"/>
    <w:basedOn w:val="Normal"/>
    <w:rsid w:val="003E6989"/>
    <w:rPr>
      <w:rFonts w:ascii="Arial" w:hAnsi="Arial"/>
      <w:b/>
      <w:sz w:val="24"/>
    </w:rPr>
  </w:style>
  <w:style w:type="paragraph" w:customStyle="1" w:styleId="GreyShadeTableBreak">
    <w:name w:val="Grey Shade Table Break"/>
    <w:basedOn w:val="Normal"/>
    <w:qFormat/>
    <w:rsid w:val="003E6989"/>
    <w:pPr>
      <w:shd w:val="clear" w:color="auto" w:fill="D9D9D9" w:themeFill="background1" w:themeFillShade="D9"/>
      <w:tabs>
        <w:tab w:val="left" w:pos="9214"/>
      </w:tabs>
      <w:ind w:right="607"/>
    </w:pPr>
  </w:style>
  <w:style w:type="paragraph" w:customStyle="1" w:styleId="GreyShadeTableBreaknon-Standard">
    <w:name w:val="Grey Shade Table Break non-Standard"/>
    <w:qFormat/>
    <w:rsid w:val="003E6989"/>
    <w:pPr>
      <w:shd w:val="clear" w:color="auto" w:fill="D9D9D9" w:themeFill="background1" w:themeFillShade="D9"/>
      <w:ind w:right="57"/>
    </w:pPr>
    <w:rPr>
      <w:sz w:val="22"/>
    </w:rPr>
  </w:style>
  <w:style w:type="paragraph" w:customStyle="1" w:styleId="ReferenceTextLetter">
    <w:name w:val="Reference Text Letter"/>
    <w:basedOn w:val="ReferenceText"/>
    <w:qFormat/>
    <w:rsid w:val="003E6989"/>
    <w:pPr>
      <w:spacing w:line="240" w:lineRule="auto"/>
      <w:ind w:left="567" w:right="567"/>
    </w:pPr>
    <w:rPr>
      <w:rFonts w:cs="Arial"/>
      <w:szCs w:val="18"/>
    </w:rPr>
  </w:style>
  <w:style w:type="paragraph" w:customStyle="1" w:styleId="NotesHeader">
    <w:name w:val="Notes Header"/>
    <w:basedOn w:val="Normal"/>
    <w:next w:val="Normal"/>
    <w:rsid w:val="003E6989"/>
    <w:pPr>
      <w:jc w:val="center"/>
    </w:pPr>
    <w:rPr>
      <w:rFonts w:ascii="Arial" w:hAnsi="Arial"/>
      <w:b/>
    </w:rPr>
  </w:style>
  <w:style w:type="paragraph" w:customStyle="1" w:styleId="NotesReferences">
    <w:name w:val="Notes References"/>
    <w:basedOn w:val="Normal"/>
    <w:next w:val="Normal"/>
    <w:rsid w:val="003E6989"/>
    <w:pPr>
      <w:jc w:val="center"/>
    </w:pPr>
    <w:rPr>
      <w:rFonts w:ascii="Arial" w:hAnsi="Arial"/>
    </w:rPr>
  </w:style>
  <w:style w:type="paragraph" w:customStyle="1" w:styleId="NotesData">
    <w:name w:val="Notes Data"/>
    <w:basedOn w:val="Normal"/>
    <w:rsid w:val="003E6989"/>
    <w:pPr>
      <w:framePr w:hSpace="180" w:wrap="around" w:vAnchor="text" w:hAnchor="margin" w:y="1"/>
      <w:jc w:val="center"/>
    </w:pPr>
    <w:rPr>
      <w:sz w:val="20"/>
    </w:rPr>
  </w:style>
  <w:style w:type="paragraph" w:customStyle="1" w:styleId="NotesTextLevel1">
    <w:name w:val="Notes Text Level 1"/>
    <w:basedOn w:val="Normal"/>
    <w:next w:val="Normal"/>
    <w:rsid w:val="003E6989"/>
    <w:rPr>
      <w:rFonts w:ascii="Arial" w:hAnsi="Arial"/>
      <w:b/>
      <w:i/>
      <w:u w:val="single"/>
    </w:rPr>
  </w:style>
  <w:style w:type="character" w:customStyle="1" w:styleId="NotesTextLevel3aboldItalicChar">
    <w:name w:val="Notes Text Level 3(a) bold + Italic Char"/>
    <w:basedOn w:val="DefaultParagraphFont"/>
    <w:link w:val="NotesTextLevel3aboldItalic"/>
    <w:locked/>
    <w:rsid w:val="003E6989"/>
    <w:rPr>
      <w:rFonts w:ascii="Arial" w:hAnsi="Arial" w:cs="Arial"/>
      <w:b/>
      <w:bCs/>
      <w:i/>
      <w:iCs/>
      <w:sz w:val="18"/>
    </w:rPr>
  </w:style>
  <w:style w:type="paragraph" w:customStyle="1" w:styleId="NotesTextLevel3aboldItalic">
    <w:name w:val="Notes Text Level 3(a) bold + Italic"/>
    <w:basedOn w:val="Normal"/>
    <w:link w:val="NotesTextLevel3aboldItalicChar"/>
    <w:rsid w:val="003E6989"/>
    <w:rPr>
      <w:rFonts w:ascii="Arial" w:hAnsi="Arial" w:cs="Arial"/>
      <w:b/>
      <w:bCs/>
      <w:i/>
      <w:iCs/>
    </w:rPr>
  </w:style>
  <w:style w:type="paragraph" w:customStyle="1" w:styleId="NotesHeading3">
    <w:name w:val="Notes Heading 3"/>
    <w:basedOn w:val="Normal"/>
    <w:autoRedefine/>
    <w:rsid w:val="003E6989"/>
    <w:pPr>
      <w:spacing w:before="80" w:after="40"/>
      <w:ind w:left="113" w:right="113"/>
    </w:pPr>
    <w:rPr>
      <w:u w:val="single"/>
      <w:lang w:val="en-US"/>
    </w:rPr>
  </w:style>
  <w:style w:type="paragraph" w:customStyle="1" w:styleId="NotesHeading3a">
    <w:name w:val="Notes Heading 3a"/>
    <w:basedOn w:val="Normal"/>
    <w:autoRedefine/>
    <w:rsid w:val="003E6989"/>
    <w:pPr>
      <w:tabs>
        <w:tab w:val="num" w:pos="473"/>
      </w:tabs>
      <w:spacing w:after="120"/>
      <w:ind w:left="113" w:right="113"/>
      <w:jc w:val="both"/>
    </w:pPr>
    <w:rPr>
      <w:u w:val="single"/>
      <w:lang w:val="en-US"/>
    </w:rPr>
  </w:style>
  <w:style w:type="paragraph" w:customStyle="1" w:styleId="Notessub-lineitem">
    <w:name w:val="Notes sub-line item"/>
    <w:basedOn w:val="Normal"/>
    <w:autoRedefine/>
    <w:rsid w:val="003E6989"/>
    <w:pPr>
      <w:framePr w:hSpace="180" w:wrap="around" w:vAnchor="page" w:hAnchor="margin" w:y="1985"/>
      <w:tabs>
        <w:tab w:val="left" w:pos="593"/>
        <w:tab w:val="left" w:pos="1443"/>
      </w:tabs>
      <w:ind w:left="567" w:right="113"/>
    </w:pPr>
    <w:rPr>
      <w:sz w:val="20"/>
    </w:rPr>
  </w:style>
  <w:style w:type="paragraph" w:customStyle="1" w:styleId="NotesLineItem">
    <w:name w:val="Notes Line Item"/>
    <w:basedOn w:val="Normal"/>
    <w:autoRedefine/>
    <w:rsid w:val="003E6989"/>
    <w:pPr>
      <w:ind w:left="34"/>
    </w:pPr>
    <w:rPr>
      <w:iCs/>
      <w:sz w:val="16"/>
      <w:szCs w:val="16"/>
      <w:lang w:eastAsia="en-AU"/>
    </w:rPr>
  </w:style>
  <w:style w:type="paragraph" w:customStyle="1" w:styleId="NoteText">
    <w:name w:val="Note Text"/>
    <w:basedOn w:val="Normal"/>
    <w:autoRedefine/>
    <w:rsid w:val="003E6989"/>
    <w:pPr>
      <w:tabs>
        <w:tab w:val="left" w:pos="284"/>
      </w:tabs>
      <w:spacing w:after="120"/>
      <w:ind w:left="567"/>
    </w:pPr>
    <w:rPr>
      <w:sz w:val="20"/>
    </w:rPr>
  </w:style>
  <w:style w:type="paragraph" w:customStyle="1" w:styleId="NotesHeading">
    <w:name w:val="'Notes' Heading"/>
    <w:basedOn w:val="Normal"/>
    <w:autoRedefine/>
    <w:rsid w:val="003E6989"/>
    <w:pPr>
      <w:ind w:left="57" w:right="57"/>
      <w:jc w:val="center"/>
    </w:pPr>
    <w:rPr>
      <w:b/>
      <w:sz w:val="20"/>
    </w:rPr>
  </w:style>
  <w:style w:type="paragraph" w:customStyle="1" w:styleId="NotesReference">
    <w:name w:val="'Notes' Reference"/>
    <w:basedOn w:val="Normal"/>
    <w:autoRedefine/>
    <w:rsid w:val="003E6989"/>
    <w:pPr>
      <w:ind w:left="57" w:right="57"/>
      <w:jc w:val="center"/>
    </w:pPr>
    <w:rPr>
      <w:sz w:val="20"/>
    </w:rPr>
  </w:style>
  <w:style w:type="paragraph" w:customStyle="1" w:styleId="NotesHeading4">
    <w:name w:val="Notes Heading 4"/>
    <w:basedOn w:val="NoteText"/>
    <w:autoRedefine/>
    <w:rsid w:val="003E6989"/>
    <w:pPr>
      <w:keepNext/>
      <w:spacing w:before="200" w:after="80"/>
      <w:ind w:right="57"/>
    </w:pPr>
  </w:style>
  <w:style w:type="paragraph" w:customStyle="1" w:styleId="NotesHeading3NumberingOff">
    <w:name w:val="Notes Heading 3 Numbering Off"/>
    <w:basedOn w:val="NotesHeading3"/>
    <w:autoRedefine/>
    <w:rsid w:val="003E6989"/>
    <w:pPr>
      <w:tabs>
        <w:tab w:val="left" w:pos="1132"/>
      </w:tabs>
    </w:pPr>
  </w:style>
  <w:style w:type="paragraph" w:customStyle="1" w:styleId="NotesHeadingPlain">
    <w:name w:val="'Notes' Heading Plain"/>
    <w:basedOn w:val="NotesHeading"/>
    <w:autoRedefine/>
    <w:rsid w:val="003E6989"/>
    <w:rPr>
      <w:b w:val="0"/>
    </w:rPr>
  </w:style>
  <w:style w:type="paragraph" w:customStyle="1" w:styleId="NotesHeading5">
    <w:name w:val="Notes Heading 5"/>
    <w:basedOn w:val="Normal"/>
    <w:autoRedefine/>
    <w:rsid w:val="003E6989"/>
    <w:pPr>
      <w:spacing w:before="120" w:after="40"/>
      <w:ind w:left="113" w:right="113"/>
      <w:jc w:val="both"/>
    </w:pPr>
    <w:rPr>
      <w:b/>
      <w:sz w:val="20"/>
    </w:rPr>
  </w:style>
  <w:style w:type="paragraph" w:customStyle="1" w:styleId="NoteTextBEFOREDotPoint">
    <w:name w:val="Note Text BEFORE Dot Point"/>
    <w:basedOn w:val="NoteText"/>
    <w:rsid w:val="003E6989"/>
    <w:pPr>
      <w:spacing w:after="0"/>
      <w:ind w:left="178" w:right="57"/>
    </w:pPr>
  </w:style>
  <w:style w:type="paragraph" w:customStyle="1" w:styleId="ItalicLineItem">
    <w:name w:val="Italic Line Item"/>
    <w:basedOn w:val="Normal"/>
    <w:rsid w:val="003E6989"/>
    <w:pPr>
      <w:tabs>
        <w:tab w:val="left" w:pos="566"/>
      </w:tabs>
      <w:ind w:left="284" w:right="113"/>
      <w:jc w:val="both"/>
    </w:pPr>
    <w:rPr>
      <w:i/>
      <w:sz w:val="20"/>
      <w:lang w:val="en-US"/>
    </w:rPr>
  </w:style>
  <w:style w:type="paragraph" w:customStyle="1" w:styleId="ItalicHeading">
    <w:name w:val="Italic Heading"/>
    <w:basedOn w:val="ItalicLineItem"/>
    <w:rsid w:val="003E6989"/>
    <w:pPr>
      <w:ind w:left="57" w:right="0"/>
    </w:pPr>
  </w:style>
  <w:style w:type="paragraph" w:customStyle="1" w:styleId="Notes">
    <w:name w:val="'Notes'"/>
    <w:basedOn w:val="Normal"/>
    <w:rsid w:val="003E6989"/>
    <w:pPr>
      <w:jc w:val="center"/>
    </w:pPr>
    <w:rPr>
      <w:b/>
    </w:rPr>
  </w:style>
  <w:style w:type="character" w:customStyle="1" w:styleId="LineitemsChar">
    <w:name w:val="Line items Char"/>
    <w:basedOn w:val="DefaultParagraphFont"/>
    <w:link w:val="Lineitems"/>
    <w:uiPriority w:val="99"/>
    <w:locked/>
    <w:rsid w:val="003E6989"/>
  </w:style>
  <w:style w:type="paragraph" w:customStyle="1" w:styleId="Lineitems">
    <w:name w:val="Line items"/>
    <w:basedOn w:val="Normal"/>
    <w:link w:val="LineitemsChar"/>
    <w:autoRedefine/>
    <w:uiPriority w:val="99"/>
    <w:rsid w:val="003E6989"/>
    <w:rPr>
      <w:rFonts w:ascii="Times New Roman" w:hAnsi="Times New Roman"/>
      <w:sz w:val="20"/>
    </w:rPr>
  </w:style>
  <w:style w:type="paragraph" w:customStyle="1" w:styleId="Notestext">
    <w:name w:val="Notes text"/>
    <w:basedOn w:val="Notes"/>
    <w:rsid w:val="003E6989"/>
    <w:rPr>
      <w:b w:val="0"/>
    </w:rPr>
  </w:style>
  <w:style w:type="paragraph" w:customStyle="1" w:styleId="Lineitemtable">
    <w:name w:val="Line item table"/>
    <w:basedOn w:val="Lineitems"/>
    <w:rsid w:val="003E6989"/>
  </w:style>
  <w:style w:type="paragraph" w:customStyle="1" w:styleId="12line">
    <w:name w:val="1/2 line"/>
    <w:basedOn w:val="Normal"/>
    <w:rsid w:val="003E6989"/>
    <w:pPr>
      <w:spacing w:before="10" w:after="10" w:line="240" w:lineRule="auto"/>
    </w:pPr>
    <w:rPr>
      <w:sz w:val="20"/>
    </w:rPr>
  </w:style>
  <w:style w:type="paragraph" w:customStyle="1" w:styleId="lineitemitalic">
    <w:name w:val="line item italic"/>
    <w:basedOn w:val="Normal"/>
    <w:rsid w:val="003E6989"/>
    <w:rPr>
      <w:i/>
    </w:rPr>
  </w:style>
  <w:style w:type="paragraph" w:customStyle="1" w:styleId="lineitembold">
    <w:name w:val="line item bold"/>
    <w:basedOn w:val="Normal"/>
    <w:rsid w:val="003E6989"/>
    <w:rPr>
      <w:b/>
      <w:sz w:val="20"/>
    </w:rPr>
  </w:style>
  <w:style w:type="paragraph" w:customStyle="1" w:styleId="Notesheading0">
    <w:name w:val="Notes heading"/>
    <w:basedOn w:val="Normal"/>
    <w:rsid w:val="003E6989"/>
    <w:pPr>
      <w:spacing w:line="240" w:lineRule="auto"/>
    </w:pPr>
    <w:rPr>
      <w:rFonts w:ascii="Calisto MT" w:hAnsi="Calisto MT"/>
      <w:b/>
      <w:sz w:val="14"/>
      <w:lang w:eastAsia="en-AU"/>
    </w:rPr>
  </w:style>
  <w:style w:type="paragraph" w:customStyle="1" w:styleId="Notestothefinancialstatements">
    <w:name w:val="Notes to the financial statements"/>
    <w:aliases w:val="Heading"/>
    <w:basedOn w:val="Normal"/>
    <w:rsid w:val="003E6989"/>
    <w:pPr>
      <w:tabs>
        <w:tab w:val="left" w:pos="567"/>
        <w:tab w:val="left" w:pos="1134"/>
        <w:tab w:val="left" w:pos="1701"/>
      </w:tabs>
      <w:spacing w:before="60" w:after="60" w:line="240" w:lineRule="auto"/>
    </w:pPr>
    <w:rPr>
      <w:rFonts w:ascii="Tahoma" w:hAnsi="Tahoma"/>
      <w:b/>
      <w:color w:val="000000"/>
      <w:sz w:val="16"/>
      <w:lang w:eastAsia="en-AU"/>
    </w:rPr>
  </w:style>
  <w:style w:type="paragraph" w:customStyle="1" w:styleId="NotesBulletPoint">
    <w:name w:val="Notes Bullet Point"/>
    <w:basedOn w:val="Normal"/>
    <w:autoRedefine/>
    <w:rsid w:val="003E6989"/>
    <w:pPr>
      <w:tabs>
        <w:tab w:val="left" w:pos="413"/>
        <w:tab w:val="num" w:pos="927"/>
      </w:tabs>
      <w:snapToGrid w:val="0"/>
      <w:spacing w:line="240" w:lineRule="auto"/>
      <w:ind w:left="414" w:right="113" w:hanging="301"/>
      <w:jc w:val="both"/>
    </w:pPr>
    <w:rPr>
      <w:sz w:val="20"/>
      <w:lang w:val="en-US" w:eastAsia="en-AU"/>
    </w:rPr>
  </w:style>
  <w:style w:type="paragraph" w:customStyle="1" w:styleId="Headinga">
    <w:name w:val="Heading a"/>
    <w:basedOn w:val="Normal"/>
    <w:rsid w:val="003E6989"/>
    <w:pPr>
      <w:spacing w:line="240" w:lineRule="auto"/>
    </w:pPr>
    <w:rPr>
      <w:b/>
      <w:bCs/>
      <w:szCs w:val="18"/>
    </w:rPr>
  </w:style>
  <w:style w:type="character" w:customStyle="1" w:styleId="LineitemsTotalChar">
    <w:name w:val="Line items Total Char"/>
    <w:basedOn w:val="LineitemsChar"/>
    <w:link w:val="LineitemsTotal"/>
    <w:uiPriority w:val="99"/>
    <w:locked/>
    <w:rsid w:val="003E6989"/>
    <w:rPr>
      <w:b/>
      <w:i/>
    </w:rPr>
  </w:style>
  <w:style w:type="paragraph" w:customStyle="1" w:styleId="LineitemsTotal">
    <w:name w:val="Line items Total"/>
    <w:basedOn w:val="Lineitems"/>
    <w:link w:val="LineitemsTotalChar"/>
    <w:uiPriority w:val="99"/>
    <w:rsid w:val="003E6989"/>
    <w:pPr>
      <w:framePr w:hSpace="180" w:wrap="around" w:vAnchor="text" w:hAnchor="margin" w:y="1"/>
    </w:pPr>
    <w:rPr>
      <w:b/>
      <w:i/>
    </w:rPr>
  </w:style>
  <w:style w:type="paragraph" w:customStyle="1" w:styleId="SAPHeading-Level1">
    <w:name w:val="SAP Heading - Level 1"/>
    <w:basedOn w:val="NotesHeading-Level1"/>
    <w:rsid w:val="003E6989"/>
    <w:pPr>
      <w:numPr>
        <w:numId w:val="0"/>
      </w:numPr>
      <w:tabs>
        <w:tab w:val="num" w:pos="851"/>
      </w:tabs>
      <w:ind w:left="851" w:hanging="851"/>
    </w:pPr>
    <w:rPr>
      <w:rFonts w:cstheme="minorHAnsi"/>
    </w:rPr>
  </w:style>
  <w:style w:type="paragraph" w:customStyle="1" w:styleId="SAPHeading-Level2">
    <w:name w:val="SAP Heading - Level 2"/>
    <w:basedOn w:val="SAPHeading-Level1"/>
    <w:rsid w:val="003E6989"/>
    <w:pPr>
      <w:spacing w:before="100" w:after="100" w:line="240" w:lineRule="auto"/>
      <w:outlineLvl w:val="9"/>
    </w:pPr>
  </w:style>
  <w:style w:type="paragraph" w:customStyle="1" w:styleId="SAPHeading-Level3">
    <w:name w:val="SAP Heading - Level 3"/>
    <w:basedOn w:val="SAPHeading-Level2"/>
    <w:rsid w:val="003E6989"/>
  </w:style>
  <w:style w:type="character" w:customStyle="1" w:styleId="NotesTextChar">
    <w:name w:val="Notes Text Char"/>
    <w:basedOn w:val="ReferenceTextChar"/>
    <w:link w:val="NotesText0"/>
    <w:uiPriority w:val="99"/>
    <w:locked/>
    <w:rsid w:val="003E6989"/>
    <w:rPr>
      <w:rFonts w:asciiTheme="minorHAnsi" w:hAnsiTheme="minorHAnsi" w:cs="Arial"/>
      <w:sz w:val="18"/>
      <w:szCs w:val="18"/>
    </w:rPr>
  </w:style>
  <w:style w:type="paragraph" w:customStyle="1" w:styleId="NotesText0">
    <w:name w:val="Notes Text"/>
    <w:basedOn w:val="ReferenceText"/>
    <w:link w:val="NotesTextChar"/>
    <w:uiPriority w:val="99"/>
    <w:rsid w:val="003E6989"/>
    <w:pPr>
      <w:spacing w:before="100" w:after="100" w:line="240" w:lineRule="auto"/>
    </w:pPr>
    <w:rPr>
      <w:rFonts w:cs="Arial"/>
      <w:szCs w:val="18"/>
    </w:rPr>
  </w:style>
  <w:style w:type="paragraph" w:customStyle="1" w:styleId="NotesTextHeading">
    <w:name w:val="Notes Text Heading"/>
    <w:basedOn w:val="NotesText0"/>
    <w:uiPriority w:val="99"/>
    <w:rsid w:val="003E6989"/>
    <w:rPr>
      <w:b/>
      <w:i/>
    </w:rPr>
  </w:style>
  <w:style w:type="paragraph" w:customStyle="1" w:styleId="NoteHeading-Level1">
    <w:name w:val="Note Heading - Level 1"/>
    <w:basedOn w:val="Normal"/>
    <w:rsid w:val="003E6989"/>
  </w:style>
  <w:style w:type="paragraph" w:customStyle="1" w:styleId="NoteHeading-Level2">
    <w:name w:val="Note Heading - Level 2"/>
    <w:basedOn w:val="Normal"/>
    <w:rsid w:val="003E6989"/>
  </w:style>
  <w:style w:type="paragraph" w:customStyle="1" w:styleId="Notesreferencetext">
    <w:name w:val="Notes reference text"/>
    <w:basedOn w:val="Normal"/>
    <w:next w:val="Normal"/>
    <w:rsid w:val="003E6989"/>
    <w:pPr>
      <w:jc w:val="center"/>
    </w:pPr>
  </w:style>
  <w:style w:type="character" w:customStyle="1" w:styleId="StyleReferenceTextItalicChar">
    <w:name w:val="Style Reference Text + Italic Char"/>
    <w:basedOn w:val="ReferenceTextChar"/>
    <w:link w:val="StyleReferenceTextItalic"/>
    <w:uiPriority w:val="99"/>
    <w:locked/>
    <w:rsid w:val="003E6989"/>
    <w:rPr>
      <w:rFonts w:ascii="Calibri" w:hAnsi="Calibri" w:cs="Arial"/>
      <w:i/>
      <w:iCs/>
      <w:sz w:val="18"/>
    </w:rPr>
  </w:style>
  <w:style w:type="paragraph" w:customStyle="1" w:styleId="StyleReferenceTextItalic">
    <w:name w:val="Style Reference Text + Italic"/>
    <w:basedOn w:val="ReferenceText"/>
    <w:link w:val="StyleReferenceTextItalicChar"/>
    <w:uiPriority w:val="99"/>
    <w:rsid w:val="003E6989"/>
    <w:pPr>
      <w:spacing w:line="240" w:lineRule="atLeast"/>
    </w:pPr>
    <w:rPr>
      <w:rFonts w:ascii="Calibri" w:hAnsi="Calibri" w:cs="Arial"/>
      <w:i/>
      <w:iCs/>
    </w:rPr>
  </w:style>
  <w:style w:type="character" w:customStyle="1" w:styleId="StyleNotesTextItalicChar">
    <w:name w:val="Style Notes Text + Italic Char"/>
    <w:basedOn w:val="NotesTextChar"/>
    <w:link w:val="StyleNotesTextItalic"/>
    <w:uiPriority w:val="99"/>
    <w:locked/>
    <w:rsid w:val="003E6989"/>
    <w:rPr>
      <w:rFonts w:asciiTheme="minorHAnsi" w:hAnsiTheme="minorHAnsi" w:cs="Arial"/>
      <w:i/>
      <w:iCs/>
      <w:sz w:val="18"/>
      <w:szCs w:val="18"/>
      <w:u w:val="single"/>
    </w:rPr>
  </w:style>
  <w:style w:type="paragraph" w:customStyle="1" w:styleId="StyleNotesTextItalic">
    <w:name w:val="Style Notes Text + Italic"/>
    <w:basedOn w:val="NotesText0"/>
    <w:link w:val="StyleNotesTextItalicChar"/>
    <w:uiPriority w:val="99"/>
    <w:rsid w:val="003E6989"/>
    <w:pPr>
      <w:ind w:right="-54"/>
    </w:pPr>
    <w:rPr>
      <w:i/>
      <w:iCs/>
      <w:u w:val="single"/>
    </w:rPr>
  </w:style>
  <w:style w:type="paragraph" w:customStyle="1" w:styleId="StyleNotesTextPatternClearGray-25">
    <w:name w:val="Style Notes Text + Pattern: Clear (Gray-25%)"/>
    <w:basedOn w:val="NotesText0"/>
    <w:autoRedefine/>
    <w:uiPriority w:val="99"/>
    <w:rsid w:val="003E6989"/>
    <w:pPr>
      <w:shd w:val="clear" w:color="auto" w:fill="CCCCCC"/>
      <w:ind w:right="-54"/>
    </w:pPr>
    <w:rPr>
      <w:rFonts w:ascii="Calibri" w:hAnsi="Calibri"/>
      <w:sz w:val="20"/>
      <w:szCs w:val="20"/>
    </w:rPr>
  </w:style>
  <w:style w:type="paragraph" w:customStyle="1" w:styleId="BulletKPMG">
    <w:name w:val="Bullet KPMG"/>
    <w:basedOn w:val="Normal"/>
    <w:uiPriority w:val="99"/>
    <w:rsid w:val="003E6989"/>
    <w:pPr>
      <w:tabs>
        <w:tab w:val="num" w:pos="473"/>
      </w:tabs>
      <w:spacing w:before="100" w:after="100" w:line="240" w:lineRule="auto"/>
      <w:ind w:left="357" w:hanging="357"/>
    </w:pPr>
    <w:rPr>
      <w:sz w:val="20"/>
      <w:lang w:val="en-US" w:eastAsia="en-AU"/>
    </w:rPr>
  </w:style>
  <w:style w:type="character" w:customStyle="1" w:styleId="StyleNotesTextBoldChar">
    <w:name w:val="Style Notes Text + Bold Char"/>
    <w:basedOn w:val="NotesTextChar"/>
    <w:link w:val="StyleNotesTextBold"/>
    <w:uiPriority w:val="99"/>
    <w:locked/>
    <w:rsid w:val="003E6989"/>
    <w:rPr>
      <w:rFonts w:ascii="Calibri" w:hAnsi="Calibri" w:cs="Arial"/>
      <w:bCs/>
      <w:sz w:val="18"/>
      <w:szCs w:val="18"/>
    </w:rPr>
  </w:style>
  <w:style w:type="paragraph" w:customStyle="1" w:styleId="StyleNotesTextBold">
    <w:name w:val="Style Notes Text + Bold"/>
    <w:basedOn w:val="NotesText0"/>
    <w:link w:val="StyleNotesTextBoldChar"/>
    <w:uiPriority w:val="99"/>
    <w:rsid w:val="003E6989"/>
    <w:pPr>
      <w:ind w:right="-54"/>
    </w:pPr>
    <w:rPr>
      <w:rFonts w:ascii="Calibri" w:hAnsi="Calibri"/>
      <w:bCs/>
    </w:rPr>
  </w:style>
  <w:style w:type="character" w:customStyle="1" w:styleId="StyleNotesTextBold1Char">
    <w:name w:val="Style Notes Text + Bold1 Char"/>
    <w:basedOn w:val="NotesTextChar"/>
    <w:link w:val="StyleNotesTextBold1"/>
    <w:uiPriority w:val="99"/>
    <w:locked/>
    <w:rsid w:val="003E6989"/>
    <w:rPr>
      <w:rFonts w:ascii="Calibri" w:hAnsi="Calibri" w:cs="Arial"/>
      <w:bCs/>
      <w:sz w:val="18"/>
      <w:szCs w:val="18"/>
    </w:rPr>
  </w:style>
  <w:style w:type="paragraph" w:customStyle="1" w:styleId="StyleNotesTextBold1">
    <w:name w:val="Style Notes Text + Bold1"/>
    <w:basedOn w:val="NotesText0"/>
    <w:link w:val="StyleNotesTextBold1Char"/>
    <w:uiPriority w:val="99"/>
    <w:rsid w:val="003E6989"/>
    <w:pPr>
      <w:ind w:right="-54"/>
    </w:pPr>
    <w:rPr>
      <w:rFonts w:ascii="Calibri" w:hAnsi="Calibri"/>
      <w:bCs/>
    </w:rPr>
  </w:style>
  <w:style w:type="character" w:customStyle="1" w:styleId="StatementTextLevel1bChar">
    <w:name w:val="Statement Text Level 1(b) Char"/>
    <w:basedOn w:val="DefaultParagraphFont"/>
    <w:link w:val="StatementTextLevel1b"/>
    <w:uiPriority w:val="99"/>
    <w:locked/>
    <w:rsid w:val="003E6989"/>
    <w:rPr>
      <w:rFonts w:ascii="Arial" w:hAnsi="Arial" w:cs="Arial"/>
      <w:b/>
      <w:sz w:val="18"/>
      <w:szCs w:val="18"/>
    </w:rPr>
  </w:style>
  <w:style w:type="paragraph" w:customStyle="1" w:styleId="StatementTextLevel1b">
    <w:name w:val="Statement Text Level 1(b)"/>
    <w:basedOn w:val="Normal"/>
    <w:link w:val="StatementTextLevel1bChar"/>
    <w:uiPriority w:val="99"/>
    <w:rsid w:val="003E6989"/>
    <w:rPr>
      <w:rFonts w:ascii="Arial" w:hAnsi="Arial" w:cs="Arial"/>
      <w:b/>
      <w:szCs w:val="18"/>
    </w:rPr>
  </w:style>
  <w:style w:type="paragraph" w:customStyle="1" w:styleId="PrimaryStatementsHeading">
    <w:name w:val="Primary Statements Heading"/>
    <w:basedOn w:val="Normal"/>
    <w:autoRedefine/>
    <w:uiPriority w:val="99"/>
    <w:rsid w:val="003E6989"/>
    <w:pPr>
      <w:spacing w:line="300" w:lineRule="exact"/>
    </w:pPr>
    <w:rPr>
      <w:b/>
      <w:sz w:val="24"/>
      <w:lang w:val="en-US"/>
    </w:rPr>
  </w:style>
  <w:style w:type="paragraph" w:customStyle="1" w:styleId="PeriodHeading">
    <w:name w:val="Period Heading"/>
    <w:basedOn w:val="PrimaryStatementsHeading"/>
    <w:uiPriority w:val="99"/>
    <w:rsid w:val="003E6989"/>
    <w:rPr>
      <w:i/>
      <w:sz w:val="22"/>
    </w:rPr>
  </w:style>
  <w:style w:type="paragraph" w:customStyle="1" w:styleId="CurrentYearDataTotalLevel1">
    <w:name w:val="Current Year Data Total Level 1"/>
    <w:basedOn w:val="Normal"/>
    <w:next w:val="Normal"/>
    <w:autoRedefine/>
    <w:uiPriority w:val="99"/>
    <w:rsid w:val="003E6989"/>
    <w:pPr>
      <w:pBdr>
        <w:top w:val="single" w:sz="4" w:space="1" w:color="auto"/>
        <w:bottom w:val="double" w:sz="6" w:space="1" w:color="auto"/>
      </w:pBdr>
      <w:jc w:val="right"/>
    </w:pPr>
    <w:rPr>
      <w:b/>
      <w:szCs w:val="16"/>
    </w:rPr>
  </w:style>
  <w:style w:type="character" w:customStyle="1" w:styleId="LineitemsHeadingChar">
    <w:name w:val="Line items Heading Char"/>
    <w:basedOn w:val="LineitemsChar"/>
    <w:link w:val="LineitemsHeading"/>
    <w:uiPriority w:val="99"/>
    <w:locked/>
    <w:rsid w:val="003E6989"/>
    <w:rPr>
      <w:rFonts w:ascii="Calibri" w:hAnsi="Calibri" w:cs="Calibri"/>
      <w:b/>
      <w:sz w:val="18"/>
    </w:rPr>
  </w:style>
  <w:style w:type="paragraph" w:customStyle="1" w:styleId="LineitemsHeading">
    <w:name w:val="Line items Heading"/>
    <w:basedOn w:val="Lineitems"/>
    <w:link w:val="LineitemsHeadingChar"/>
    <w:uiPriority w:val="99"/>
    <w:rsid w:val="003E6989"/>
    <w:pPr>
      <w:framePr w:hSpace="180" w:wrap="around" w:vAnchor="text" w:hAnchor="margin" w:y="1"/>
    </w:pPr>
    <w:rPr>
      <w:rFonts w:ascii="Calibri" w:hAnsi="Calibri" w:cs="Calibri"/>
      <w:b/>
      <w:sz w:val="18"/>
    </w:rPr>
  </w:style>
  <w:style w:type="paragraph" w:customStyle="1" w:styleId="PreviousYearDataTotalLevel3">
    <w:name w:val="Previous Year Data Total Level 3"/>
    <w:basedOn w:val="Normal"/>
    <w:autoRedefine/>
    <w:uiPriority w:val="99"/>
    <w:rsid w:val="003E6989"/>
    <w:pPr>
      <w:pBdr>
        <w:top w:val="single" w:sz="4" w:space="1" w:color="auto"/>
        <w:bottom w:val="double" w:sz="6" w:space="1" w:color="auto"/>
      </w:pBdr>
      <w:jc w:val="right"/>
    </w:pPr>
  </w:style>
  <w:style w:type="paragraph" w:customStyle="1" w:styleId="StyleNotesTextItalic1">
    <w:name w:val="Style Notes Text + Italic1"/>
    <w:basedOn w:val="NotesText0"/>
    <w:uiPriority w:val="99"/>
    <w:rsid w:val="003E6989"/>
    <w:pPr>
      <w:ind w:right="-54"/>
    </w:pPr>
    <w:rPr>
      <w:rFonts w:ascii="Calibri" w:hAnsi="Calibri" w:cs="Times New Roman"/>
      <w:i/>
      <w:iCs/>
      <w:sz w:val="20"/>
      <w:szCs w:val="20"/>
    </w:rPr>
  </w:style>
  <w:style w:type="paragraph" w:customStyle="1" w:styleId="StyleNotesTextPatternClearGray-20">
    <w:name w:val="Style Notes Text + Pattern: Clear (Gray-20%)"/>
    <w:basedOn w:val="NotesText0"/>
    <w:uiPriority w:val="99"/>
    <w:rsid w:val="003E6989"/>
    <w:pPr>
      <w:ind w:right="-54"/>
    </w:pPr>
    <w:rPr>
      <w:rFonts w:ascii="Calibri" w:hAnsi="Calibri" w:cs="Times New Roman"/>
      <w:sz w:val="20"/>
      <w:szCs w:val="20"/>
    </w:rPr>
  </w:style>
  <w:style w:type="character" w:customStyle="1" w:styleId="PreviousYearDataTotalLevel2Char">
    <w:name w:val="Previous Year Data Total Level 2 Char"/>
    <w:basedOn w:val="DefaultParagraphFont"/>
    <w:link w:val="PreviousYearDataTotalLevel2"/>
    <w:uiPriority w:val="99"/>
    <w:locked/>
    <w:rsid w:val="003E6989"/>
    <w:rPr>
      <w:rFonts w:ascii="Calibri" w:hAnsi="Calibri" w:cs="Calibri"/>
      <w:sz w:val="18"/>
    </w:rPr>
  </w:style>
  <w:style w:type="paragraph" w:customStyle="1" w:styleId="PreviousYearDataTotalLevel2">
    <w:name w:val="Previous Year Data Total Level 2"/>
    <w:basedOn w:val="Normal"/>
    <w:next w:val="Normal"/>
    <w:link w:val="PreviousYearDataTotalLevel2Char"/>
    <w:uiPriority w:val="99"/>
    <w:rsid w:val="003E6989"/>
    <w:pPr>
      <w:pBdr>
        <w:top w:val="single" w:sz="4" w:space="1" w:color="auto"/>
        <w:bottom w:val="single" w:sz="4" w:space="1" w:color="auto"/>
      </w:pBdr>
      <w:jc w:val="right"/>
    </w:pPr>
    <w:rPr>
      <w:rFonts w:cs="Calibri"/>
    </w:rPr>
  </w:style>
  <w:style w:type="character" w:customStyle="1" w:styleId="CurrentYearDataTotalLevel2Char">
    <w:name w:val="Current Year Data Total Level 2 Char"/>
    <w:basedOn w:val="DefaultParagraphFont"/>
    <w:link w:val="CurrentYearDataTotalLevel2"/>
    <w:uiPriority w:val="99"/>
    <w:locked/>
    <w:rsid w:val="003E6989"/>
    <w:rPr>
      <w:rFonts w:ascii="Calibri" w:hAnsi="Calibri" w:cs="Calibri"/>
      <w:b/>
      <w:sz w:val="18"/>
    </w:rPr>
  </w:style>
  <w:style w:type="paragraph" w:customStyle="1" w:styleId="CurrentYearDataTotalLevel2">
    <w:name w:val="Current Year Data Total Level 2"/>
    <w:basedOn w:val="Normal"/>
    <w:link w:val="CurrentYearDataTotalLevel2Char"/>
    <w:uiPriority w:val="99"/>
    <w:rsid w:val="003E6989"/>
    <w:pPr>
      <w:pBdr>
        <w:top w:val="single" w:sz="4" w:space="1" w:color="auto"/>
        <w:bottom w:val="single" w:sz="4" w:space="1" w:color="auto"/>
      </w:pBdr>
      <w:jc w:val="right"/>
    </w:pPr>
    <w:rPr>
      <w:rFonts w:cs="Calibri"/>
      <w:b/>
    </w:rPr>
  </w:style>
  <w:style w:type="paragraph" w:customStyle="1" w:styleId="DeptCurrentYearHeader">
    <w:name w:val="Dept Current Year Header"/>
    <w:basedOn w:val="Normal"/>
    <w:qFormat/>
    <w:rsid w:val="003E6989"/>
    <w:pPr>
      <w:spacing w:line="240" w:lineRule="auto"/>
      <w:jc w:val="right"/>
    </w:pPr>
    <w:rPr>
      <w:rFonts w:asciiTheme="minorHAnsi" w:hAnsiTheme="minorHAnsi" w:cstheme="minorHAnsi"/>
      <w:b/>
      <w:szCs w:val="18"/>
      <w:lang w:eastAsia="en-AU"/>
    </w:rPr>
  </w:style>
  <w:style w:type="paragraph" w:customStyle="1" w:styleId="DeptPreviousYearHeader">
    <w:name w:val="Dept Previous Year Header"/>
    <w:qFormat/>
    <w:rsid w:val="003E6989"/>
    <w:pPr>
      <w:jc w:val="right"/>
    </w:pPr>
    <w:rPr>
      <w:rFonts w:asciiTheme="minorHAnsi" w:hAnsiTheme="minorHAnsi" w:cstheme="minorHAnsi"/>
      <w:sz w:val="18"/>
      <w:szCs w:val="18"/>
      <w:lang w:eastAsia="en-AU"/>
    </w:rPr>
  </w:style>
  <w:style w:type="paragraph" w:customStyle="1" w:styleId="DeptManualEntryCell">
    <w:name w:val="Dept Manual Entry Cell"/>
    <w:basedOn w:val="Normal"/>
    <w:qFormat/>
    <w:rsid w:val="003E6989"/>
    <w:pPr>
      <w:spacing w:line="240" w:lineRule="auto"/>
      <w:jc w:val="right"/>
    </w:pPr>
    <w:rPr>
      <w:rFonts w:asciiTheme="minorHAnsi" w:hAnsiTheme="minorHAnsi" w:cstheme="minorHAnsi"/>
      <w:b/>
      <w:szCs w:val="18"/>
      <w:lang w:eastAsia="en-AU"/>
    </w:rPr>
  </w:style>
  <w:style w:type="paragraph" w:customStyle="1" w:styleId="DeptManualEntryCellUnBold">
    <w:name w:val="Dept Manual Entry Cell UnBold"/>
    <w:basedOn w:val="DeptManualEntryCell"/>
    <w:qFormat/>
    <w:rsid w:val="003E6989"/>
    <w:rPr>
      <w:b w:val="0"/>
    </w:rPr>
  </w:style>
  <w:style w:type="paragraph" w:customStyle="1" w:styleId="DeptCurrentYearTotal">
    <w:name w:val="Dept Current Year Total"/>
    <w:qFormat/>
    <w:rsid w:val="003E6989"/>
    <w:pPr>
      <w:jc w:val="right"/>
    </w:pPr>
    <w:rPr>
      <w:rFonts w:asciiTheme="minorHAnsi" w:hAnsiTheme="minorHAnsi" w:cstheme="minorHAnsi"/>
      <w:b/>
      <w:sz w:val="18"/>
      <w:szCs w:val="18"/>
      <w:lang w:eastAsia="en-AU"/>
    </w:rPr>
  </w:style>
  <w:style w:type="paragraph" w:customStyle="1" w:styleId="DeptPreviousYearTotal">
    <w:name w:val="Dept Previous Year Total"/>
    <w:qFormat/>
    <w:rsid w:val="003E6989"/>
    <w:pPr>
      <w:jc w:val="right"/>
    </w:pPr>
    <w:rPr>
      <w:rFonts w:asciiTheme="minorHAnsi" w:hAnsiTheme="minorHAnsi" w:cstheme="minorHAnsi"/>
      <w:sz w:val="18"/>
      <w:szCs w:val="18"/>
      <w:lang w:eastAsia="en-AU"/>
    </w:rPr>
  </w:style>
  <w:style w:type="paragraph" w:customStyle="1" w:styleId="DeptRowText">
    <w:name w:val="Dept Row Text"/>
    <w:qFormat/>
    <w:rsid w:val="003E6989"/>
    <w:rPr>
      <w:rFonts w:asciiTheme="minorHAnsi" w:hAnsiTheme="minorHAnsi" w:cstheme="minorHAnsi"/>
      <w:sz w:val="18"/>
      <w:szCs w:val="18"/>
      <w:lang w:eastAsia="en-AU"/>
    </w:rPr>
  </w:style>
  <w:style w:type="paragraph" w:customStyle="1" w:styleId="DeptRowTextTotal">
    <w:name w:val="Dept Row Text Total"/>
    <w:qFormat/>
    <w:rsid w:val="003E6989"/>
    <w:rPr>
      <w:rFonts w:asciiTheme="minorHAnsi" w:hAnsiTheme="minorHAnsi" w:cstheme="minorHAnsi"/>
      <w:b/>
      <w:i/>
      <w:sz w:val="18"/>
      <w:szCs w:val="18"/>
    </w:rPr>
  </w:style>
  <w:style w:type="paragraph" w:customStyle="1" w:styleId="DeptBlankBlueShade">
    <w:name w:val="Dept Blank Blue Shade"/>
    <w:basedOn w:val="DeptRowTextTotal"/>
    <w:next w:val="12line"/>
    <w:qFormat/>
    <w:rsid w:val="003E6989"/>
  </w:style>
  <w:style w:type="paragraph" w:customStyle="1" w:styleId="DeptRowTextIndent">
    <w:name w:val="Dept Row Text Indent"/>
    <w:basedOn w:val="DeptRowText"/>
    <w:qFormat/>
    <w:rsid w:val="003E6989"/>
    <w:pPr>
      <w:ind w:left="204"/>
    </w:pPr>
  </w:style>
  <w:style w:type="paragraph" w:customStyle="1" w:styleId="AdminRowTextIndent">
    <w:name w:val="Admin Row Text Indent"/>
    <w:basedOn w:val="DeptRowTextIndent"/>
    <w:qFormat/>
    <w:rsid w:val="003E6989"/>
  </w:style>
  <w:style w:type="paragraph" w:customStyle="1" w:styleId="AdminRowTextIndentGrey">
    <w:name w:val="Admin Row Text Indent Grey"/>
    <w:basedOn w:val="AdminRowTextIndent"/>
    <w:qFormat/>
    <w:rsid w:val="003E6989"/>
  </w:style>
  <w:style w:type="paragraph" w:customStyle="1" w:styleId="AdminCurrentYearDataGrey">
    <w:name w:val="Admin Current Year Data Grey"/>
    <w:qFormat/>
    <w:rsid w:val="003E6989"/>
    <w:pPr>
      <w:jc w:val="right"/>
    </w:pPr>
    <w:rPr>
      <w:rFonts w:asciiTheme="minorHAnsi" w:hAnsiTheme="minorHAnsi" w:cstheme="minorHAnsi"/>
      <w:b/>
      <w:sz w:val="18"/>
      <w:szCs w:val="18"/>
      <w:lang w:eastAsia="en-AU"/>
    </w:rPr>
  </w:style>
  <w:style w:type="paragraph" w:customStyle="1" w:styleId="AdminCurrentYearDataNormal">
    <w:name w:val="Admin Current Year Data Normal"/>
    <w:qFormat/>
    <w:rsid w:val="003E6989"/>
    <w:pPr>
      <w:jc w:val="right"/>
    </w:pPr>
    <w:rPr>
      <w:rFonts w:asciiTheme="minorHAnsi" w:hAnsiTheme="minorHAnsi" w:cstheme="minorHAnsi"/>
      <w:b/>
      <w:sz w:val="18"/>
      <w:szCs w:val="18"/>
      <w:lang w:eastAsia="en-AU"/>
    </w:rPr>
  </w:style>
  <w:style w:type="paragraph" w:customStyle="1" w:styleId="AdminPreviousYearDataGrey">
    <w:name w:val="Admin Previous Year Data Grey"/>
    <w:qFormat/>
    <w:rsid w:val="003E6989"/>
    <w:pPr>
      <w:jc w:val="right"/>
    </w:pPr>
    <w:rPr>
      <w:rFonts w:asciiTheme="minorHAnsi" w:hAnsiTheme="minorHAnsi" w:cstheme="minorHAnsi"/>
      <w:sz w:val="18"/>
      <w:szCs w:val="18"/>
      <w:lang w:eastAsia="en-AU"/>
    </w:rPr>
  </w:style>
  <w:style w:type="paragraph" w:customStyle="1" w:styleId="AdminPreviousYearDataNormal">
    <w:name w:val="Admin Previous Year Data Normal"/>
    <w:qFormat/>
    <w:rsid w:val="003E6989"/>
    <w:pPr>
      <w:jc w:val="right"/>
    </w:pPr>
    <w:rPr>
      <w:rFonts w:asciiTheme="minorHAnsi" w:hAnsiTheme="minorHAnsi" w:cstheme="minorHAnsi"/>
      <w:sz w:val="18"/>
      <w:szCs w:val="18"/>
      <w:lang w:eastAsia="en-AU"/>
    </w:rPr>
  </w:style>
  <w:style w:type="paragraph" w:customStyle="1" w:styleId="AdminHeaderlineUnderlineGrey">
    <w:name w:val="Admin Headerline Underline Grey"/>
    <w:basedOn w:val="AdminPreviousYearDataNormal"/>
    <w:next w:val="12line"/>
    <w:qFormat/>
    <w:rsid w:val="003E6989"/>
  </w:style>
  <w:style w:type="paragraph" w:customStyle="1" w:styleId="AdminBlankGreyShade">
    <w:name w:val="Admin Blank Grey Shade"/>
    <w:next w:val="12line"/>
    <w:qFormat/>
    <w:rsid w:val="003E6989"/>
    <w:pPr>
      <w:ind w:right="566"/>
    </w:pPr>
    <w:rPr>
      <w:rFonts w:asciiTheme="minorHAnsi" w:hAnsiTheme="minorHAnsi" w:cstheme="minorHAnsi"/>
      <w:sz w:val="18"/>
      <w:szCs w:val="18"/>
      <w:lang w:eastAsia="en-AU"/>
    </w:rPr>
  </w:style>
  <w:style w:type="paragraph" w:customStyle="1" w:styleId="AdminRowTextGrey">
    <w:name w:val="Admin Row Text Grey"/>
    <w:qFormat/>
    <w:rsid w:val="003E6989"/>
    <w:rPr>
      <w:rFonts w:asciiTheme="minorHAnsi" w:hAnsiTheme="minorHAnsi" w:cstheme="minorHAnsi"/>
      <w:sz w:val="18"/>
      <w:szCs w:val="18"/>
      <w:lang w:eastAsia="en-AU"/>
    </w:rPr>
  </w:style>
  <w:style w:type="paragraph" w:customStyle="1" w:styleId="AdminCurrentYearTotalGrey">
    <w:name w:val="Admin Current Year Total Grey"/>
    <w:qFormat/>
    <w:rsid w:val="003E6989"/>
    <w:pPr>
      <w:jc w:val="right"/>
    </w:pPr>
    <w:rPr>
      <w:rFonts w:asciiTheme="minorHAnsi" w:hAnsiTheme="minorHAnsi" w:cstheme="minorHAnsi"/>
      <w:b/>
      <w:sz w:val="18"/>
      <w:szCs w:val="18"/>
      <w:lang w:eastAsia="en-AU"/>
    </w:rPr>
  </w:style>
  <w:style w:type="paragraph" w:customStyle="1" w:styleId="AdminPreviousYearTotalGrey">
    <w:name w:val="Admin Previous Year Total Grey"/>
    <w:qFormat/>
    <w:rsid w:val="003E6989"/>
    <w:pPr>
      <w:jc w:val="right"/>
    </w:pPr>
    <w:rPr>
      <w:rFonts w:asciiTheme="minorHAnsi" w:hAnsiTheme="minorHAnsi" w:cstheme="minorHAnsi"/>
      <w:sz w:val="18"/>
      <w:szCs w:val="18"/>
      <w:lang w:eastAsia="en-AU"/>
    </w:rPr>
  </w:style>
  <w:style w:type="paragraph" w:customStyle="1" w:styleId="AdminManualEntryCell">
    <w:name w:val="Admin Manual Entry Cell"/>
    <w:qFormat/>
    <w:rsid w:val="003E6989"/>
    <w:pPr>
      <w:jc w:val="right"/>
    </w:pPr>
    <w:rPr>
      <w:rFonts w:asciiTheme="minorHAnsi" w:hAnsiTheme="minorHAnsi" w:cstheme="minorHAnsi"/>
      <w:b/>
      <w:sz w:val="18"/>
      <w:szCs w:val="18"/>
      <w:lang w:eastAsia="en-AU"/>
    </w:rPr>
  </w:style>
  <w:style w:type="paragraph" w:customStyle="1" w:styleId="AdminManualEntryCellUnbold">
    <w:name w:val="Admin Manual Entry Cell Unbold"/>
    <w:qFormat/>
    <w:rsid w:val="003E6989"/>
    <w:pPr>
      <w:jc w:val="right"/>
    </w:pPr>
    <w:rPr>
      <w:rFonts w:asciiTheme="minorHAnsi" w:hAnsiTheme="minorHAnsi" w:cstheme="minorHAnsi"/>
      <w:sz w:val="18"/>
      <w:szCs w:val="18"/>
      <w:lang w:eastAsia="en-AU"/>
    </w:rPr>
  </w:style>
  <w:style w:type="paragraph" w:customStyle="1" w:styleId="AdminRowTextHeaderBoldGrey">
    <w:name w:val="Admin Row Text Header Bold Grey"/>
    <w:qFormat/>
    <w:rsid w:val="003E6989"/>
    <w:rPr>
      <w:rFonts w:asciiTheme="minorHAnsi" w:hAnsiTheme="minorHAnsi" w:cstheme="minorHAnsi"/>
      <w:b/>
      <w:sz w:val="18"/>
      <w:szCs w:val="18"/>
      <w:lang w:eastAsia="en-AU"/>
    </w:rPr>
  </w:style>
  <w:style w:type="paragraph" w:customStyle="1" w:styleId="DeptCurrentYearData">
    <w:name w:val="Dept Current Year Data"/>
    <w:qFormat/>
    <w:rsid w:val="003E6989"/>
    <w:pPr>
      <w:jc w:val="right"/>
    </w:pPr>
    <w:rPr>
      <w:rFonts w:asciiTheme="minorHAnsi" w:hAnsiTheme="minorHAnsi" w:cstheme="minorHAnsi"/>
      <w:b/>
      <w:sz w:val="18"/>
      <w:szCs w:val="18"/>
      <w:lang w:eastAsia="en-AU"/>
    </w:rPr>
  </w:style>
  <w:style w:type="paragraph" w:customStyle="1" w:styleId="DeptPreviousYearData">
    <w:name w:val="Dept Previous Year Data"/>
    <w:qFormat/>
    <w:rsid w:val="003E6989"/>
    <w:pPr>
      <w:jc w:val="right"/>
    </w:pPr>
    <w:rPr>
      <w:rFonts w:asciiTheme="minorHAnsi" w:hAnsiTheme="minorHAnsi" w:cstheme="minorHAnsi"/>
      <w:sz w:val="18"/>
      <w:szCs w:val="18"/>
      <w:lang w:eastAsia="en-AU"/>
    </w:rPr>
  </w:style>
  <w:style w:type="paragraph" w:customStyle="1" w:styleId="DeptNoteHeadingUnderlined">
    <w:name w:val="Dept Note Heading Underlined"/>
    <w:qFormat/>
    <w:rsid w:val="003E6989"/>
    <w:rPr>
      <w:rFonts w:asciiTheme="minorHAnsi" w:hAnsiTheme="minorHAnsi" w:cstheme="minorHAnsi"/>
      <w:b/>
      <w:sz w:val="18"/>
      <w:szCs w:val="18"/>
      <w:u w:val="single"/>
      <w:lang w:eastAsia="en-AU"/>
    </w:rPr>
  </w:style>
  <w:style w:type="paragraph" w:customStyle="1" w:styleId="DeptCurrentYearSubTotal">
    <w:name w:val="Dept Current Year SubTotal"/>
    <w:qFormat/>
    <w:rsid w:val="003E6989"/>
    <w:pPr>
      <w:jc w:val="right"/>
    </w:pPr>
    <w:rPr>
      <w:rFonts w:asciiTheme="minorHAnsi" w:hAnsiTheme="minorHAnsi" w:cstheme="minorHAnsi"/>
      <w:b/>
      <w:sz w:val="18"/>
      <w:szCs w:val="18"/>
      <w:lang w:eastAsia="en-AU"/>
    </w:rPr>
  </w:style>
  <w:style w:type="paragraph" w:customStyle="1" w:styleId="AdminCurrentYearSubTotal">
    <w:name w:val="Admin Current Year SubTotal"/>
    <w:qFormat/>
    <w:rsid w:val="003E6989"/>
    <w:pPr>
      <w:jc w:val="right"/>
    </w:pPr>
    <w:rPr>
      <w:rFonts w:asciiTheme="minorHAnsi" w:hAnsiTheme="minorHAnsi" w:cstheme="minorHAnsi"/>
      <w:b/>
      <w:sz w:val="18"/>
      <w:szCs w:val="18"/>
      <w:lang w:eastAsia="en-AU"/>
    </w:rPr>
  </w:style>
  <w:style w:type="paragraph" w:customStyle="1" w:styleId="DeptNoteReference">
    <w:name w:val="Dept Note Reference"/>
    <w:basedOn w:val="AdminCurrentYearSubTotal"/>
    <w:qFormat/>
    <w:rsid w:val="003E6989"/>
    <w:pPr>
      <w:jc w:val="center"/>
    </w:pPr>
    <w:rPr>
      <w:b w:val="0"/>
    </w:rPr>
  </w:style>
  <w:style w:type="paragraph" w:customStyle="1" w:styleId="DeptRowTextDoubleIndent">
    <w:name w:val="Dept Row Text Double Indent"/>
    <w:basedOn w:val="DeptNoteReference"/>
    <w:qFormat/>
    <w:rsid w:val="003E6989"/>
    <w:pPr>
      <w:tabs>
        <w:tab w:val="left" w:pos="204"/>
      </w:tabs>
      <w:ind w:left="487"/>
      <w:jc w:val="left"/>
    </w:pPr>
  </w:style>
  <w:style w:type="paragraph" w:customStyle="1" w:styleId="AdminRowTextSubTotal">
    <w:name w:val="Admin Row Text SubTotal"/>
    <w:qFormat/>
    <w:rsid w:val="003E6989"/>
    <w:rPr>
      <w:rFonts w:asciiTheme="minorHAnsi" w:hAnsiTheme="minorHAnsi" w:cstheme="minorHAnsi"/>
      <w:sz w:val="18"/>
      <w:szCs w:val="18"/>
      <w:lang w:eastAsia="en-AU"/>
    </w:rPr>
  </w:style>
  <w:style w:type="paragraph" w:customStyle="1" w:styleId="DeptRowTextHeader">
    <w:name w:val="Dept Row Text Header"/>
    <w:qFormat/>
    <w:rsid w:val="003E6989"/>
    <w:rPr>
      <w:rFonts w:asciiTheme="minorHAnsi" w:hAnsiTheme="minorHAnsi" w:cstheme="minorHAnsi"/>
      <w:b/>
      <w:sz w:val="18"/>
      <w:szCs w:val="18"/>
      <w:lang w:eastAsia="en-AU"/>
    </w:rPr>
  </w:style>
  <w:style w:type="paragraph" w:customStyle="1" w:styleId="DeptPreviousYearSubTotal">
    <w:name w:val="Dept Previous Year SubTotal"/>
    <w:qFormat/>
    <w:rsid w:val="003E6989"/>
    <w:pPr>
      <w:jc w:val="right"/>
    </w:pPr>
    <w:rPr>
      <w:rFonts w:asciiTheme="minorHAnsi" w:hAnsiTheme="minorHAnsi" w:cstheme="minorHAnsi"/>
      <w:sz w:val="18"/>
      <w:szCs w:val="18"/>
      <w:lang w:eastAsia="en-AU"/>
    </w:rPr>
  </w:style>
  <w:style w:type="paragraph" w:customStyle="1" w:styleId="AdminCurrentYearHeadersGrey">
    <w:name w:val="Admin Current Year Headers Grey"/>
    <w:qFormat/>
    <w:rsid w:val="003E6989"/>
    <w:pPr>
      <w:jc w:val="right"/>
    </w:pPr>
    <w:rPr>
      <w:rFonts w:asciiTheme="minorHAnsi" w:hAnsiTheme="minorHAnsi" w:cstheme="minorHAnsi"/>
      <w:b/>
      <w:sz w:val="18"/>
      <w:szCs w:val="18"/>
      <w:lang w:eastAsia="en-AU"/>
    </w:rPr>
  </w:style>
  <w:style w:type="paragraph" w:customStyle="1" w:styleId="AdminPreviousYearHeadersGrey">
    <w:name w:val="Admin Previous Year Headers Grey"/>
    <w:basedOn w:val="AdminCurrentYearHeadersGrey"/>
    <w:qFormat/>
    <w:rsid w:val="003E6989"/>
  </w:style>
  <w:style w:type="paragraph" w:customStyle="1" w:styleId="AdminHeaderUnderlineGrey">
    <w:name w:val="Admin Header Underline Grey"/>
    <w:qFormat/>
    <w:rsid w:val="003E6989"/>
    <w:rPr>
      <w:rFonts w:asciiTheme="minorHAnsi" w:hAnsiTheme="minorHAnsi" w:cstheme="minorHAnsi"/>
      <w:b/>
      <w:sz w:val="18"/>
      <w:szCs w:val="18"/>
      <w:u w:val="single"/>
      <w:lang w:eastAsia="en-AU"/>
    </w:rPr>
  </w:style>
  <w:style w:type="paragraph" w:customStyle="1" w:styleId="AdminPreviousYearHeaderGrey">
    <w:name w:val="Admin Previous Year Header Grey"/>
    <w:qFormat/>
    <w:rsid w:val="003E6989"/>
    <w:pPr>
      <w:jc w:val="right"/>
    </w:pPr>
    <w:rPr>
      <w:rFonts w:ascii="Calibri" w:hAnsi="Calibri" w:cs="Calibri"/>
      <w:sz w:val="18"/>
      <w:szCs w:val="18"/>
    </w:rPr>
  </w:style>
  <w:style w:type="paragraph" w:customStyle="1" w:styleId="AdminRowTextNormal">
    <w:name w:val="Admin Row Text Normal"/>
    <w:qFormat/>
    <w:rsid w:val="003E6989"/>
    <w:rPr>
      <w:rFonts w:ascii="Calibri" w:hAnsi="Calibri" w:cs="Calibri"/>
      <w:sz w:val="18"/>
      <w:szCs w:val="18"/>
    </w:rPr>
  </w:style>
  <w:style w:type="paragraph" w:customStyle="1" w:styleId="AdminRowTextTotal">
    <w:name w:val="Admin Row Text Total"/>
    <w:basedOn w:val="Normal"/>
    <w:qFormat/>
    <w:rsid w:val="003E6989"/>
    <w:rPr>
      <w:rFonts w:cs="Calibri"/>
      <w:b/>
      <w:bCs/>
      <w:i/>
      <w:iCs/>
      <w:szCs w:val="18"/>
    </w:rPr>
  </w:style>
  <w:style w:type="paragraph" w:customStyle="1" w:styleId="DeptRowTextSubTotal">
    <w:name w:val="Dept Row Text SubTotal"/>
    <w:basedOn w:val="Normal"/>
    <w:qFormat/>
    <w:rsid w:val="003E6989"/>
    <w:rPr>
      <w:rFonts w:cs="Calibri"/>
      <w:b/>
      <w:bCs/>
      <w:szCs w:val="18"/>
    </w:rPr>
  </w:style>
  <w:style w:type="paragraph" w:customStyle="1" w:styleId="DeptManualEntryBoldGreyShade">
    <w:name w:val="Dept Manual Entry Bold Grey Shade"/>
    <w:qFormat/>
    <w:rsid w:val="003E6989"/>
    <w:pPr>
      <w:jc w:val="right"/>
    </w:pPr>
    <w:rPr>
      <w:rFonts w:ascii="Calibri" w:hAnsi="Calibri" w:cs="Calibri"/>
      <w:b/>
      <w:bCs/>
      <w:sz w:val="18"/>
      <w:szCs w:val="18"/>
    </w:rPr>
  </w:style>
  <w:style w:type="paragraph" w:customStyle="1" w:styleId="DeptManualEntryCellUnboldGreyShade">
    <w:name w:val="Dept Manual Entry Cell Unbold Grey Shade"/>
    <w:basedOn w:val="DeptManualEntryBoldGreyShade"/>
    <w:qFormat/>
    <w:rsid w:val="003E6989"/>
    <w:rPr>
      <w:b w:val="0"/>
    </w:rPr>
  </w:style>
  <w:style w:type="paragraph" w:customStyle="1" w:styleId="AdminHeaderCentered">
    <w:name w:val="Admin Header Centered"/>
    <w:basedOn w:val="AdminRowTextHeaderBoldGrey"/>
    <w:qFormat/>
    <w:rsid w:val="003E6989"/>
    <w:pPr>
      <w:jc w:val="center"/>
    </w:pPr>
  </w:style>
  <w:style w:type="paragraph" w:customStyle="1" w:styleId="AdminNoteReferenceGrey">
    <w:name w:val="Admin Note Reference Grey"/>
    <w:qFormat/>
    <w:rsid w:val="003E6989"/>
    <w:pPr>
      <w:jc w:val="center"/>
    </w:pPr>
    <w:rPr>
      <w:rFonts w:ascii="Calibri" w:hAnsi="Calibri" w:cs="Calibri"/>
      <w:sz w:val="18"/>
      <w:szCs w:val="18"/>
    </w:rPr>
  </w:style>
  <w:style w:type="paragraph" w:customStyle="1" w:styleId="DeptHeaderCentered">
    <w:name w:val="Dept Header Centered"/>
    <w:qFormat/>
    <w:rsid w:val="003E6989"/>
    <w:pPr>
      <w:jc w:val="center"/>
    </w:pPr>
    <w:rPr>
      <w:rFonts w:asciiTheme="minorHAnsi" w:hAnsiTheme="minorHAnsi" w:cstheme="minorHAnsi"/>
      <w:b/>
      <w:sz w:val="18"/>
      <w:szCs w:val="18"/>
      <w:lang w:eastAsia="en-AU"/>
    </w:rPr>
  </w:style>
  <w:style w:type="paragraph" w:customStyle="1" w:styleId="NotesHeading-Level1GreyShade">
    <w:name w:val="Notes Heading - Level 1 Grey Shade"/>
    <w:basedOn w:val="NotesHeading-Level1"/>
    <w:qFormat/>
    <w:rsid w:val="003E6989"/>
    <w:pPr>
      <w:numPr>
        <w:numId w:val="11"/>
      </w:numPr>
      <w:shd w:val="clear" w:color="auto" w:fill="D9D9D9" w:themeFill="background1" w:themeFillShade="D9"/>
      <w:tabs>
        <w:tab w:val="clear" w:pos="360"/>
        <w:tab w:val="num" w:pos="283"/>
      </w:tabs>
      <w:ind w:left="283" w:hanging="283"/>
    </w:pPr>
    <w:rPr>
      <w:rFonts w:cstheme="minorHAnsi"/>
    </w:rPr>
  </w:style>
  <w:style w:type="paragraph" w:customStyle="1" w:styleId="UnderlineItalics">
    <w:name w:val="Underline Italics"/>
    <w:basedOn w:val="Normal"/>
    <w:qFormat/>
    <w:rsid w:val="003E6989"/>
    <w:rPr>
      <w:i/>
      <w:u w:val="single"/>
    </w:rPr>
  </w:style>
  <w:style w:type="paragraph" w:customStyle="1" w:styleId="Default">
    <w:name w:val="Default"/>
    <w:rsid w:val="003E6989"/>
    <w:pPr>
      <w:autoSpaceDE w:val="0"/>
      <w:autoSpaceDN w:val="0"/>
      <w:adjustRightInd w:val="0"/>
    </w:pPr>
    <w:rPr>
      <w:rFonts w:ascii="Arial" w:hAnsi="Arial" w:cs="Arial"/>
      <w:color w:val="000000"/>
      <w:sz w:val="24"/>
      <w:szCs w:val="24"/>
      <w:lang w:eastAsia="en-AU"/>
    </w:rPr>
  </w:style>
  <w:style w:type="character" w:customStyle="1" w:styleId="A18">
    <w:name w:val="A18"/>
    <w:uiPriority w:val="99"/>
    <w:rsid w:val="003E6989"/>
    <w:rPr>
      <w:i/>
      <w:iCs/>
      <w:color w:val="000000"/>
      <w:sz w:val="14"/>
      <w:szCs w:val="14"/>
      <w:u w:val="single"/>
    </w:rPr>
  </w:style>
  <w:style w:type="table" w:customStyle="1" w:styleId="TableGrid1">
    <w:name w:val="Table Grid1"/>
    <w:basedOn w:val="TableNormal"/>
    <w:rsid w:val="003E6989"/>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NotesHeading-Level1">
    <w:name w:val="Continued Notes Heading - Level 1"/>
    <w:basedOn w:val="NotesHeading-Level1"/>
    <w:qFormat/>
    <w:rsid w:val="003E6989"/>
    <w:pPr>
      <w:numPr>
        <w:numId w:val="0"/>
      </w:numPr>
      <w:spacing w:line="240" w:lineRule="auto"/>
      <w:outlineLvl w:val="9"/>
    </w:pPr>
  </w:style>
  <w:style w:type="numbering" w:customStyle="1" w:styleId="CurrentList2">
    <w:name w:val="Current List2"/>
    <w:rsid w:val="003E6989"/>
    <w:pPr>
      <w:numPr>
        <w:numId w:val="13"/>
      </w:numPr>
    </w:pPr>
  </w:style>
  <w:style w:type="numbering" w:customStyle="1" w:styleId="Style2">
    <w:name w:val="Style2"/>
    <w:rsid w:val="003E6989"/>
    <w:pPr>
      <w:numPr>
        <w:numId w:val="14"/>
      </w:numPr>
    </w:pPr>
  </w:style>
  <w:style w:type="numbering" w:customStyle="1" w:styleId="CurrentList1">
    <w:name w:val="Current List1"/>
    <w:rsid w:val="003E6989"/>
    <w:pPr>
      <w:numPr>
        <w:numId w:val="15"/>
      </w:numPr>
    </w:pPr>
  </w:style>
  <w:style w:type="paragraph" w:customStyle="1" w:styleId="font5">
    <w:name w:val="font5"/>
    <w:basedOn w:val="Normal"/>
    <w:rsid w:val="003E6989"/>
    <w:pPr>
      <w:spacing w:before="100" w:beforeAutospacing="1" w:after="100" w:afterAutospacing="1" w:line="240" w:lineRule="auto"/>
    </w:pPr>
    <w:rPr>
      <w:b/>
      <w:bCs/>
      <w:szCs w:val="18"/>
      <w:lang w:eastAsia="en-AU"/>
    </w:rPr>
  </w:style>
  <w:style w:type="paragraph" w:customStyle="1" w:styleId="font6">
    <w:name w:val="font6"/>
    <w:basedOn w:val="Normal"/>
    <w:rsid w:val="003E6989"/>
    <w:pPr>
      <w:spacing w:before="100" w:beforeAutospacing="1" w:after="100" w:afterAutospacing="1" w:line="240" w:lineRule="auto"/>
    </w:pPr>
    <w:rPr>
      <w:szCs w:val="18"/>
      <w:lang w:eastAsia="en-AU"/>
    </w:rPr>
  </w:style>
  <w:style w:type="paragraph" w:customStyle="1" w:styleId="xl141">
    <w:name w:val="xl141"/>
    <w:basedOn w:val="Normal"/>
    <w:rsid w:val="003E6989"/>
    <w:pPr>
      <w:spacing w:before="100" w:beforeAutospacing="1" w:after="100" w:afterAutospacing="1" w:line="240" w:lineRule="auto"/>
    </w:pPr>
    <w:rPr>
      <w:rFonts w:ascii="Times New Roman" w:hAnsi="Times New Roman"/>
      <w:sz w:val="16"/>
      <w:szCs w:val="16"/>
      <w:lang w:eastAsia="en-AU"/>
    </w:rPr>
  </w:style>
  <w:style w:type="paragraph" w:customStyle="1" w:styleId="xl142">
    <w:name w:val="xl142"/>
    <w:basedOn w:val="Normal"/>
    <w:rsid w:val="003E6989"/>
    <w:pPr>
      <w:pBdr>
        <w:top w:val="single" w:sz="4" w:space="0" w:color="auto"/>
        <w:bottom w:val="single" w:sz="4" w:space="0" w:color="auto"/>
      </w:pBdr>
      <w:shd w:val="clear" w:color="FFFFFF" w:fill="FFFFFF"/>
      <w:spacing w:before="100" w:beforeAutospacing="1" w:after="100" w:afterAutospacing="1" w:line="240" w:lineRule="auto"/>
      <w:jc w:val="right"/>
    </w:pPr>
    <w:rPr>
      <w:b/>
      <w:bCs/>
      <w:szCs w:val="18"/>
      <w:lang w:eastAsia="en-AU"/>
    </w:rPr>
  </w:style>
  <w:style w:type="paragraph" w:customStyle="1" w:styleId="xl143">
    <w:name w:val="xl143"/>
    <w:basedOn w:val="Normal"/>
    <w:rsid w:val="003E6989"/>
    <w:pPr>
      <w:shd w:val="clear" w:color="FFFFFF" w:fill="FFFFFF"/>
      <w:spacing w:before="100" w:beforeAutospacing="1" w:after="100" w:afterAutospacing="1" w:line="240" w:lineRule="auto"/>
      <w:ind w:firstLineChars="100" w:firstLine="100"/>
    </w:pPr>
    <w:rPr>
      <w:szCs w:val="18"/>
      <w:lang w:eastAsia="en-AU"/>
    </w:rPr>
  </w:style>
  <w:style w:type="paragraph" w:customStyle="1" w:styleId="xl144">
    <w:name w:val="xl144"/>
    <w:basedOn w:val="Normal"/>
    <w:rsid w:val="003E6989"/>
    <w:pPr>
      <w:pBdr>
        <w:bottom w:val="single" w:sz="4" w:space="0" w:color="auto"/>
      </w:pBdr>
      <w:shd w:val="clear" w:color="FFFFFF" w:fill="FFFFFF"/>
      <w:spacing w:before="100" w:beforeAutospacing="1" w:after="100" w:afterAutospacing="1" w:line="240" w:lineRule="auto"/>
      <w:jc w:val="right"/>
    </w:pPr>
    <w:rPr>
      <w:b/>
      <w:bCs/>
      <w:szCs w:val="18"/>
      <w:lang w:eastAsia="en-AU"/>
    </w:rPr>
  </w:style>
  <w:style w:type="paragraph" w:customStyle="1" w:styleId="xl145">
    <w:name w:val="xl145"/>
    <w:basedOn w:val="Normal"/>
    <w:rsid w:val="003E6989"/>
    <w:pPr>
      <w:shd w:val="clear" w:color="FFFFFF" w:fill="FFFFFF"/>
      <w:spacing w:before="100" w:beforeAutospacing="1" w:after="100" w:afterAutospacing="1" w:line="240" w:lineRule="auto"/>
    </w:pPr>
    <w:rPr>
      <w:b/>
      <w:bCs/>
      <w:szCs w:val="18"/>
      <w:lang w:eastAsia="en-AU"/>
    </w:rPr>
  </w:style>
  <w:style w:type="paragraph" w:customStyle="1" w:styleId="xl146">
    <w:name w:val="xl146"/>
    <w:basedOn w:val="Normal"/>
    <w:rsid w:val="003E6989"/>
    <w:pPr>
      <w:shd w:val="clear" w:color="FFFFFF" w:fill="FFFFFF"/>
      <w:spacing w:before="100" w:beforeAutospacing="1" w:after="100" w:afterAutospacing="1" w:line="240" w:lineRule="auto"/>
    </w:pPr>
    <w:rPr>
      <w:b/>
      <w:bCs/>
      <w:szCs w:val="18"/>
      <w:lang w:eastAsia="en-AU"/>
    </w:rPr>
  </w:style>
  <w:style w:type="paragraph" w:customStyle="1" w:styleId="xl147">
    <w:name w:val="xl147"/>
    <w:basedOn w:val="Normal"/>
    <w:rsid w:val="003E6989"/>
    <w:pPr>
      <w:shd w:val="clear" w:color="FFFFFF" w:fill="FFFFFF"/>
      <w:spacing w:before="100" w:beforeAutospacing="1" w:after="100" w:afterAutospacing="1" w:line="240" w:lineRule="auto"/>
    </w:pPr>
    <w:rPr>
      <w:rFonts w:ascii="Times New Roman" w:hAnsi="Times New Roman"/>
      <w:szCs w:val="18"/>
      <w:lang w:eastAsia="en-AU"/>
    </w:rPr>
  </w:style>
  <w:style w:type="paragraph" w:customStyle="1" w:styleId="xl148">
    <w:name w:val="xl148"/>
    <w:basedOn w:val="Normal"/>
    <w:rsid w:val="003E6989"/>
    <w:pPr>
      <w:pBdr>
        <w:top w:val="single" w:sz="4" w:space="0" w:color="auto"/>
        <w:bottom w:val="single" w:sz="4" w:space="0" w:color="auto"/>
      </w:pBdr>
      <w:shd w:val="clear" w:color="FFFFFF" w:fill="FFFFFF"/>
      <w:spacing w:before="100" w:beforeAutospacing="1" w:after="100" w:afterAutospacing="1" w:line="240" w:lineRule="auto"/>
    </w:pPr>
    <w:rPr>
      <w:b/>
      <w:bCs/>
      <w:szCs w:val="18"/>
      <w:lang w:eastAsia="en-AU"/>
    </w:rPr>
  </w:style>
  <w:style w:type="paragraph" w:customStyle="1" w:styleId="xl149">
    <w:name w:val="xl149"/>
    <w:basedOn w:val="Normal"/>
    <w:rsid w:val="003E6989"/>
    <w:pPr>
      <w:pBdr>
        <w:top w:val="single" w:sz="4" w:space="0" w:color="auto"/>
        <w:bottom w:val="single" w:sz="4" w:space="0" w:color="auto"/>
      </w:pBdr>
      <w:shd w:val="clear" w:color="FFFFFF" w:fill="FFFFFF"/>
      <w:spacing w:before="100" w:beforeAutospacing="1" w:after="100" w:afterAutospacing="1" w:line="240" w:lineRule="auto"/>
    </w:pPr>
    <w:rPr>
      <w:rFonts w:ascii="Times New Roman" w:hAnsi="Times New Roman"/>
      <w:szCs w:val="18"/>
      <w:lang w:eastAsia="en-AU"/>
    </w:rPr>
  </w:style>
  <w:style w:type="paragraph" w:customStyle="1" w:styleId="xl150">
    <w:name w:val="xl150"/>
    <w:basedOn w:val="Normal"/>
    <w:rsid w:val="003E6989"/>
    <w:pPr>
      <w:pBdr>
        <w:bottom w:val="single" w:sz="4" w:space="0" w:color="auto"/>
      </w:pBdr>
      <w:shd w:val="clear" w:color="FFFFFF" w:fill="FFFFFF"/>
      <w:spacing w:before="100" w:beforeAutospacing="1" w:after="100" w:afterAutospacing="1" w:line="240" w:lineRule="auto"/>
    </w:pPr>
    <w:rPr>
      <w:b/>
      <w:bCs/>
      <w:szCs w:val="18"/>
      <w:lang w:eastAsia="en-AU"/>
    </w:rPr>
  </w:style>
  <w:style w:type="paragraph" w:customStyle="1" w:styleId="xl151">
    <w:name w:val="xl151"/>
    <w:basedOn w:val="Normal"/>
    <w:rsid w:val="003E6989"/>
    <w:pPr>
      <w:pBdr>
        <w:top w:val="single" w:sz="4" w:space="0" w:color="auto"/>
        <w:bottom w:val="single" w:sz="4" w:space="0" w:color="auto"/>
      </w:pBdr>
      <w:shd w:val="clear" w:color="FFFFFF" w:fill="FFFFFF"/>
      <w:spacing w:before="100" w:beforeAutospacing="1" w:after="100" w:afterAutospacing="1" w:line="240" w:lineRule="auto"/>
    </w:pPr>
    <w:rPr>
      <w:b/>
      <w:bCs/>
      <w:szCs w:val="18"/>
      <w:lang w:eastAsia="en-AU"/>
    </w:rPr>
  </w:style>
  <w:style w:type="paragraph" w:customStyle="1" w:styleId="xl152">
    <w:name w:val="xl152"/>
    <w:basedOn w:val="Normal"/>
    <w:rsid w:val="003E6989"/>
    <w:pPr>
      <w:shd w:val="clear" w:color="FFFFFF" w:fill="FFFFFF"/>
      <w:spacing w:before="100" w:beforeAutospacing="1" w:after="100" w:afterAutospacing="1" w:line="240" w:lineRule="auto"/>
    </w:pPr>
    <w:rPr>
      <w:szCs w:val="18"/>
      <w:lang w:eastAsia="en-AU"/>
    </w:rPr>
  </w:style>
  <w:style w:type="paragraph" w:customStyle="1" w:styleId="xl153">
    <w:name w:val="xl153"/>
    <w:basedOn w:val="Normal"/>
    <w:rsid w:val="003E6989"/>
    <w:pPr>
      <w:shd w:val="clear" w:color="FFFFFF" w:fill="FFFFFF"/>
      <w:spacing w:before="100" w:beforeAutospacing="1" w:after="100" w:afterAutospacing="1" w:line="240" w:lineRule="auto"/>
      <w:jc w:val="right"/>
    </w:pPr>
    <w:rPr>
      <w:b/>
      <w:bCs/>
      <w:szCs w:val="18"/>
      <w:lang w:eastAsia="en-AU"/>
    </w:rPr>
  </w:style>
  <w:style w:type="paragraph" w:customStyle="1" w:styleId="xl154">
    <w:name w:val="xl154"/>
    <w:basedOn w:val="Normal"/>
    <w:rsid w:val="003E6989"/>
    <w:pPr>
      <w:shd w:val="clear" w:color="000000" w:fill="4F81BD"/>
      <w:spacing w:before="100" w:beforeAutospacing="1" w:after="100" w:afterAutospacing="1" w:line="240" w:lineRule="auto"/>
    </w:pPr>
    <w:rPr>
      <w:rFonts w:ascii="Times New Roman" w:hAnsi="Times New Roman"/>
      <w:color w:val="FFFFFF"/>
      <w:sz w:val="16"/>
      <w:szCs w:val="16"/>
      <w:lang w:eastAsia="en-AU"/>
    </w:rPr>
  </w:style>
  <w:style w:type="paragraph" w:customStyle="1" w:styleId="xl155">
    <w:name w:val="xl155"/>
    <w:basedOn w:val="Normal"/>
    <w:rsid w:val="003E6989"/>
    <w:pPr>
      <w:shd w:val="clear" w:color="FFFFFF" w:fill="FFFFFF"/>
      <w:spacing w:before="100" w:beforeAutospacing="1" w:after="100" w:afterAutospacing="1" w:line="240" w:lineRule="auto"/>
      <w:textAlignment w:val="top"/>
    </w:pPr>
    <w:rPr>
      <w:b/>
      <w:bCs/>
      <w:szCs w:val="18"/>
      <w:lang w:eastAsia="en-AU"/>
    </w:rPr>
  </w:style>
  <w:style w:type="paragraph" w:customStyle="1" w:styleId="xl156">
    <w:name w:val="xl156"/>
    <w:basedOn w:val="Normal"/>
    <w:rsid w:val="003E6989"/>
    <w:pPr>
      <w:shd w:val="clear" w:color="FFFFFF" w:fill="FFFFFF"/>
      <w:spacing w:before="100" w:beforeAutospacing="1" w:after="100" w:afterAutospacing="1" w:line="240" w:lineRule="auto"/>
      <w:textAlignment w:val="top"/>
    </w:pPr>
    <w:rPr>
      <w:rFonts w:ascii="Times New Roman" w:hAnsi="Times New Roman"/>
      <w:b/>
      <w:bCs/>
      <w:szCs w:val="18"/>
      <w:lang w:eastAsia="en-AU"/>
    </w:rPr>
  </w:style>
  <w:style w:type="paragraph" w:customStyle="1" w:styleId="xl157">
    <w:name w:val="xl157"/>
    <w:basedOn w:val="Normal"/>
    <w:rsid w:val="003E6989"/>
    <w:pPr>
      <w:shd w:val="clear" w:color="FFFFFF" w:fill="FFFFFF"/>
      <w:spacing w:before="100" w:beforeAutospacing="1" w:after="100" w:afterAutospacing="1" w:line="240" w:lineRule="auto"/>
    </w:pPr>
    <w:rPr>
      <w:b/>
      <w:bCs/>
      <w:szCs w:val="18"/>
      <w:u w:val="single"/>
      <w:lang w:eastAsia="en-AU"/>
    </w:rPr>
  </w:style>
  <w:style w:type="paragraph" w:customStyle="1" w:styleId="xl158">
    <w:name w:val="xl158"/>
    <w:basedOn w:val="Normal"/>
    <w:rsid w:val="003E6989"/>
    <w:pPr>
      <w:shd w:val="clear" w:color="FFFFFF" w:fill="FFFFFF"/>
      <w:spacing w:before="100" w:beforeAutospacing="1" w:after="100" w:afterAutospacing="1" w:line="240" w:lineRule="auto"/>
    </w:pPr>
    <w:rPr>
      <w:b/>
      <w:bCs/>
      <w:szCs w:val="18"/>
      <w:u w:val="single"/>
      <w:lang w:eastAsia="en-AU"/>
    </w:rPr>
  </w:style>
  <w:style w:type="paragraph" w:customStyle="1" w:styleId="xl159">
    <w:name w:val="xl159"/>
    <w:basedOn w:val="Normal"/>
    <w:rsid w:val="003E6989"/>
    <w:pPr>
      <w:shd w:val="clear" w:color="FFFFFF" w:fill="FFFFFF"/>
      <w:spacing w:before="100" w:beforeAutospacing="1" w:after="100" w:afterAutospacing="1" w:line="240" w:lineRule="auto"/>
    </w:pPr>
    <w:rPr>
      <w:rFonts w:cs="Calibri"/>
      <w:b/>
      <w:bCs/>
      <w:szCs w:val="18"/>
      <w:u w:val="single"/>
      <w:lang w:eastAsia="en-AU"/>
    </w:rPr>
  </w:style>
  <w:style w:type="paragraph" w:customStyle="1" w:styleId="xl160">
    <w:name w:val="xl160"/>
    <w:basedOn w:val="Normal"/>
    <w:rsid w:val="003E6989"/>
    <w:pPr>
      <w:shd w:val="clear" w:color="FFFFFF" w:fill="FFFFFF"/>
      <w:spacing w:before="100" w:beforeAutospacing="1" w:after="100" w:afterAutospacing="1" w:line="240" w:lineRule="auto"/>
    </w:pPr>
    <w:rPr>
      <w:rFonts w:cs="Calibri"/>
      <w:b/>
      <w:bCs/>
      <w:szCs w:val="18"/>
      <w:u w:val="single"/>
      <w:lang w:eastAsia="en-AU"/>
    </w:rPr>
  </w:style>
  <w:style w:type="paragraph" w:customStyle="1" w:styleId="xl161">
    <w:name w:val="xl161"/>
    <w:basedOn w:val="Normal"/>
    <w:rsid w:val="003E6989"/>
    <w:pPr>
      <w:pBdr>
        <w:top w:val="single" w:sz="4" w:space="0" w:color="auto"/>
        <w:bottom w:val="single" w:sz="4" w:space="0" w:color="auto"/>
      </w:pBdr>
      <w:shd w:val="clear" w:color="FFFFFF" w:fill="FFFFFF"/>
      <w:spacing w:before="100" w:beforeAutospacing="1" w:after="100" w:afterAutospacing="1" w:line="240" w:lineRule="auto"/>
      <w:jc w:val="center"/>
    </w:pPr>
    <w:rPr>
      <w:rFonts w:cs="Calibri"/>
      <w:b/>
      <w:bCs/>
      <w:szCs w:val="18"/>
      <w:lang w:eastAsia="en-AU"/>
    </w:rPr>
  </w:style>
  <w:style w:type="paragraph" w:customStyle="1" w:styleId="xl162">
    <w:name w:val="xl162"/>
    <w:basedOn w:val="Normal"/>
    <w:rsid w:val="003E6989"/>
    <w:pPr>
      <w:shd w:val="clear" w:color="FFFFFF" w:fill="FFFFFF"/>
      <w:spacing w:before="100" w:beforeAutospacing="1" w:after="100" w:afterAutospacing="1" w:line="240" w:lineRule="auto"/>
      <w:jc w:val="right"/>
    </w:pPr>
    <w:rPr>
      <w:rFonts w:cs="Calibri"/>
      <w:szCs w:val="18"/>
      <w:lang w:eastAsia="en-AU"/>
    </w:rPr>
  </w:style>
  <w:style w:type="paragraph" w:customStyle="1" w:styleId="xl163">
    <w:name w:val="xl163"/>
    <w:basedOn w:val="Normal"/>
    <w:rsid w:val="003E6989"/>
    <w:pPr>
      <w:pBdr>
        <w:top w:val="single" w:sz="4" w:space="0" w:color="auto"/>
        <w:bottom w:val="single" w:sz="4" w:space="0" w:color="auto"/>
      </w:pBdr>
      <w:shd w:val="clear" w:color="FFFFFF" w:fill="FFFFFF"/>
      <w:spacing w:before="100" w:beforeAutospacing="1" w:after="100" w:afterAutospacing="1" w:line="240" w:lineRule="auto"/>
      <w:jc w:val="right"/>
    </w:pPr>
    <w:rPr>
      <w:rFonts w:cs="Calibri"/>
      <w:szCs w:val="18"/>
      <w:lang w:eastAsia="en-AU"/>
    </w:rPr>
  </w:style>
  <w:style w:type="paragraph" w:styleId="TOCHeading">
    <w:name w:val="TOC Heading"/>
    <w:basedOn w:val="Heading1"/>
    <w:next w:val="Normal"/>
    <w:uiPriority w:val="39"/>
    <w:unhideWhenUsed/>
    <w:qFormat/>
    <w:rsid w:val="003E6989"/>
    <w:pPr>
      <w:keepLines/>
      <w:spacing w:before="480" w:after="0" w:line="276" w:lineRule="auto"/>
      <w:jc w:val="left"/>
      <w:outlineLvl w:val="9"/>
    </w:pPr>
    <w:rPr>
      <w:rFonts w:asciiTheme="majorHAnsi" w:eastAsiaTheme="majorEastAsia" w:hAnsiTheme="majorHAnsi" w:cstheme="majorBidi"/>
      <w:bCs/>
      <w:smallCaps w:val="0"/>
      <w:color w:val="365F91" w:themeColor="accent1" w:themeShade="BF"/>
      <w:kern w:val="0"/>
      <w:sz w:val="28"/>
      <w:szCs w:val="28"/>
      <w:lang w:val="en-US" w:eastAsia="ja-JP"/>
    </w:rPr>
  </w:style>
  <w:style w:type="paragraph" w:customStyle="1" w:styleId="xl164">
    <w:name w:val="xl164"/>
    <w:basedOn w:val="Normal"/>
    <w:rsid w:val="003E6989"/>
    <w:pPr>
      <w:shd w:val="clear" w:color="000000" w:fill="D9D9D9"/>
      <w:spacing w:before="100" w:beforeAutospacing="1" w:after="100" w:afterAutospacing="1" w:line="240" w:lineRule="auto"/>
    </w:pPr>
    <w:rPr>
      <w:rFonts w:ascii="Times New Roman" w:hAnsi="Times New Roman"/>
      <w:szCs w:val="18"/>
      <w:lang w:eastAsia="en-AU"/>
    </w:rPr>
  </w:style>
  <w:style w:type="paragraph" w:customStyle="1" w:styleId="subcategoryheading">
    <w:name w:val="subcategory heading"/>
    <w:basedOn w:val="ListParagraph"/>
    <w:link w:val="subcategoryheadingChar"/>
    <w:qFormat/>
    <w:rsid w:val="003E6989"/>
    <w:pPr>
      <w:numPr>
        <w:ilvl w:val="1"/>
        <w:numId w:val="20"/>
      </w:numPr>
      <w:spacing w:after="0" w:line="260" w:lineRule="atLeast"/>
      <w:ind w:right="566"/>
    </w:pPr>
  </w:style>
  <w:style w:type="paragraph" w:customStyle="1" w:styleId="SectionHeading">
    <w:name w:val="Section Heading"/>
    <w:basedOn w:val="NotesHeading-Level1"/>
    <w:link w:val="SectionHeadingChar"/>
    <w:qFormat/>
    <w:rsid w:val="003E6989"/>
    <w:pPr>
      <w:numPr>
        <w:numId w:val="21"/>
      </w:numPr>
      <w:shd w:val="clear" w:color="00CC99" w:fill="009560"/>
    </w:pPr>
    <w:rPr>
      <w:rFonts w:ascii="Arial" w:hAnsi="Arial"/>
      <w:color w:val="FFFFFF" w:themeColor="background1"/>
      <w:sz w:val="24"/>
    </w:rPr>
  </w:style>
  <w:style w:type="character" w:customStyle="1" w:styleId="ListParagraphChar">
    <w:name w:val="List Paragraph Char"/>
    <w:basedOn w:val="DefaultParagraphFont"/>
    <w:link w:val="ListParagraph"/>
    <w:uiPriority w:val="34"/>
    <w:rsid w:val="003E6989"/>
    <w:rPr>
      <w:rFonts w:ascii="Calibri" w:eastAsia="Calibri" w:hAnsi="Calibri"/>
      <w:sz w:val="22"/>
      <w:szCs w:val="22"/>
      <w:lang w:val="en-US"/>
    </w:rPr>
  </w:style>
  <w:style w:type="character" w:customStyle="1" w:styleId="subcategoryheadingChar">
    <w:name w:val="subcategory heading Char"/>
    <w:basedOn w:val="ListParagraphChar"/>
    <w:link w:val="subcategoryheading"/>
    <w:rsid w:val="003E6989"/>
    <w:rPr>
      <w:rFonts w:ascii="Calibri" w:eastAsia="Calibri" w:hAnsi="Calibri"/>
      <w:sz w:val="22"/>
      <w:szCs w:val="22"/>
      <w:lang w:val="en-US"/>
    </w:rPr>
  </w:style>
  <w:style w:type="character" w:customStyle="1" w:styleId="SectionHeadingChar">
    <w:name w:val="Section Heading Char"/>
    <w:basedOn w:val="DefaultParagraphFont"/>
    <w:link w:val="SectionHeading"/>
    <w:rsid w:val="003E6989"/>
    <w:rPr>
      <w:rFonts w:ascii="Arial" w:hAnsi="Arial"/>
      <w:b/>
      <w:color w:val="FFFFFF" w:themeColor="background1"/>
      <w:sz w:val="24"/>
      <w:shd w:val="clear" w:color="00CC99" w:fill="009560"/>
    </w:rPr>
  </w:style>
  <w:style w:type="paragraph" w:customStyle="1" w:styleId="SubHeading">
    <w:name w:val="Sub Heading"/>
    <w:basedOn w:val="SectionHeading"/>
    <w:next w:val="Normal"/>
    <w:link w:val="SubHeadingChar"/>
    <w:qFormat/>
    <w:rsid w:val="003E6989"/>
    <w:pPr>
      <w:numPr>
        <w:ilvl w:val="1"/>
      </w:numPr>
      <w:shd w:val="clear" w:color="auto" w:fill="000000" w:themeFill="text1"/>
      <w:ind w:left="0" w:firstLine="0"/>
      <w:outlineLvl w:val="1"/>
    </w:pPr>
    <w:rPr>
      <w:sz w:val="20"/>
    </w:rPr>
  </w:style>
  <w:style w:type="character" w:customStyle="1" w:styleId="SubHeadingChar">
    <w:name w:val="Sub Heading Char"/>
    <w:basedOn w:val="DefaultParagraphFont"/>
    <w:link w:val="SubHeading"/>
    <w:rsid w:val="003E6989"/>
    <w:rPr>
      <w:rFonts w:ascii="Arial" w:hAnsi="Arial"/>
      <w:b/>
      <w:color w:val="FFFFFF" w:themeColor="background1"/>
      <w:shd w:val="clear" w:color="auto" w:fill="000000" w:themeFill="text1"/>
    </w:rPr>
  </w:style>
  <w:style w:type="paragraph" w:customStyle="1" w:styleId="PolicyTextAdmin">
    <w:name w:val="Policy Text Admin"/>
    <w:basedOn w:val="GreyShadeTableBreak"/>
    <w:link w:val="PolicyTextAdminChar"/>
    <w:qFormat/>
    <w:rsid w:val="003E6989"/>
    <w:pPr>
      <w:pBdr>
        <w:top w:val="single" w:sz="4" w:space="1" w:color="009560"/>
        <w:left w:val="single" w:sz="4" w:space="0" w:color="009560"/>
        <w:bottom w:val="single" w:sz="4" w:space="6" w:color="009560"/>
        <w:right w:val="single" w:sz="4" w:space="0" w:color="009560"/>
      </w:pBdr>
      <w:shd w:val="clear" w:color="auto" w:fill="E5F4F3"/>
    </w:pPr>
  </w:style>
  <w:style w:type="character" w:customStyle="1" w:styleId="PolicyTextAdminChar">
    <w:name w:val="Policy Text Admin Char"/>
    <w:basedOn w:val="DefaultParagraphFont"/>
    <w:link w:val="PolicyTextAdmin"/>
    <w:rsid w:val="003E6989"/>
    <w:rPr>
      <w:rFonts w:ascii="Calibri" w:hAnsi="Calibri"/>
      <w:sz w:val="18"/>
      <w:shd w:val="clear" w:color="auto" w:fill="E5F4F3"/>
    </w:rPr>
  </w:style>
  <w:style w:type="paragraph" w:customStyle="1" w:styleId="PolicytextDept">
    <w:name w:val="Policy text Dept"/>
    <w:basedOn w:val="GreyShadeTableBreak"/>
    <w:link w:val="PolicytextDeptChar"/>
    <w:qFormat/>
    <w:rsid w:val="003E6989"/>
    <w:pPr>
      <w:pBdr>
        <w:top w:val="single" w:sz="4" w:space="1" w:color="009560"/>
        <w:left w:val="single" w:sz="4" w:space="0" w:color="009560"/>
        <w:bottom w:val="single" w:sz="4" w:space="1" w:color="009560"/>
        <w:right w:val="single" w:sz="4" w:space="0" w:color="009560"/>
      </w:pBdr>
      <w:shd w:val="clear" w:color="auto" w:fill="auto"/>
      <w:spacing w:after="120"/>
    </w:pPr>
  </w:style>
  <w:style w:type="character" w:customStyle="1" w:styleId="PolicytextDeptChar">
    <w:name w:val="Policy text Dept Char"/>
    <w:basedOn w:val="DefaultParagraphFont"/>
    <w:link w:val="PolicytextDept"/>
    <w:rsid w:val="003E6989"/>
    <w:rPr>
      <w:rFonts w:ascii="Calibri" w:hAnsi="Calibri"/>
      <w:sz w:val="18"/>
    </w:rPr>
  </w:style>
  <w:style w:type="paragraph" w:customStyle="1" w:styleId="SectionHeadingDescription">
    <w:name w:val="Section Heading Description"/>
    <w:basedOn w:val="SectionHeading"/>
    <w:next w:val="SubHeading"/>
    <w:qFormat/>
    <w:rsid w:val="003E6989"/>
    <w:pPr>
      <w:numPr>
        <w:numId w:val="0"/>
      </w:numPr>
      <w:outlineLvl w:val="9"/>
    </w:pPr>
    <w:rPr>
      <w:b w:val="0"/>
      <w:sz w:val="18"/>
      <w:szCs w:val="18"/>
    </w:rPr>
  </w:style>
  <w:style w:type="paragraph" w:customStyle="1" w:styleId="PolicyheadingAdmin">
    <w:name w:val="Policy heading Admin"/>
    <w:basedOn w:val="PolicyTextAdmin"/>
    <w:rsid w:val="003E6989"/>
    <w:pPr>
      <w:spacing w:line="120" w:lineRule="atLeast"/>
    </w:pPr>
    <w:rPr>
      <w:b/>
      <w:bCs/>
    </w:rPr>
  </w:style>
  <w:style w:type="paragraph" w:customStyle="1" w:styleId="PlicytextAdminUnderline">
    <w:name w:val="Plicy text Admin + Underline"/>
    <w:basedOn w:val="PolicyTextAdmin"/>
    <w:link w:val="PlicytextAdminUnderlineChar"/>
    <w:qFormat/>
    <w:rsid w:val="003E6989"/>
    <w:pPr>
      <w:spacing w:after="120"/>
    </w:pPr>
    <w:rPr>
      <w:u w:val="single"/>
    </w:rPr>
  </w:style>
  <w:style w:type="paragraph" w:customStyle="1" w:styleId="PolicyTextAdminbold">
    <w:name w:val="Policy Text Admin + bold"/>
    <w:basedOn w:val="PolicyTextAdmin"/>
    <w:link w:val="PolicyTextAdminboldChar"/>
    <w:qFormat/>
    <w:rsid w:val="003E6989"/>
    <w:pPr>
      <w:spacing w:after="120"/>
    </w:pPr>
    <w:rPr>
      <w:b/>
    </w:rPr>
  </w:style>
  <w:style w:type="character" w:customStyle="1" w:styleId="PlicytextAdminUnderlineChar">
    <w:name w:val="Plicy text Admin + Underline Char"/>
    <w:basedOn w:val="PolicyTextAdminChar"/>
    <w:link w:val="PlicytextAdminUnderline"/>
    <w:rsid w:val="003E6989"/>
    <w:rPr>
      <w:rFonts w:ascii="Calibri" w:hAnsi="Calibri"/>
      <w:sz w:val="18"/>
      <w:u w:val="single"/>
      <w:shd w:val="clear" w:color="auto" w:fill="E5F4F3"/>
    </w:rPr>
  </w:style>
  <w:style w:type="paragraph" w:customStyle="1" w:styleId="PolicyTextboxbold">
    <w:name w:val="Policy Text box + bold"/>
    <w:basedOn w:val="PolicytextDept"/>
    <w:link w:val="PolicyTextboxboldChar"/>
    <w:qFormat/>
    <w:rsid w:val="003E6989"/>
    <w:rPr>
      <w:b/>
    </w:rPr>
  </w:style>
  <w:style w:type="character" w:customStyle="1" w:styleId="PolicyTextAdminboldChar">
    <w:name w:val="Policy Text Admin + bold Char"/>
    <w:basedOn w:val="PolicyTextAdminChar"/>
    <w:link w:val="PolicyTextAdminbold"/>
    <w:rsid w:val="003E6989"/>
    <w:rPr>
      <w:rFonts w:ascii="Calibri" w:hAnsi="Calibri"/>
      <w:b/>
      <w:sz w:val="18"/>
      <w:shd w:val="clear" w:color="auto" w:fill="E5F4F3"/>
    </w:rPr>
  </w:style>
  <w:style w:type="paragraph" w:customStyle="1" w:styleId="PolicyTextdeptunderline">
    <w:name w:val="Policy Text dept + underline"/>
    <w:basedOn w:val="PolicytextDept"/>
    <w:link w:val="PolicyTextdeptunderlineChar"/>
    <w:qFormat/>
    <w:rsid w:val="003E6989"/>
    <w:rPr>
      <w:u w:val="single"/>
    </w:rPr>
  </w:style>
  <w:style w:type="character" w:customStyle="1" w:styleId="PolicyTextboxboldChar">
    <w:name w:val="Policy Text box + bold Char"/>
    <w:basedOn w:val="PolicytextDeptChar"/>
    <w:link w:val="PolicyTextboxbold"/>
    <w:rsid w:val="003E6989"/>
    <w:rPr>
      <w:rFonts w:ascii="Calibri" w:hAnsi="Calibri"/>
      <w:b/>
      <w:sz w:val="18"/>
    </w:rPr>
  </w:style>
  <w:style w:type="paragraph" w:customStyle="1" w:styleId="Policytextdeptbulletpoint">
    <w:name w:val="Policy text dept + bullet point"/>
    <w:basedOn w:val="PolicytextDept"/>
    <w:link w:val="PolicytextdeptbulletpointChar"/>
    <w:qFormat/>
    <w:rsid w:val="003E6989"/>
    <w:pPr>
      <w:numPr>
        <w:numId w:val="34"/>
      </w:numPr>
    </w:pPr>
  </w:style>
  <w:style w:type="character" w:customStyle="1" w:styleId="PolicyTextdeptunderlineChar">
    <w:name w:val="Policy Text dept + underline Char"/>
    <w:basedOn w:val="PolicytextDeptChar"/>
    <w:link w:val="PolicyTextdeptunderline"/>
    <w:rsid w:val="003E6989"/>
    <w:rPr>
      <w:rFonts w:ascii="Calibri" w:hAnsi="Calibri"/>
      <w:sz w:val="18"/>
      <w:u w:val="single"/>
    </w:rPr>
  </w:style>
  <w:style w:type="character" w:customStyle="1" w:styleId="PolicytextdeptbulletpointChar">
    <w:name w:val="Policy text dept + bullet point Char"/>
    <w:basedOn w:val="PolicytextDeptChar"/>
    <w:link w:val="Policytextdeptbulletpoint"/>
    <w:rsid w:val="003E6989"/>
    <w:rPr>
      <w:rFonts w:ascii="Calibri" w:hAnsi="Calibri"/>
      <w:sz w:val="18"/>
    </w:rPr>
  </w:style>
  <w:style w:type="paragraph" w:customStyle="1" w:styleId="Policytextboxtable">
    <w:name w:val="Policy text box table"/>
    <w:basedOn w:val="Normal"/>
    <w:link w:val="PolicytextboxtableChar"/>
    <w:qFormat/>
    <w:rsid w:val="003E6989"/>
    <w:rPr>
      <w:rFonts w:cs="Arial"/>
      <w:szCs w:val="18"/>
    </w:rPr>
  </w:style>
  <w:style w:type="paragraph" w:customStyle="1" w:styleId="PolicyTextadminbullets">
    <w:name w:val="Policy Text admin + bullets"/>
    <w:basedOn w:val="PolicyTextAdmin"/>
    <w:link w:val="PolicyTextadminbulletsChar"/>
    <w:qFormat/>
    <w:rsid w:val="003E6989"/>
    <w:pPr>
      <w:numPr>
        <w:numId w:val="37"/>
      </w:numPr>
    </w:pPr>
  </w:style>
  <w:style w:type="character" w:customStyle="1" w:styleId="PolicytextboxtableChar">
    <w:name w:val="Policy text box table Char"/>
    <w:basedOn w:val="DefaultParagraphFont"/>
    <w:link w:val="Policytextboxtable"/>
    <w:rsid w:val="003E6989"/>
    <w:rPr>
      <w:rFonts w:ascii="Calibri" w:hAnsi="Calibri" w:cs="Arial"/>
      <w:sz w:val="18"/>
      <w:szCs w:val="18"/>
    </w:rPr>
  </w:style>
  <w:style w:type="character" w:customStyle="1" w:styleId="PolicyTextadminbulletsChar">
    <w:name w:val="Policy Text admin + bullets Char"/>
    <w:basedOn w:val="PolicyTextAdminChar"/>
    <w:link w:val="PolicyTextadminbullets"/>
    <w:rsid w:val="003E6989"/>
    <w:rPr>
      <w:rFonts w:ascii="Calibri" w:hAnsi="Calibri"/>
      <w:sz w:val="18"/>
      <w:shd w:val="clear" w:color="auto" w:fill="E5F4F3"/>
    </w:rPr>
  </w:style>
  <w:style w:type="paragraph" w:customStyle="1" w:styleId="xl165">
    <w:name w:val="xl165"/>
    <w:basedOn w:val="Normal"/>
    <w:rsid w:val="003E6989"/>
    <w:pPr>
      <w:shd w:val="clear" w:color="FFFFFF" w:fill="FFFFFF"/>
      <w:spacing w:before="100" w:beforeAutospacing="1" w:after="100" w:afterAutospacing="1" w:line="240" w:lineRule="auto"/>
    </w:pPr>
    <w:rPr>
      <w:b/>
      <w:bCs/>
      <w:szCs w:val="18"/>
      <w:u w:val="single"/>
      <w:lang w:eastAsia="en-AU"/>
    </w:rPr>
  </w:style>
  <w:style w:type="paragraph" w:customStyle="1" w:styleId="xl166">
    <w:name w:val="xl166"/>
    <w:basedOn w:val="Normal"/>
    <w:rsid w:val="003E6989"/>
    <w:pPr>
      <w:pBdr>
        <w:top w:val="single" w:sz="4" w:space="0" w:color="auto"/>
        <w:left w:val="single" w:sz="4" w:space="0" w:color="auto"/>
        <w:bottom w:val="single" w:sz="4" w:space="0" w:color="auto"/>
      </w:pBdr>
      <w:shd w:val="clear" w:color="FFFFFF" w:fill="FFFFFF"/>
      <w:spacing w:before="100" w:beforeAutospacing="1" w:after="100" w:afterAutospacing="1" w:line="240" w:lineRule="auto"/>
      <w:jc w:val="center"/>
      <w:textAlignment w:val="center"/>
    </w:pPr>
    <w:rPr>
      <w:b/>
      <w:bCs/>
      <w:szCs w:val="18"/>
      <w:lang w:eastAsia="en-AU"/>
    </w:rPr>
  </w:style>
  <w:style w:type="paragraph" w:customStyle="1" w:styleId="xl167">
    <w:name w:val="xl167"/>
    <w:basedOn w:val="Normal"/>
    <w:rsid w:val="003E69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en-AU"/>
    </w:rPr>
  </w:style>
  <w:style w:type="paragraph" w:customStyle="1" w:styleId="xl168">
    <w:name w:val="xl168"/>
    <w:basedOn w:val="Normal"/>
    <w:rsid w:val="003E69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b/>
      <w:bCs/>
      <w:szCs w:val="18"/>
      <w:lang w:eastAsia="en-AU"/>
    </w:rPr>
  </w:style>
  <w:style w:type="paragraph" w:customStyle="1" w:styleId="xl169">
    <w:name w:val="xl169"/>
    <w:basedOn w:val="Normal"/>
    <w:rsid w:val="003E69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hAnsi="Times New Roman"/>
      <w:sz w:val="16"/>
      <w:szCs w:val="16"/>
      <w:lang w:eastAsia="en-AU"/>
    </w:rPr>
  </w:style>
  <w:style w:type="paragraph" w:customStyle="1" w:styleId="xl170">
    <w:name w:val="xl170"/>
    <w:basedOn w:val="Normal"/>
    <w:rsid w:val="003E69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szCs w:val="18"/>
      <w:lang w:eastAsia="en-AU"/>
    </w:rPr>
  </w:style>
  <w:style w:type="paragraph" w:customStyle="1" w:styleId="xl171">
    <w:name w:val="xl171"/>
    <w:basedOn w:val="Normal"/>
    <w:rsid w:val="003E69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b/>
      <w:bCs/>
      <w:i/>
      <w:iCs/>
      <w:szCs w:val="18"/>
      <w:lang w:eastAsia="en-AU"/>
    </w:rPr>
  </w:style>
  <w:style w:type="paragraph" w:customStyle="1" w:styleId="xl172">
    <w:name w:val="xl172"/>
    <w:basedOn w:val="Normal"/>
    <w:rsid w:val="003E6989"/>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right"/>
    </w:pPr>
    <w:rPr>
      <w:szCs w:val="18"/>
      <w:lang w:eastAsia="en-AU"/>
    </w:rPr>
  </w:style>
  <w:style w:type="paragraph" w:customStyle="1" w:styleId="xl173">
    <w:name w:val="xl173"/>
    <w:basedOn w:val="Normal"/>
    <w:rsid w:val="003E69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b/>
      <w:bCs/>
      <w:szCs w:val="18"/>
      <w:lang w:eastAsia="en-AU"/>
    </w:rPr>
  </w:style>
  <w:style w:type="paragraph" w:customStyle="1" w:styleId="xl174">
    <w:name w:val="xl174"/>
    <w:basedOn w:val="Normal"/>
    <w:rsid w:val="003E69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szCs w:val="18"/>
      <w:lang w:eastAsia="en-AU"/>
    </w:rPr>
  </w:style>
  <w:style w:type="paragraph" w:customStyle="1" w:styleId="xl175">
    <w:name w:val="xl175"/>
    <w:basedOn w:val="Normal"/>
    <w:rsid w:val="003E69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lang w:eastAsia="en-AU"/>
    </w:rPr>
  </w:style>
  <w:style w:type="paragraph" w:customStyle="1" w:styleId="xl176">
    <w:name w:val="xl176"/>
    <w:basedOn w:val="Normal"/>
    <w:rsid w:val="003E69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b/>
      <w:bCs/>
      <w:szCs w:val="18"/>
      <w:lang w:eastAsia="en-AU"/>
    </w:rPr>
  </w:style>
  <w:style w:type="paragraph" w:customStyle="1" w:styleId="xl177">
    <w:name w:val="xl177"/>
    <w:basedOn w:val="Normal"/>
    <w:rsid w:val="003E69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b/>
      <w:bCs/>
      <w:szCs w:val="18"/>
      <w:lang w:eastAsia="en-AU"/>
    </w:rPr>
  </w:style>
  <w:style w:type="paragraph" w:customStyle="1" w:styleId="xl178">
    <w:name w:val="xl178"/>
    <w:basedOn w:val="Normal"/>
    <w:rsid w:val="003E6989"/>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top"/>
    </w:pPr>
    <w:rPr>
      <w:b/>
      <w:bCs/>
      <w:szCs w:val="18"/>
      <w:lang w:eastAsia="en-AU"/>
    </w:rPr>
  </w:style>
  <w:style w:type="paragraph" w:customStyle="1" w:styleId="xl179">
    <w:name w:val="xl179"/>
    <w:basedOn w:val="Normal"/>
    <w:rsid w:val="003E6989"/>
    <w:pPr>
      <w:pBdr>
        <w:top w:val="single" w:sz="4" w:space="0" w:color="auto"/>
        <w:bottom w:val="single" w:sz="4" w:space="0" w:color="auto"/>
      </w:pBdr>
      <w:shd w:val="clear" w:color="000000" w:fill="D9D9D9"/>
      <w:spacing w:before="100" w:beforeAutospacing="1" w:after="100" w:afterAutospacing="1" w:line="240" w:lineRule="auto"/>
      <w:textAlignment w:val="top"/>
    </w:pPr>
    <w:rPr>
      <w:b/>
      <w:bCs/>
      <w:szCs w:val="18"/>
      <w:lang w:eastAsia="en-AU"/>
    </w:rPr>
  </w:style>
  <w:style w:type="paragraph" w:customStyle="1" w:styleId="xl180">
    <w:name w:val="xl180"/>
    <w:basedOn w:val="Normal"/>
    <w:rsid w:val="003E6989"/>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b/>
      <w:bCs/>
      <w:szCs w:val="18"/>
      <w:lang w:eastAsia="en-AU"/>
    </w:rPr>
  </w:style>
  <w:style w:type="paragraph" w:styleId="PlainText">
    <w:name w:val="Plain Text"/>
    <w:basedOn w:val="Normal"/>
    <w:link w:val="PlainTextChar"/>
    <w:uiPriority w:val="99"/>
    <w:semiHidden/>
    <w:unhideWhenUsed/>
    <w:rsid w:val="003E6989"/>
    <w:pPr>
      <w:spacing w:line="240" w:lineRule="auto"/>
    </w:pPr>
    <w:rPr>
      <w:rFonts w:eastAsiaTheme="minorHAnsi"/>
      <w:sz w:val="22"/>
      <w:szCs w:val="22"/>
    </w:rPr>
  </w:style>
  <w:style w:type="character" w:customStyle="1" w:styleId="PlainTextChar">
    <w:name w:val="Plain Text Char"/>
    <w:basedOn w:val="DefaultParagraphFont"/>
    <w:link w:val="PlainText"/>
    <w:uiPriority w:val="99"/>
    <w:semiHidden/>
    <w:rsid w:val="003E6989"/>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0" w:qFormat="1"/>
    <w:lsdException w:name="table of figures"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989"/>
    <w:pPr>
      <w:spacing w:line="260" w:lineRule="atLeast"/>
    </w:pPr>
    <w:rPr>
      <w:rFonts w:ascii="Calibri" w:hAnsi="Calibri"/>
      <w:sz w:val="18"/>
    </w:rPr>
  </w:style>
  <w:style w:type="paragraph" w:styleId="Heading1">
    <w:name w:val="heading 1"/>
    <w:aliases w:val="Heading 1 do not use,Section heading 1,Front Page Title,1.,Para 1,Para 11"/>
    <w:basedOn w:val="HeadingBase"/>
    <w:next w:val="Normal"/>
    <w:link w:val="Heading1Char"/>
    <w:qFormat/>
    <w:rsid w:val="00064A80"/>
    <w:pPr>
      <w:spacing w:after="240"/>
      <w:jc w:val="center"/>
      <w:outlineLvl w:val="0"/>
    </w:pPr>
    <w:rPr>
      <w:b/>
      <w:smallCaps/>
      <w:kern w:val="28"/>
      <w:sz w:val="34"/>
    </w:rPr>
  </w:style>
  <w:style w:type="paragraph" w:styleId="Heading2">
    <w:name w:val="heading 2"/>
    <w:aliases w:val="Heading 2 do not use,Front Page List of Sections"/>
    <w:basedOn w:val="HeadingBase"/>
    <w:next w:val="Normal"/>
    <w:link w:val="Heading2Char"/>
    <w:qFormat/>
    <w:rsid w:val="00064A80"/>
    <w:pPr>
      <w:spacing w:before="360" w:after="360"/>
      <w:outlineLvl w:val="1"/>
    </w:pPr>
    <w:rPr>
      <w:sz w:val="30"/>
    </w:rPr>
  </w:style>
  <w:style w:type="paragraph" w:styleId="Heading3">
    <w:name w:val="heading 3"/>
    <w:aliases w:val="Heading 3 do not use"/>
    <w:basedOn w:val="HeadingBase"/>
    <w:next w:val="Normal"/>
    <w:link w:val="Heading3Char"/>
    <w:qFormat/>
    <w:rsid w:val="00064A80"/>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064A80"/>
    <w:pPr>
      <w:tabs>
        <w:tab w:val="left" w:pos="709"/>
      </w:tabs>
      <w:spacing w:before="120" w:after="120"/>
      <w:outlineLvl w:val="3"/>
    </w:pPr>
    <w:rPr>
      <w:b/>
      <w:sz w:val="22"/>
    </w:rPr>
  </w:style>
  <w:style w:type="paragraph" w:styleId="Heading5">
    <w:name w:val="heading 5"/>
    <w:basedOn w:val="HeadingBase"/>
    <w:next w:val="Normal"/>
    <w:link w:val="Heading5Char"/>
    <w:qFormat/>
    <w:rsid w:val="00064A80"/>
    <w:pPr>
      <w:spacing w:after="120"/>
      <w:outlineLvl w:val="4"/>
    </w:pPr>
    <w:rPr>
      <w:b/>
      <w:bCs/>
      <w:iCs/>
      <w:sz w:val="20"/>
      <w:szCs w:val="26"/>
    </w:rPr>
  </w:style>
  <w:style w:type="paragraph" w:styleId="Heading6">
    <w:name w:val="heading 6"/>
    <w:basedOn w:val="HeadingBase"/>
    <w:next w:val="Normal"/>
    <w:link w:val="Heading6Char"/>
    <w:qFormat/>
    <w:rsid w:val="00064A80"/>
    <w:pPr>
      <w:spacing w:after="120"/>
      <w:outlineLvl w:val="5"/>
    </w:pPr>
    <w:rPr>
      <w:bCs/>
      <w:sz w:val="20"/>
      <w:szCs w:val="22"/>
    </w:rPr>
  </w:style>
  <w:style w:type="paragraph" w:styleId="Heading7">
    <w:name w:val="heading 7"/>
    <w:aliases w:val="Section Sub-Heading 4"/>
    <w:basedOn w:val="HeadingBase"/>
    <w:next w:val="Normal"/>
    <w:link w:val="Heading7Char"/>
    <w:qFormat/>
    <w:rsid w:val="00064A80"/>
    <w:pPr>
      <w:spacing w:after="100"/>
      <w:outlineLvl w:val="6"/>
    </w:pPr>
    <w:rPr>
      <w:sz w:val="18"/>
      <w:szCs w:val="24"/>
    </w:rPr>
  </w:style>
  <w:style w:type="paragraph" w:styleId="Heading8">
    <w:name w:val="heading 8"/>
    <w:basedOn w:val="HeadingBase"/>
    <w:next w:val="Normal"/>
    <w:link w:val="Heading8Char"/>
    <w:qFormat/>
    <w:rsid w:val="00064A80"/>
    <w:pPr>
      <w:spacing w:before="240" w:after="60"/>
      <w:outlineLvl w:val="7"/>
    </w:pPr>
    <w:rPr>
      <w:rFonts w:ascii="Times New Roman" w:hAnsi="Times New Roman"/>
      <w:i/>
      <w:iCs/>
      <w:sz w:val="16"/>
      <w:szCs w:val="24"/>
    </w:rPr>
  </w:style>
  <w:style w:type="paragraph" w:styleId="Heading9">
    <w:name w:val="heading 9"/>
    <w:basedOn w:val="Normal"/>
    <w:next w:val="Normal"/>
    <w:link w:val="Heading9Char"/>
    <w:qFormat/>
    <w:rsid w:val="003E698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064A80"/>
    <w:rPr>
      <w:rFonts w:ascii="Swiss 721 BT" w:hAnsi="Swiss 721 BT" w:cs="Swiss 721 BT" w:hint="default"/>
      <w:color w:val="000000"/>
      <w:sz w:val="20"/>
      <w:szCs w:val="20"/>
    </w:rPr>
  </w:style>
  <w:style w:type="paragraph" w:customStyle="1" w:styleId="AlphaParagraph">
    <w:name w:val="Alpha Paragraph"/>
    <w:basedOn w:val="Normal"/>
    <w:rsid w:val="00064A80"/>
    <w:pPr>
      <w:numPr>
        <w:numId w:val="1"/>
      </w:numPr>
    </w:pPr>
  </w:style>
  <w:style w:type="paragraph" w:customStyle="1" w:styleId="HeadingBase">
    <w:name w:val="Heading Base"/>
    <w:link w:val="HeadingBaseChar"/>
    <w:rsid w:val="00064A80"/>
    <w:pPr>
      <w:keepNext/>
    </w:pPr>
    <w:rPr>
      <w:rFonts w:ascii="Arial" w:hAnsi="Arial"/>
      <w:sz w:val="24"/>
      <w:lang w:eastAsia="en-AU"/>
    </w:rPr>
  </w:style>
  <w:style w:type="character" w:customStyle="1" w:styleId="HeadingBaseChar">
    <w:name w:val="Heading Base Char"/>
    <w:link w:val="HeadingBase"/>
    <w:rsid w:val="00064A80"/>
    <w:rPr>
      <w:rFonts w:ascii="Arial" w:hAnsi="Arial" w:cs="Times New Roman"/>
      <w:sz w:val="24"/>
      <w:szCs w:val="20"/>
      <w:lang w:eastAsia="en-AU"/>
    </w:rPr>
  </w:style>
  <w:style w:type="paragraph" w:customStyle="1" w:styleId="AppendixHeading">
    <w:name w:val="Appendix Heading"/>
    <w:basedOn w:val="HeadingBase"/>
    <w:semiHidden/>
    <w:rsid w:val="00064A80"/>
    <w:pPr>
      <w:spacing w:after="240"/>
      <w:jc w:val="center"/>
      <w:outlineLvl w:val="3"/>
    </w:pPr>
    <w:rPr>
      <w:b/>
      <w:smallCaps/>
      <w:sz w:val="30"/>
    </w:rPr>
  </w:style>
  <w:style w:type="paragraph" w:styleId="BalloonText">
    <w:name w:val="Balloon Text"/>
    <w:basedOn w:val="Normal"/>
    <w:link w:val="BalloonTextChar"/>
    <w:semiHidden/>
    <w:rsid w:val="00064A80"/>
    <w:rPr>
      <w:rFonts w:ascii="Tahoma" w:hAnsi="Tahoma" w:cs="Tahoma"/>
      <w:sz w:val="16"/>
      <w:szCs w:val="16"/>
    </w:rPr>
  </w:style>
  <w:style w:type="character" w:customStyle="1" w:styleId="BalloonTextChar">
    <w:name w:val="Balloon Text Char"/>
    <w:basedOn w:val="DefaultParagraphFont"/>
    <w:link w:val="BalloonText"/>
    <w:rsid w:val="00064A80"/>
    <w:rPr>
      <w:rFonts w:ascii="Tahoma" w:hAnsi="Tahoma" w:cs="Tahoma"/>
      <w:sz w:val="16"/>
      <w:szCs w:val="16"/>
      <w:lang w:eastAsia="en-AU"/>
    </w:rPr>
  </w:style>
  <w:style w:type="paragraph" w:customStyle="1" w:styleId="BlockedQuotation">
    <w:name w:val="Blocked Quotation"/>
    <w:basedOn w:val="Normal"/>
    <w:semiHidden/>
    <w:rsid w:val="00064A80"/>
    <w:pPr>
      <w:ind w:left="567"/>
    </w:pPr>
  </w:style>
  <w:style w:type="paragraph" w:customStyle="1" w:styleId="BoxTextBase">
    <w:name w:val="Box Text Base"/>
    <w:basedOn w:val="Normal"/>
    <w:rsid w:val="00064A80"/>
    <w:pPr>
      <w:spacing w:after="120"/>
    </w:pPr>
    <w:rPr>
      <w:color w:val="000000"/>
    </w:rPr>
  </w:style>
  <w:style w:type="paragraph" w:customStyle="1" w:styleId="BoxText">
    <w:name w:val="Box Text"/>
    <w:basedOn w:val="BoxTextBase"/>
    <w:rsid w:val="00064A80"/>
  </w:style>
  <w:style w:type="paragraph" w:customStyle="1" w:styleId="BoxBullet">
    <w:name w:val="Box Bullet"/>
    <w:basedOn w:val="BoxText"/>
    <w:rsid w:val="00064A80"/>
    <w:pPr>
      <w:numPr>
        <w:numId w:val="2"/>
      </w:numPr>
    </w:pPr>
  </w:style>
  <w:style w:type="paragraph" w:customStyle="1" w:styleId="BoxDash">
    <w:name w:val="Box Dash"/>
    <w:basedOn w:val="Normal"/>
    <w:rsid w:val="00064A80"/>
    <w:pPr>
      <w:numPr>
        <w:ilvl w:val="1"/>
        <w:numId w:val="2"/>
      </w:numPr>
    </w:pPr>
    <w:rPr>
      <w:color w:val="000000"/>
    </w:rPr>
  </w:style>
  <w:style w:type="paragraph" w:customStyle="1" w:styleId="BoxDoubleDot">
    <w:name w:val="Box Double Dot"/>
    <w:basedOn w:val="BoxTextBase"/>
    <w:rsid w:val="00064A80"/>
    <w:pPr>
      <w:numPr>
        <w:ilvl w:val="2"/>
        <w:numId w:val="2"/>
      </w:numPr>
    </w:pPr>
  </w:style>
  <w:style w:type="paragraph" w:customStyle="1" w:styleId="BoxHeading">
    <w:name w:val="Box Heading"/>
    <w:basedOn w:val="HeadingBase"/>
    <w:next w:val="BoxText"/>
    <w:rsid w:val="00064A80"/>
    <w:pPr>
      <w:spacing w:before="120" w:after="120"/>
    </w:pPr>
    <w:rPr>
      <w:b/>
      <w:sz w:val="20"/>
    </w:rPr>
  </w:style>
  <w:style w:type="paragraph" w:customStyle="1" w:styleId="BoxHeadinglevel2">
    <w:name w:val="Box Heading level 2"/>
    <w:basedOn w:val="BoxHeading"/>
    <w:rsid w:val="00064A80"/>
    <w:pPr>
      <w:spacing w:before="0"/>
    </w:pPr>
    <w:rPr>
      <w:sz w:val="18"/>
    </w:rPr>
  </w:style>
  <w:style w:type="paragraph" w:customStyle="1" w:styleId="Bullet">
    <w:name w:val="Bullet"/>
    <w:basedOn w:val="Normal"/>
    <w:link w:val="BulletChar"/>
    <w:rsid w:val="00064A80"/>
    <w:pPr>
      <w:numPr>
        <w:numId w:val="5"/>
      </w:numPr>
    </w:pPr>
  </w:style>
  <w:style w:type="character" w:customStyle="1" w:styleId="BulletChar">
    <w:name w:val="Bullet Char"/>
    <w:link w:val="Bullet"/>
    <w:rsid w:val="00064A80"/>
    <w:rPr>
      <w:rFonts w:ascii="Book Antiqua" w:hAnsi="Book Antiqua" w:cs="Times New Roman"/>
      <w:sz w:val="20"/>
      <w:szCs w:val="20"/>
      <w:lang w:eastAsia="en-AU"/>
    </w:rPr>
  </w:style>
  <w:style w:type="paragraph" w:styleId="Caption">
    <w:name w:val="caption"/>
    <w:basedOn w:val="Normal"/>
    <w:next w:val="Normal"/>
    <w:qFormat/>
    <w:rsid w:val="00064A80"/>
    <w:rPr>
      <w:b/>
      <w:bCs/>
    </w:rPr>
  </w:style>
  <w:style w:type="paragraph" w:customStyle="1" w:styleId="ChartandTableFootnote">
    <w:name w:val="Chart and Table Footnote"/>
    <w:basedOn w:val="HeadingBase"/>
    <w:next w:val="Normal"/>
    <w:link w:val="ChartandTableFootnoteChar"/>
    <w:rsid w:val="00064A80"/>
    <w:pPr>
      <w:tabs>
        <w:tab w:val="left" w:pos="284"/>
      </w:tabs>
      <w:ind w:left="284" w:hanging="284"/>
      <w:jc w:val="both"/>
    </w:pPr>
    <w:rPr>
      <w:sz w:val="16"/>
    </w:rPr>
  </w:style>
  <w:style w:type="character" w:customStyle="1" w:styleId="ChartandTableFootnoteChar">
    <w:name w:val="Chart and Table Footnote Char"/>
    <w:link w:val="ChartandTableFootnote"/>
    <w:rsid w:val="00064A80"/>
    <w:rPr>
      <w:rFonts w:ascii="Arial" w:hAnsi="Arial" w:cs="Times New Roman"/>
      <w:sz w:val="16"/>
      <w:szCs w:val="20"/>
      <w:lang w:eastAsia="en-AU"/>
    </w:rPr>
  </w:style>
  <w:style w:type="paragraph" w:customStyle="1" w:styleId="ChartandTableFootnoteAlpha">
    <w:name w:val="Chart and Table Footnote Alpha"/>
    <w:basedOn w:val="HeadingBase"/>
    <w:next w:val="Normal"/>
    <w:rsid w:val="00064A80"/>
    <w:pPr>
      <w:numPr>
        <w:numId w:val="3"/>
      </w:numPr>
      <w:jc w:val="both"/>
    </w:pPr>
    <w:rPr>
      <w:sz w:val="16"/>
    </w:rPr>
  </w:style>
  <w:style w:type="paragraph" w:customStyle="1" w:styleId="ChartandTableFootnoteAlphaSmall">
    <w:name w:val="Chart and Table Footnote Alpha Small"/>
    <w:basedOn w:val="HeadingBase"/>
    <w:next w:val="Normal"/>
    <w:rsid w:val="00064A80"/>
    <w:pPr>
      <w:numPr>
        <w:numId w:val="4"/>
      </w:numPr>
      <w:jc w:val="both"/>
    </w:pPr>
    <w:rPr>
      <w:sz w:val="15"/>
    </w:rPr>
  </w:style>
  <w:style w:type="paragraph" w:customStyle="1" w:styleId="ChartandTableFootnoteSmall">
    <w:name w:val="Chart and Table Footnote Small"/>
    <w:basedOn w:val="HeadingBase"/>
    <w:next w:val="Normal"/>
    <w:rsid w:val="00064A80"/>
    <w:pPr>
      <w:tabs>
        <w:tab w:val="left" w:pos="284"/>
      </w:tabs>
      <w:jc w:val="both"/>
    </w:pPr>
    <w:rPr>
      <w:sz w:val="15"/>
    </w:rPr>
  </w:style>
  <w:style w:type="paragraph" w:customStyle="1" w:styleId="ChartGraphic">
    <w:name w:val="Chart Graphic"/>
    <w:basedOn w:val="HeadingBase"/>
    <w:rsid w:val="00064A80"/>
    <w:pPr>
      <w:jc w:val="center"/>
    </w:pPr>
    <w:rPr>
      <w:sz w:val="20"/>
    </w:rPr>
  </w:style>
  <w:style w:type="paragraph" w:customStyle="1" w:styleId="ChartMainHeading">
    <w:name w:val="Chart Main Heading"/>
    <w:basedOn w:val="Normal"/>
    <w:next w:val="ChartGraphic"/>
    <w:rsid w:val="00064A80"/>
    <w:pPr>
      <w:keepNext/>
      <w:spacing w:before="120" w:after="20"/>
      <w:jc w:val="center"/>
    </w:pPr>
    <w:rPr>
      <w:rFonts w:ascii="Arial" w:hAnsi="Arial"/>
      <w:b/>
    </w:rPr>
  </w:style>
  <w:style w:type="paragraph" w:customStyle="1" w:styleId="ChartSecondHeading">
    <w:name w:val="Chart Second Heading"/>
    <w:basedOn w:val="HeadingBase"/>
    <w:next w:val="ChartGraphic"/>
    <w:rsid w:val="00064A80"/>
    <w:pPr>
      <w:spacing w:before="60"/>
      <w:jc w:val="center"/>
    </w:pPr>
    <w:rPr>
      <w:sz w:val="20"/>
    </w:rPr>
  </w:style>
  <w:style w:type="paragraph" w:customStyle="1" w:styleId="Classification">
    <w:name w:val="Classification"/>
    <w:basedOn w:val="HeadingBase"/>
    <w:rsid w:val="00064A80"/>
    <w:pPr>
      <w:jc w:val="center"/>
    </w:pPr>
    <w:rPr>
      <w:b/>
      <w:smallCaps/>
    </w:rPr>
  </w:style>
  <w:style w:type="character" w:styleId="CommentReference">
    <w:name w:val="annotation reference"/>
    <w:uiPriority w:val="99"/>
    <w:semiHidden/>
    <w:rsid w:val="00064A80"/>
    <w:rPr>
      <w:sz w:val="16"/>
      <w:szCs w:val="16"/>
    </w:rPr>
  </w:style>
  <w:style w:type="paragraph" w:styleId="CommentText">
    <w:name w:val="annotation text"/>
    <w:basedOn w:val="Normal"/>
    <w:link w:val="CommentTextChar"/>
    <w:uiPriority w:val="99"/>
    <w:semiHidden/>
    <w:rsid w:val="00064A80"/>
    <w:rPr>
      <w:lang w:val="x-none" w:eastAsia="x-none"/>
    </w:rPr>
  </w:style>
  <w:style w:type="character" w:customStyle="1" w:styleId="CommentTextChar">
    <w:name w:val="Comment Text Char"/>
    <w:link w:val="CommentText"/>
    <w:uiPriority w:val="99"/>
    <w:rsid w:val="00064A80"/>
    <w:rPr>
      <w:rFonts w:ascii="Book Antiqua" w:hAnsi="Book Antiqua" w:cs="Times New Roman"/>
      <w:sz w:val="20"/>
      <w:szCs w:val="20"/>
      <w:lang w:val="x-none" w:eastAsia="x-none"/>
    </w:rPr>
  </w:style>
  <w:style w:type="paragraph" w:styleId="CommentSubject">
    <w:name w:val="annotation subject"/>
    <w:basedOn w:val="CommentText"/>
    <w:next w:val="CommentText"/>
    <w:link w:val="CommentSubjectChar"/>
    <w:semiHidden/>
    <w:rsid w:val="00064A80"/>
    <w:rPr>
      <w:b/>
      <w:bCs/>
    </w:rPr>
  </w:style>
  <w:style w:type="character" w:customStyle="1" w:styleId="CommentSubjectChar">
    <w:name w:val="Comment Subject Char"/>
    <w:basedOn w:val="CommentTextChar"/>
    <w:link w:val="CommentSubject"/>
    <w:rsid w:val="00064A80"/>
    <w:rPr>
      <w:rFonts w:ascii="Book Antiqua" w:hAnsi="Book Antiqua" w:cs="Times New Roman"/>
      <w:b/>
      <w:bCs/>
      <w:sz w:val="20"/>
      <w:szCs w:val="20"/>
      <w:lang w:val="x-none" w:eastAsia="x-none"/>
    </w:rPr>
  </w:style>
  <w:style w:type="paragraph" w:customStyle="1" w:styleId="ContentsHeading">
    <w:name w:val="Contents Heading"/>
    <w:basedOn w:val="HeadingBase"/>
    <w:next w:val="Normal"/>
    <w:rsid w:val="00064A80"/>
    <w:pPr>
      <w:spacing w:after="360"/>
      <w:jc w:val="center"/>
    </w:pPr>
    <w:rPr>
      <w:b/>
      <w:smallCaps/>
      <w:sz w:val="34"/>
    </w:rPr>
  </w:style>
  <w:style w:type="paragraph" w:customStyle="1" w:styleId="Crest">
    <w:name w:val="Crest"/>
    <w:basedOn w:val="Normal"/>
    <w:next w:val="Normal"/>
    <w:rsid w:val="00064A80"/>
    <w:pPr>
      <w:jc w:val="center"/>
    </w:pPr>
  </w:style>
  <w:style w:type="paragraph" w:customStyle="1" w:styleId="Dash">
    <w:name w:val="Dash"/>
    <w:basedOn w:val="Normal"/>
    <w:rsid w:val="00064A80"/>
    <w:pPr>
      <w:numPr>
        <w:ilvl w:val="1"/>
        <w:numId w:val="5"/>
      </w:numPr>
    </w:pPr>
  </w:style>
  <w:style w:type="paragraph" w:customStyle="1" w:styleId="Department">
    <w:name w:val="Department"/>
    <w:basedOn w:val="Normal"/>
    <w:rsid w:val="00064A80"/>
    <w:pPr>
      <w:jc w:val="center"/>
    </w:pPr>
    <w:rPr>
      <w:rFonts w:ascii="Arial" w:hAnsi="Arial"/>
      <w:b/>
      <w:sz w:val="52"/>
    </w:rPr>
  </w:style>
  <w:style w:type="paragraph" w:customStyle="1" w:styleId="DepartmentSubtitle">
    <w:name w:val="Department Subtitle"/>
    <w:basedOn w:val="Department"/>
    <w:rsid w:val="00064A80"/>
    <w:rPr>
      <w:sz w:val="44"/>
    </w:rPr>
  </w:style>
  <w:style w:type="paragraph" w:styleId="DocumentMap">
    <w:name w:val="Document Map"/>
    <w:basedOn w:val="Normal"/>
    <w:link w:val="DocumentMapChar"/>
    <w:semiHidden/>
    <w:rsid w:val="00064A80"/>
    <w:pPr>
      <w:shd w:val="clear" w:color="auto" w:fill="000080"/>
    </w:pPr>
    <w:rPr>
      <w:rFonts w:ascii="Tahoma" w:hAnsi="Tahoma" w:cs="Tahoma"/>
    </w:rPr>
  </w:style>
  <w:style w:type="character" w:customStyle="1" w:styleId="DocumentMapChar">
    <w:name w:val="Document Map Char"/>
    <w:basedOn w:val="DefaultParagraphFont"/>
    <w:link w:val="DocumentMap"/>
    <w:rsid w:val="00064A80"/>
    <w:rPr>
      <w:rFonts w:ascii="Tahoma" w:hAnsi="Tahoma" w:cs="Tahoma"/>
      <w:sz w:val="20"/>
      <w:szCs w:val="20"/>
      <w:shd w:val="clear" w:color="auto" w:fill="000080"/>
      <w:lang w:eastAsia="en-AU"/>
    </w:rPr>
  </w:style>
  <w:style w:type="paragraph" w:customStyle="1" w:styleId="DoubleDot">
    <w:name w:val="Double Dot"/>
    <w:basedOn w:val="Normal"/>
    <w:rsid w:val="00064A80"/>
    <w:pPr>
      <w:numPr>
        <w:ilvl w:val="2"/>
        <w:numId w:val="5"/>
      </w:numPr>
    </w:pPr>
  </w:style>
  <w:style w:type="character" w:styleId="EndnoteReference">
    <w:name w:val="endnote reference"/>
    <w:rsid w:val="00064A80"/>
    <w:rPr>
      <w:vertAlign w:val="superscript"/>
    </w:rPr>
  </w:style>
  <w:style w:type="paragraph" w:styleId="EndnoteText">
    <w:name w:val="endnote text"/>
    <w:basedOn w:val="Normal"/>
    <w:link w:val="EndnoteTextChar"/>
    <w:rsid w:val="00064A80"/>
  </w:style>
  <w:style w:type="character" w:customStyle="1" w:styleId="EndnoteTextChar">
    <w:name w:val="Endnote Text Char"/>
    <w:basedOn w:val="DefaultParagraphFont"/>
    <w:link w:val="EndnoteText"/>
    <w:rsid w:val="00064A80"/>
    <w:rPr>
      <w:rFonts w:ascii="Book Antiqua" w:hAnsi="Book Antiqua" w:cs="Times New Roman"/>
      <w:sz w:val="20"/>
      <w:szCs w:val="20"/>
      <w:lang w:eastAsia="en-AU"/>
    </w:rPr>
  </w:style>
  <w:style w:type="paragraph" w:customStyle="1" w:styleId="Exampletext">
    <w:name w:val="Example text"/>
    <w:basedOn w:val="Normal"/>
    <w:link w:val="ExampletextCharChar"/>
    <w:rsid w:val="00064A80"/>
    <w:rPr>
      <w:i/>
      <w:color w:val="FF0000"/>
    </w:rPr>
  </w:style>
  <w:style w:type="character" w:customStyle="1" w:styleId="ExampletextCharChar">
    <w:name w:val="Example text Char Char"/>
    <w:link w:val="Exampletext"/>
    <w:rsid w:val="00064A80"/>
    <w:rPr>
      <w:rFonts w:ascii="Book Antiqua" w:hAnsi="Book Antiqua" w:cs="Times New Roman"/>
      <w:i/>
      <w:color w:val="FF0000"/>
      <w:sz w:val="20"/>
      <w:szCs w:val="20"/>
      <w:lang w:eastAsia="en-AU"/>
    </w:rPr>
  </w:style>
  <w:style w:type="paragraph" w:customStyle="1" w:styleId="ExampleText0">
    <w:name w:val="Example Text"/>
    <w:basedOn w:val="Normal"/>
    <w:rsid w:val="00064A80"/>
    <w:rPr>
      <w:i/>
      <w:color w:val="FF0000"/>
    </w:rPr>
  </w:style>
  <w:style w:type="paragraph" w:customStyle="1" w:styleId="Exampletextbullet">
    <w:name w:val="Example text bullet"/>
    <w:basedOn w:val="Exampletext"/>
    <w:rsid w:val="00064A80"/>
    <w:pPr>
      <w:numPr>
        <w:numId w:val="6"/>
      </w:numPr>
    </w:pPr>
  </w:style>
  <w:style w:type="paragraph" w:customStyle="1" w:styleId="Exampletextdash">
    <w:name w:val="Example text dash"/>
    <w:basedOn w:val="Exampletextbullet"/>
    <w:rsid w:val="00064A80"/>
    <w:pPr>
      <w:numPr>
        <w:ilvl w:val="1"/>
      </w:numPr>
    </w:pPr>
  </w:style>
  <w:style w:type="paragraph" w:customStyle="1" w:styleId="FigureHeading">
    <w:name w:val="Figure Heading"/>
    <w:basedOn w:val="HeadingBase"/>
    <w:next w:val="ChartGraphic"/>
    <w:rsid w:val="00064A80"/>
    <w:pPr>
      <w:spacing w:after="120"/>
      <w:jc w:val="center"/>
    </w:pPr>
    <w:rPr>
      <w:b/>
      <w:sz w:val="20"/>
    </w:rPr>
  </w:style>
  <w:style w:type="paragraph" w:customStyle="1" w:styleId="FileProperties">
    <w:name w:val="File Properties"/>
    <w:basedOn w:val="Normal"/>
    <w:semiHidden/>
    <w:rsid w:val="00064A80"/>
    <w:rPr>
      <w:i/>
    </w:rPr>
  </w:style>
  <w:style w:type="character" w:styleId="FollowedHyperlink">
    <w:name w:val="FollowedHyperlink"/>
    <w:uiPriority w:val="99"/>
    <w:rsid w:val="00064A80"/>
    <w:rPr>
      <w:color w:val="800080"/>
      <w:u w:val="single"/>
    </w:rPr>
  </w:style>
  <w:style w:type="paragraph" w:customStyle="1" w:styleId="FooterBase">
    <w:name w:val="Footer Base"/>
    <w:rsid w:val="00064A80"/>
    <w:pPr>
      <w:jc w:val="center"/>
    </w:pPr>
    <w:rPr>
      <w:rFonts w:ascii="Arial" w:hAnsi="Arial"/>
      <w:lang w:eastAsia="en-AU"/>
    </w:rPr>
  </w:style>
  <w:style w:type="paragraph" w:styleId="Footer">
    <w:name w:val="footer"/>
    <w:basedOn w:val="FooterBase"/>
    <w:link w:val="FooterChar"/>
    <w:uiPriority w:val="99"/>
    <w:rsid w:val="00064A80"/>
    <w:pPr>
      <w:tabs>
        <w:tab w:val="center" w:pos="4153"/>
        <w:tab w:val="right" w:pos="8306"/>
      </w:tabs>
    </w:pPr>
  </w:style>
  <w:style w:type="character" w:customStyle="1" w:styleId="FooterChar">
    <w:name w:val="Footer Char"/>
    <w:basedOn w:val="DefaultParagraphFont"/>
    <w:link w:val="Footer"/>
    <w:uiPriority w:val="99"/>
    <w:rsid w:val="00064A80"/>
    <w:rPr>
      <w:rFonts w:ascii="Arial" w:hAnsi="Arial" w:cs="Times New Roman"/>
      <w:sz w:val="20"/>
      <w:szCs w:val="20"/>
      <w:lang w:eastAsia="en-AU"/>
    </w:rPr>
  </w:style>
  <w:style w:type="character" w:styleId="FootnoteReference">
    <w:name w:val="footnote reference"/>
    <w:uiPriority w:val="99"/>
    <w:rsid w:val="00064A80"/>
    <w:rPr>
      <w:vertAlign w:val="superscript"/>
    </w:rPr>
  </w:style>
  <w:style w:type="paragraph" w:styleId="FootnoteText">
    <w:name w:val="footnote text"/>
    <w:basedOn w:val="Normal"/>
    <w:link w:val="FootnoteTextChar"/>
    <w:rsid w:val="00064A80"/>
    <w:pPr>
      <w:tabs>
        <w:tab w:val="left" w:pos="284"/>
      </w:tabs>
      <w:ind w:left="284" w:hanging="284"/>
    </w:pPr>
  </w:style>
  <w:style w:type="character" w:customStyle="1" w:styleId="FootnoteTextChar">
    <w:name w:val="Footnote Text Char"/>
    <w:basedOn w:val="DefaultParagraphFont"/>
    <w:link w:val="FootnoteText"/>
    <w:rsid w:val="00064A80"/>
    <w:rPr>
      <w:rFonts w:ascii="Book Antiqua" w:hAnsi="Book Antiqua" w:cs="Times New Roman"/>
      <w:sz w:val="18"/>
      <w:szCs w:val="20"/>
      <w:lang w:eastAsia="en-AU"/>
    </w:rPr>
  </w:style>
  <w:style w:type="character" w:customStyle="1" w:styleId="FramedHeader">
    <w:name w:val="Framed Header"/>
    <w:rsid w:val="00064A80"/>
    <w:rPr>
      <w:rFonts w:ascii="Book Antiqua" w:hAnsi="Book Antiqua"/>
      <w:i/>
      <w:dstrike w:val="0"/>
      <w:color w:val="auto"/>
      <w:sz w:val="18"/>
      <w:vertAlign w:val="baseline"/>
    </w:rPr>
  </w:style>
  <w:style w:type="paragraph" w:customStyle="1" w:styleId="HeaderBase">
    <w:name w:val="Header Base"/>
    <w:rsid w:val="00064A80"/>
    <w:rPr>
      <w:rFonts w:ascii="Book Antiqua" w:hAnsi="Book Antiqua"/>
      <w:i/>
      <w:lang w:eastAsia="en-AU"/>
    </w:rPr>
  </w:style>
  <w:style w:type="paragraph" w:styleId="Header">
    <w:name w:val="header"/>
    <w:basedOn w:val="HeaderBase"/>
    <w:link w:val="HeaderChar"/>
    <w:uiPriority w:val="99"/>
    <w:rsid w:val="00064A80"/>
    <w:pPr>
      <w:tabs>
        <w:tab w:val="center" w:pos="4153"/>
        <w:tab w:val="right" w:pos="8306"/>
      </w:tabs>
    </w:pPr>
    <w:rPr>
      <w:lang w:val="x-none" w:eastAsia="x-none"/>
    </w:rPr>
  </w:style>
  <w:style w:type="character" w:customStyle="1" w:styleId="HeaderChar">
    <w:name w:val="Header Char"/>
    <w:link w:val="Header"/>
    <w:uiPriority w:val="99"/>
    <w:rsid w:val="00064A80"/>
    <w:rPr>
      <w:rFonts w:ascii="Book Antiqua" w:hAnsi="Book Antiqua" w:cs="Times New Roman"/>
      <w:i/>
      <w:sz w:val="20"/>
      <w:szCs w:val="20"/>
      <w:lang w:val="x-none" w:eastAsia="x-none"/>
    </w:rPr>
  </w:style>
  <w:style w:type="paragraph" w:customStyle="1" w:styleId="HeaderEven">
    <w:name w:val="Header Even"/>
    <w:basedOn w:val="HeaderBase"/>
    <w:rsid w:val="00064A80"/>
  </w:style>
  <w:style w:type="paragraph" w:customStyle="1" w:styleId="HeaderOdd">
    <w:name w:val="Header Odd"/>
    <w:basedOn w:val="HeaderBase"/>
    <w:rsid w:val="00064A80"/>
    <w:pPr>
      <w:jc w:val="right"/>
    </w:pPr>
  </w:style>
  <w:style w:type="character" w:customStyle="1" w:styleId="Heading1Char">
    <w:name w:val="Heading 1 Char"/>
    <w:aliases w:val="Heading 1 do not use Char,Section heading 1 Char,Front Page Title Char,1. Char,Para 1 Char,Para 11 Char"/>
    <w:basedOn w:val="DefaultParagraphFont"/>
    <w:link w:val="Heading1"/>
    <w:rsid w:val="00F25D1B"/>
    <w:rPr>
      <w:rFonts w:ascii="Arial" w:hAnsi="Arial" w:cs="Times New Roman"/>
      <w:b/>
      <w:smallCaps/>
      <w:kern w:val="28"/>
      <w:sz w:val="34"/>
      <w:szCs w:val="20"/>
      <w:lang w:eastAsia="en-AU"/>
    </w:rPr>
  </w:style>
  <w:style w:type="paragraph" w:customStyle="1" w:styleId="Heading1noTOC">
    <w:name w:val="Heading 1 no TOC"/>
    <w:basedOn w:val="Heading1"/>
    <w:rsid w:val="00064A80"/>
  </w:style>
  <w:style w:type="character" w:customStyle="1" w:styleId="Heading2Char">
    <w:name w:val="Heading 2 Char"/>
    <w:aliases w:val="Heading 2 do not use Char,Front Page List of Sections Char"/>
    <w:basedOn w:val="DefaultParagraphFont"/>
    <w:link w:val="Heading2"/>
    <w:rsid w:val="00F25D1B"/>
    <w:rPr>
      <w:rFonts w:ascii="Arial" w:hAnsi="Arial" w:cs="Times New Roman"/>
      <w:sz w:val="30"/>
      <w:szCs w:val="20"/>
      <w:lang w:eastAsia="en-AU"/>
    </w:rPr>
  </w:style>
  <w:style w:type="character" w:customStyle="1" w:styleId="Heading3Char">
    <w:name w:val="Heading 3 Char"/>
    <w:aliases w:val="Heading 3 do not use Char"/>
    <w:link w:val="Heading3"/>
    <w:rsid w:val="00064A80"/>
    <w:rPr>
      <w:rFonts w:ascii="Arial" w:hAnsi="Arial" w:cs="Times New Roman"/>
      <w:b/>
      <w:smallCaps/>
      <w:sz w:val="26"/>
      <w:szCs w:val="20"/>
      <w:lang w:eastAsia="en-AU"/>
    </w:rPr>
  </w:style>
  <w:style w:type="character" w:customStyle="1" w:styleId="Heading4Char">
    <w:name w:val="Heading 4 Char"/>
    <w:basedOn w:val="DefaultParagraphFont"/>
    <w:link w:val="Heading4"/>
    <w:rsid w:val="00F25D1B"/>
    <w:rPr>
      <w:rFonts w:ascii="Arial" w:hAnsi="Arial" w:cs="Times New Roman"/>
      <w:b/>
      <w:szCs w:val="20"/>
      <w:lang w:eastAsia="en-AU"/>
    </w:rPr>
  </w:style>
  <w:style w:type="character" w:customStyle="1" w:styleId="Heading5Char">
    <w:name w:val="Heading 5 Char"/>
    <w:basedOn w:val="DefaultParagraphFont"/>
    <w:link w:val="Heading5"/>
    <w:rsid w:val="00F25D1B"/>
    <w:rPr>
      <w:rFonts w:ascii="Arial" w:hAnsi="Arial" w:cs="Times New Roman"/>
      <w:b/>
      <w:bCs/>
      <w:iCs/>
      <w:sz w:val="20"/>
      <w:szCs w:val="26"/>
      <w:lang w:eastAsia="en-AU"/>
    </w:rPr>
  </w:style>
  <w:style w:type="character" w:customStyle="1" w:styleId="Heading6Char">
    <w:name w:val="Heading 6 Char"/>
    <w:basedOn w:val="DefaultParagraphFont"/>
    <w:link w:val="Heading6"/>
    <w:rsid w:val="00F25D1B"/>
    <w:rPr>
      <w:rFonts w:ascii="Arial" w:hAnsi="Arial" w:cs="Times New Roman"/>
      <w:bCs/>
      <w:sz w:val="20"/>
      <w:lang w:eastAsia="en-AU"/>
    </w:rPr>
  </w:style>
  <w:style w:type="character" w:customStyle="1" w:styleId="Heading7Char">
    <w:name w:val="Heading 7 Char"/>
    <w:aliases w:val="Section Sub-Heading 4 Char"/>
    <w:basedOn w:val="DefaultParagraphFont"/>
    <w:link w:val="Heading7"/>
    <w:rsid w:val="00F25D1B"/>
    <w:rPr>
      <w:rFonts w:ascii="Arial" w:hAnsi="Arial" w:cs="Times New Roman"/>
      <w:sz w:val="18"/>
      <w:szCs w:val="24"/>
      <w:lang w:eastAsia="en-AU"/>
    </w:rPr>
  </w:style>
  <w:style w:type="character" w:customStyle="1" w:styleId="Heading8Char">
    <w:name w:val="Heading 8 Char"/>
    <w:basedOn w:val="DefaultParagraphFont"/>
    <w:link w:val="Heading8"/>
    <w:rsid w:val="00F25D1B"/>
    <w:rPr>
      <w:rFonts w:ascii="Times New Roman" w:hAnsi="Times New Roman" w:cs="Times New Roman"/>
      <w:i/>
      <w:iCs/>
      <w:sz w:val="16"/>
      <w:szCs w:val="24"/>
      <w:lang w:eastAsia="en-AU"/>
    </w:rPr>
  </w:style>
  <w:style w:type="character" w:customStyle="1" w:styleId="HiddenSequenceCode">
    <w:name w:val="Hidden Sequence Code"/>
    <w:semiHidden/>
    <w:rsid w:val="00064A80"/>
    <w:rPr>
      <w:rFonts w:ascii="Times New Roman" w:hAnsi="Times New Roman"/>
      <w:vanish/>
      <w:sz w:val="16"/>
    </w:rPr>
  </w:style>
  <w:style w:type="character" w:styleId="Hyperlink">
    <w:name w:val="Hyperlink"/>
    <w:uiPriority w:val="99"/>
    <w:rsid w:val="00064A80"/>
    <w:rPr>
      <w:color w:val="0000FF"/>
      <w:u w:val="single"/>
    </w:rPr>
  </w:style>
  <w:style w:type="paragraph" w:styleId="Index1">
    <w:name w:val="index 1"/>
    <w:basedOn w:val="Normal"/>
    <w:next w:val="Normal"/>
    <w:autoRedefine/>
    <w:semiHidden/>
    <w:rsid w:val="00064A80"/>
    <w:pPr>
      <w:ind w:left="200" w:hanging="200"/>
    </w:pPr>
  </w:style>
  <w:style w:type="paragraph" w:styleId="Index2">
    <w:name w:val="index 2"/>
    <w:basedOn w:val="Normal"/>
    <w:next w:val="Normal"/>
    <w:autoRedefine/>
    <w:semiHidden/>
    <w:rsid w:val="00064A80"/>
    <w:pPr>
      <w:ind w:left="400" w:hanging="200"/>
    </w:pPr>
  </w:style>
  <w:style w:type="paragraph" w:styleId="Index3">
    <w:name w:val="index 3"/>
    <w:basedOn w:val="Normal"/>
    <w:next w:val="Normal"/>
    <w:autoRedefine/>
    <w:semiHidden/>
    <w:rsid w:val="00064A80"/>
    <w:pPr>
      <w:ind w:left="600" w:hanging="200"/>
    </w:pPr>
  </w:style>
  <w:style w:type="paragraph" w:styleId="Index4">
    <w:name w:val="index 4"/>
    <w:basedOn w:val="Normal"/>
    <w:next w:val="Normal"/>
    <w:autoRedefine/>
    <w:semiHidden/>
    <w:rsid w:val="00064A80"/>
    <w:pPr>
      <w:ind w:left="800" w:hanging="200"/>
    </w:pPr>
  </w:style>
  <w:style w:type="paragraph" w:styleId="Index5">
    <w:name w:val="index 5"/>
    <w:basedOn w:val="Normal"/>
    <w:next w:val="Normal"/>
    <w:autoRedefine/>
    <w:semiHidden/>
    <w:rsid w:val="00064A80"/>
    <w:pPr>
      <w:ind w:left="1000" w:hanging="200"/>
    </w:pPr>
  </w:style>
  <w:style w:type="paragraph" w:styleId="Index6">
    <w:name w:val="index 6"/>
    <w:basedOn w:val="Normal"/>
    <w:next w:val="Normal"/>
    <w:autoRedefine/>
    <w:semiHidden/>
    <w:rsid w:val="00064A80"/>
    <w:pPr>
      <w:ind w:left="1200" w:hanging="200"/>
    </w:pPr>
  </w:style>
  <w:style w:type="paragraph" w:styleId="Index7">
    <w:name w:val="index 7"/>
    <w:basedOn w:val="Normal"/>
    <w:next w:val="Normal"/>
    <w:autoRedefine/>
    <w:semiHidden/>
    <w:rsid w:val="00064A80"/>
    <w:pPr>
      <w:ind w:left="1400" w:hanging="200"/>
    </w:pPr>
  </w:style>
  <w:style w:type="paragraph" w:styleId="Index8">
    <w:name w:val="index 8"/>
    <w:basedOn w:val="Normal"/>
    <w:next w:val="Normal"/>
    <w:autoRedefine/>
    <w:semiHidden/>
    <w:rsid w:val="00064A80"/>
    <w:pPr>
      <w:ind w:left="1600" w:hanging="200"/>
    </w:pPr>
  </w:style>
  <w:style w:type="paragraph" w:styleId="Index9">
    <w:name w:val="index 9"/>
    <w:basedOn w:val="Normal"/>
    <w:next w:val="Normal"/>
    <w:autoRedefine/>
    <w:semiHidden/>
    <w:rsid w:val="00064A80"/>
    <w:pPr>
      <w:ind w:left="1800" w:hanging="200"/>
    </w:pPr>
  </w:style>
  <w:style w:type="paragraph" w:styleId="IndexHeading">
    <w:name w:val="index heading"/>
    <w:basedOn w:val="Normal"/>
    <w:next w:val="Index1"/>
    <w:semiHidden/>
    <w:rsid w:val="00064A80"/>
    <w:rPr>
      <w:rFonts w:ascii="Arial" w:hAnsi="Arial" w:cs="Arial"/>
      <w:b/>
      <w:bCs/>
    </w:rPr>
  </w:style>
  <w:style w:type="paragraph" w:styleId="ListParagraph">
    <w:name w:val="List Paragraph"/>
    <w:basedOn w:val="Normal"/>
    <w:link w:val="ListParagraphChar"/>
    <w:qFormat/>
    <w:rsid w:val="00064A80"/>
    <w:pPr>
      <w:spacing w:after="200" w:line="276" w:lineRule="auto"/>
      <w:ind w:left="720"/>
      <w:contextualSpacing/>
    </w:pPr>
    <w:rPr>
      <w:rFonts w:eastAsia="Calibri"/>
      <w:sz w:val="22"/>
      <w:szCs w:val="22"/>
      <w:lang w:val="en-US"/>
    </w:rPr>
  </w:style>
  <w:style w:type="paragraph" w:styleId="MacroText">
    <w:name w:val="macro"/>
    <w:link w:val="MacroTextChar"/>
    <w:semiHidden/>
    <w:rsid w:val="00064A80"/>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lang w:eastAsia="en-AU"/>
    </w:rPr>
  </w:style>
  <w:style w:type="character" w:customStyle="1" w:styleId="MacroTextChar">
    <w:name w:val="Macro Text Char"/>
    <w:basedOn w:val="DefaultParagraphFont"/>
    <w:link w:val="MacroText"/>
    <w:rsid w:val="00064A80"/>
    <w:rPr>
      <w:rFonts w:ascii="Courier New" w:hAnsi="Courier New" w:cs="Courier New"/>
      <w:sz w:val="20"/>
      <w:szCs w:val="20"/>
      <w:lang w:eastAsia="en-AU"/>
    </w:rPr>
  </w:style>
  <w:style w:type="paragraph" w:styleId="NoSpacing">
    <w:name w:val="No Spacing"/>
    <w:uiPriority w:val="1"/>
    <w:qFormat/>
    <w:rsid w:val="00064A80"/>
    <w:pPr>
      <w:jc w:val="both"/>
    </w:pPr>
    <w:rPr>
      <w:rFonts w:ascii="Book Antiqua" w:hAnsi="Book Antiqua"/>
      <w:lang w:eastAsia="en-AU"/>
    </w:rPr>
  </w:style>
  <w:style w:type="paragraph" w:styleId="NormalWeb">
    <w:name w:val="Normal (Web)"/>
    <w:basedOn w:val="Normal"/>
    <w:uiPriority w:val="99"/>
    <w:unhideWhenUsed/>
    <w:rsid w:val="00064A80"/>
    <w:pPr>
      <w:spacing w:before="100" w:beforeAutospacing="1" w:after="100" w:afterAutospacing="1"/>
    </w:pPr>
    <w:rPr>
      <w:rFonts w:eastAsiaTheme="minorEastAsia"/>
      <w:sz w:val="24"/>
      <w:szCs w:val="24"/>
    </w:rPr>
  </w:style>
  <w:style w:type="paragraph" w:styleId="NormalIndent">
    <w:name w:val="Normal Indent"/>
    <w:basedOn w:val="Normal"/>
    <w:rsid w:val="00064A80"/>
    <w:pPr>
      <w:ind w:left="567"/>
    </w:pPr>
  </w:style>
  <w:style w:type="paragraph" w:customStyle="1" w:styleId="NoteTableHeading">
    <w:name w:val="Note Table Heading"/>
    <w:basedOn w:val="HeadingBase"/>
    <w:next w:val="Normal"/>
    <w:semiHidden/>
    <w:rsid w:val="00064A80"/>
    <w:pPr>
      <w:spacing w:before="240"/>
    </w:pPr>
    <w:rPr>
      <w:b/>
      <w:sz w:val="20"/>
    </w:rPr>
  </w:style>
  <w:style w:type="paragraph" w:customStyle="1" w:styleId="Outcome">
    <w:name w:val="Outcome"/>
    <w:basedOn w:val="Normal"/>
    <w:rsid w:val="00064A80"/>
    <w:pPr>
      <w:spacing w:before="120" w:after="120" w:line="280" w:lineRule="exact"/>
    </w:pPr>
    <w:rPr>
      <w:rFonts w:ascii="Arial" w:hAnsi="Arial" w:cs="Arial"/>
      <w:b/>
    </w:rPr>
  </w:style>
  <w:style w:type="paragraph" w:customStyle="1" w:styleId="OverviewParagraph">
    <w:name w:val="Overview Paragraph"/>
    <w:basedOn w:val="Normal"/>
    <w:semiHidden/>
    <w:rsid w:val="00064A80"/>
    <w:pPr>
      <w:spacing w:before="120" w:after="120"/>
    </w:pPr>
  </w:style>
  <w:style w:type="character" w:styleId="PageNumber">
    <w:name w:val="page number"/>
    <w:uiPriority w:val="99"/>
    <w:rsid w:val="00064A80"/>
    <w:rPr>
      <w:rFonts w:ascii="Arial" w:hAnsi="Arial" w:cs="Arial"/>
    </w:rPr>
  </w:style>
  <w:style w:type="paragraph" w:styleId="Title">
    <w:name w:val="Title"/>
    <w:basedOn w:val="Normal"/>
    <w:link w:val="TitleChar"/>
    <w:qFormat/>
    <w:rsid w:val="00064A80"/>
    <w:pPr>
      <w:jc w:val="center"/>
      <w:outlineLvl w:val="0"/>
    </w:pPr>
    <w:rPr>
      <w:rFonts w:ascii="Arial" w:hAnsi="Arial" w:cs="Arial"/>
      <w:b/>
      <w:bCs/>
      <w:caps/>
      <w:kern w:val="28"/>
      <w:sz w:val="52"/>
      <w:szCs w:val="32"/>
    </w:rPr>
  </w:style>
  <w:style w:type="character" w:customStyle="1" w:styleId="TitleChar">
    <w:name w:val="Title Char"/>
    <w:basedOn w:val="DefaultParagraphFont"/>
    <w:link w:val="Title"/>
    <w:rsid w:val="00064A80"/>
    <w:rPr>
      <w:rFonts w:ascii="Arial" w:hAnsi="Arial" w:cs="Arial"/>
      <w:b/>
      <w:bCs/>
      <w:caps/>
      <w:kern w:val="28"/>
      <w:sz w:val="52"/>
      <w:szCs w:val="32"/>
      <w:lang w:eastAsia="en-AU"/>
    </w:rPr>
  </w:style>
  <w:style w:type="paragraph" w:customStyle="1" w:styleId="Part">
    <w:name w:val="Part"/>
    <w:basedOn w:val="Title"/>
    <w:next w:val="Normal"/>
    <w:rsid w:val="00064A80"/>
    <w:rPr>
      <w:caps w:val="0"/>
      <w:smallCaps/>
    </w:rPr>
  </w:style>
  <w:style w:type="paragraph" w:customStyle="1" w:styleId="PartHeading">
    <w:name w:val="Part Heading"/>
    <w:basedOn w:val="Part"/>
    <w:next w:val="Normal"/>
    <w:rsid w:val="00064A80"/>
  </w:style>
  <w:style w:type="paragraph" w:customStyle="1" w:styleId="ProgramHeading">
    <w:name w:val="Program Heading"/>
    <w:basedOn w:val="HeadingBase"/>
    <w:rsid w:val="00064A80"/>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064A80"/>
  </w:style>
  <w:style w:type="paragraph" w:customStyle="1" w:styleId="SingleParagraph">
    <w:name w:val="Single Paragraph"/>
    <w:basedOn w:val="Normal"/>
    <w:rsid w:val="00064A80"/>
  </w:style>
  <w:style w:type="paragraph" w:customStyle="1" w:styleId="Source">
    <w:name w:val="Source"/>
    <w:basedOn w:val="Normal"/>
    <w:rsid w:val="00064A80"/>
    <w:pPr>
      <w:tabs>
        <w:tab w:val="left" w:pos="284"/>
      </w:tabs>
    </w:pPr>
    <w:rPr>
      <w:rFonts w:ascii="Arial" w:hAnsi="Arial"/>
      <w:sz w:val="16"/>
    </w:rPr>
  </w:style>
  <w:style w:type="paragraph" w:customStyle="1" w:styleId="TableColumnHeadingBase">
    <w:name w:val="Table Column Heading Base"/>
    <w:basedOn w:val="Normal"/>
    <w:rsid w:val="00064A80"/>
    <w:pPr>
      <w:spacing w:before="60" w:after="60"/>
    </w:pPr>
    <w:rPr>
      <w:rFonts w:ascii="Arial" w:hAnsi="Arial"/>
      <w:b/>
    </w:rPr>
  </w:style>
  <w:style w:type="paragraph" w:customStyle="1" w:styleId="TableColumnHeadingCentred">
    <w:name w:val="Table Column Heading Centred"/>
    <w:basedOn w:val="TableColumnHeadingBase"/>
    <w:next w:val="Normal"/>
    <w:rsid w:val="00064A80"/>
    <w:pPr>
      <w:jc w:val="center"/>
    </w:pPr>
  </w:style>
  <w:style w:type="paragraph" w:customStyle="1" w:styleId="TableColumnHeadingLeft">
    <w:name w:val="Table Column Heading Left"/>
    <w:basedOn w:val="TableColumnHeadingBase"/>
    <w:next w:val="Normal"/>
    <w:rsid w:val="00064A80"/>
  </w:style>
  <w:style w:type="paragraph" w:customStyle="1" w:styleId="TableColumnHeadingRight">
    <w:name w:val="Table Column Heading Right"/>
    <w:basedOn w:val="TableColumnHeadingBase"/>
    <w:next w:val="Normal"/>
    <w:rsid w:val="00064A80"/>
    <w:pPr>
      <w:jc w:val="right"/>
    </w:pPr>
  </w:style>
  <w:style w:type="paragraph" w:customStyle="1" w:styleId="TableColumnOutgroupHeading">
    <w:name w:val="Table Column Outgroup Heading"/>
    <w:basedOn w:val="Normal"/>
    <w:rsid w:val="00064A80"/>
    <w:pPr>
      <w:spacing w:before="60" w:after="120"/>
    </w:pPr>
    <w:rPr>
      <w:b/>
      <w:sz w:val="22"/>
    </w:rPr>
  </w:style>
  <w:style w:type="paragraph" w:customStyle="1" w:styleId="TableColumnOutgroupSubheading">
    <w:name w:val="Table Column Outgroup Subheading"/>
    <w:basedOn w:val="Normal"/>
    <w:rsid w:val="00064A80"/>
    <w:pPr>
      <w:spacing w:before="60" w:after="120"/>
      <w:jc w:val="center"/>
    </w:pPr>
  </w:style>
  <w:style w:type="paragraph" w:customStyle="1" w:styleId="TableGraphic">
    <w:name w:val="Table Graphic"/>
    <w:basedOn w:val="Normal"/>
    <w:next w:val="Normal"/>
    <w:rsid w:val="00064A80"/>
    <w:pPr>
      <w:ind w:right="-113"/>
    </w:pPr>
  </w:style>
  <w:style w:type="table" w:styleId="TableGrid">
    <w:name w:val="Table Grid"/>
    <w:basedOn w:val="TableNormal"/>
    <w:uiPriority w:val="59"/>
    <w:rsid w:val="00064A80"/>
    <w:pPr>
      <w:spacing w:after="240" w:line="260" w:lineRule="exact"/>
      <w:jc w:val="both"/>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link w:val="TableHeadingChar"/>
    <w:rsid w:val="00064A80"/>
    <w:pPr>
      <w:spacing w:before="120" w:after="20"/>
    </w:pPr>
    <w:rPr>
      <w:b/>
    </w:rPr>
  </w:style>
  <w:style w:type="character" w:customStyle="1" w:styleId="TableHeadingChar">
    <w:name w:val="Table Heading Char"/>
    <w:link w:val="TableHeading"/>
    <w:rsid w:val="00064A80"/>
    <w:rPr>
      <w:rFonts w:ascii="Arial" w:hAnsi="Arial" w:cs="Times New Roman"/>
      <w:b/>
      <w:sz w:val="24"/>
      <w:szCs w:val="20"/>
      <w:lang w:eastAsia="en-AU"/>
    </w:rPr>
  </w:style>
  <w:style w:type="paragraph" w:customStyle="1" w:styleId="TableHeadingcontinued">
    <w:name w:val="Table Heading continued"/>
    <w:basedOn w:val="HeadingBase"/>
    <w:next w:val="TableGraphic"/>
    <w:rsid w:val="00064A80"/>
    <w:pPr>
      <w:spacing w:before="120" w:after="20"/>
    </w:pPr>
    <w:rPr>
      <w:rFonts w:ascii="Arial Bold" w:hAnsi="Arial Bold"/>
      <w:b/>
      <w:sz w:val="20"/>
    </w:rPr>
  </w:style>
  <w:style w:type="paragraph" w:customStyle="1" w:styleId="TableHeadingNoTable">
    <w:name w:val="Table Heading No Table"/>
    <w:basedOn w:val="TableHeading"/>
    <w:next w:val="Normal"/>
    <w:rsid w:val="00064A80"/>
    <w:pPr>
      <w:spacing w:after="240"/>
    </w:pPr>
  </w:style>
  <w:style w:type="paragraph" w:styleId="TableofAuthorities">
    <w:name w:val="table of authorities"/>
    <w:basedOn w:val="Normal"/>
    <w:next w:val="Normal"/>
    <w:semiHidden/>
    <w:rsid w:val="00064A80"/>
    <w:pPr>
      <w:ind w:left="200" w:hanging="200"/>
    </w:pPr>
  </w:style>
  <w:style w:type="paragraph" w:styleId="TableofFigures">
    <w:name w:val="table of figures"/>
    <w:basedOn w:val="Normal"/>
    <w:next w:val="Normal"/>
    <w:semiHidden/>
    <w:rsid w:val="00064A80"/>
  </w:style>
  <w:style w:type="paragraph" w:customStyle="1" w:styleId="TableTextBase">
    <w:name w:val="Table Text Base"/>
    <w:basedOn w:val="Normal"/>
    <w:link w:val="TableTextBaseChar"/>
    <w:rsid w:val="00064A80"/>
    <w:pPr>
      <w:spacing w:before="60" w:after="60"/>
    </w:pPr>
    <w:rPr>
      <w:rFonts w:ascii="Arial" w:hAnsi="Arial"/>
    </w:rPr>
  </w:style>
  <w:style w:type="character" w:customStyle="1" w:styleId="TableTextBaseChar">
    <w:name w:val="Table Text Base Char"/>
    <w:link w:val="TableTextBase"/>
    <w:rsid w:val="00064A80"/>
    <w:rPr>
      <w:rFonts w:ascii="Arial" w:hAnsi="Arial" w:cs="Times New Roman"/>
      <w:sz w:val="18"/>
      <w:szCs w:val="20"/>
      <w:lang w:eastAsia="en-AU"/>
    </w:rPr>
  </w:style>
  <w:style w:type="paragraph" w:customStyle="1" w:styleId="TableTextBullet">
    <w:name w:val="Table Text Bullet"/>
    <w:basedOn w:val="TableTextBase"/>
    <w:rsid w:val="00064A80"/>
  </w:style>
  <w:style w:type="paragraph" w:customStyle="1" w:styleId="TableTextCentred">
    <w:name w:val="Table Text Centred"/>
    <w:basedOn w:val="TableTextBase"/>
    <w:rsid w:val="00064A80"/>
    <w:pPr>
      <w:jc w:val="center"/>
    </w:pPr>
  </w:style>
  <w:style w:type="paragraph" w:customStyle="1" w:styleId="TableTextDash">
    <w:name w:val="Table Text Dash"/>
    <w:basedOn w:val="TableTextBase"/>
    <w:rsid w:val="00064A80"/>
    <w:pPr>
      <w:numPr>
        <w:ilvl w:val="1"/>
        <w:numId w:val="8"/>
      </w:numPr>
    </w:pPr>
  </w:style>
  <w:style w:type="paragraph" w:customStyle="1" w:styleId="TableTextIndented">
    <w:name w:val="Table Text Indented"/>
    <w:basedOn w:val="TableTextBase"/>
    <w:rsid w:val="00064A80"/>
    <w:pPr>
      <w:ind w:left="284"/>
    </w:pPr>
  </w:style>
  <w:style w:type="paragraph" w:customStyle="1" w:styleId="TableTextJustified">
    <w:name w:val="Table Text Justified"/>
    <w:basedOn w:val="TableTextBase"/>
    <w:rsid w:val="00064A80"/>
    <w:pPr>
      <w:jc w:val="both"/>
    </w:pPr>
  </w:style>
  <w:style w:type="paragraph" w:customStyle="1" w:styleId="TableTextLeft">
    <w:name w:val="Table Text Left"/>
    <w:basedOn w:val="TableTextBase"/>
    <w:link w:val="TableTextLeftChar"/>
    <w:rsid w:val="00064A80"/>
  </w:style>
  <w:style w:type="character" w:customStyle="1" w:styleId="TableTextLeftChar">
    <w:name w:val="Table Text Left Char"/>
    <w:basedOn w:val="TableTextBaseChar"/>
    <w:link w:val="TableTextLeft"/>
    <w:rsid w:val="00064A80"/>
    <w:rPr>
      <w:rFonts w:ascii="Arial" w:hAnsi="Arial" w:cs="Times New Roman"/>
      <w:sz w:val="18"/>
      <w:szCs w:val="20"/>
      <w:lang w:eastAsia="en-AU"/>
    </w:rPr>
  </w:style>
  <w:style w:type="paragraph" w:customStyle="1" w:styleId="TableTextRight">
    <w:name w:val="Table Text Right"/>
    <w:basedOn w:val="TableTextBase"/>
    <w:rsid w:val="00064A80"/>
    <w:pPr>
      <w:jc w:val="right"/>
    </w:pPr>
  </w:style>
  <w:style w:type="paragraph" w:customStyle="1" w:styleId="Title2ndLevel">
    <w:name w:val="Title 2nd Level"/>
    <w:basedOn w:val="Title"/>
    <w:rsid w:val="00064A80"/>
    <w:rPr>
      <w:sz w:val="24"/>
    </w:rPr>
  </w:style>
  <w:style w:type="paragraph" w:customStyle="1" w:styleId="Title3rdLevel">
    <w:name w:val="Title 3rd Level"/>
    <w:basedOn w:val="Normal"/>
    <w:next w:val="Title"/>
    <w:rsid w:val="00064A80"/>
    <w:pPr>
      <w:jc w:val="center"/>
    </w:pPr>
    <w:rPr>
      <w:rFonts w:ascii="Arial" w:hAnsi="Arial"/>
      <w:caps/>
    </w:rPr>
  </w:style>
  <w:style w:type="paragraph" w:styleId="TOAHeading">
    <w:name w:val="toa heading"/>
    <w:basedOn w:val="Normal"/>
    <w:next w:val="Normal"/>
    <w:semiHidden/>
    <w:rsid w:val="00064A80"/>
    <w:pPr>
      <w:spacing w:before="120"/>
    </w:pPr>
    <w:rPr>
      <w:rFonts w:ascii="Arial" w:hAnsi="Arial" w:cs="Arial"/>
      <w:b/>
      <w:bCs/>
      <w:sz w:val="24"/>
      <w:szCs w:val="24"/>
    </w:rPr>
  </w:style>
  <w:style w:type="paragraph" w:styleId="TOC1">
    <w:name w:val="toc 1"/>
    <w:basedOn w:val="HeaderBase"/>
    <w:next w:val="Normal"/>
    <w:uiPriority w:val="39"/>
    <w:rsid w:val="00064A80"/>
    <w:pPr>
      <w:spacing w:before="240" w:after="120" w:line="260" w:lineRule="atLeast"/>
    </w:pPr>
    <w:rPr>
      <w:rFonts w:asciiTheme="minorHAnsi" w:hAnsiTheme="minorHAnsi" w:cstheme="minorHAnsi"/>
      <w:b/>
      <w:bCs/>
      <w:i w:val="0"/>
      <w:lang w:eastAsia="en-US"/>
    </w:rPr>
  </w:style>
  <w:style w:type="paragraph" w:styleId="TOC2">
    <w:name w:val="toc 2"/>
    <w:basedOn w:val="HeadingBase"/>
    <w:next w:val="Normal"/>
    <w:uiPriority w:val="39"/>
    <w:rsid w:val="00064A80"/>
    <w:pPr>
      <w:keepNext w:val="0"/>
      <w:spacing w:before="120" w:line="260" w:lineRule="atLeast"/>
      <w:ind w:left="180"/>
    </w:pPr>
    <w:rPr>
      <w:rFonts w:asciiTheme="minorHAnsi" w:hAnsiTheme="minorHAnsi" w:cstheme="minorHAnsi"/>
      <w:i/>
      <w:iCs/>
      <w:sz w:val="20"/>
      <w:lang w:eastAsia="en-US"/>
    </w:rPr>
  </w:style>
  <w:style w:type="paragraph" w:styleId="TOC3">
    <w:name w:val="toc 3"/>
    <w:basedOn w:val="HeadingBase"/>
    <w:next w:val="Normal"/>
    <w:uiPriority w:val="39"/>
    <w:rsid w:val="00064A80"/>
    <w:pPr>
      <w:keepNext w:val="0"/>
      <w:spacing w:line="260" w:lineRule="atLeast"/>
      <w:ind w:left="360"/>
    </w:pPr>
    <w:rPr>
      <w:rFonts w:asciiTheme="minorHAnsi" w:hAnsiTheme="minorHAnsi" w:cstheme="minorHAnsi"/>
      <w:sz w:val="20"/>
      <w:lang w:eastAsia="en-US"/>
    </w:rPr>
  </w:style>
  <w:style w:type="paragraph" w:styleId="TOC4">
    <w:name w:val="toc 4"/>
    <w:basedOn w:val="HeadingBase"/>
    <w:next w:val="Normal"/>
    <w:rsid w:val="00064A80"/>
    <w:pPr>
      <w:keepNext w:val="0"/>
      <w:spacing w:line="260" w:lineRule="atLeast"/>
      <w:ind w:left="540"/>
    </w:pPr>
    <w:rPr>
      <w:rFonts w:asciiTheme="minorHAnsi" w:hAnsiTheme="minorHAnsi" w:cstheme="minorHAnsi"/>
      <w:sz w:val="20"/>
      <w:lang w:eastAsia="en-US"/>
    </w:rPr>
  </w:style>
  <w:style w:type="paragraph" w:styleId="TOC5">
    <w:name w:val="toc 5"/>
    <w:basedOn w:val="Normal"/>
    <w:next w:val="Normal"/>
    <w:autoRedefine/>
    <w:semiHidden/>
    <w:rsid w:val="00064A80"/>
    <w:pPr>
      <w:ind w:left="720"/>
    </w:pPr>
    <w:rPr>
      <w:rFonts w:asciiTheme="minorHAnsi" w:hAnsiTheme="minorHAnsi" w:cstheme="minorHAnsi"/>
      <w:sz w:val="20"/>
    </w:rPr>
  </w:style>
  <w:style w:type="paragraph" w:styleId="TOC6">
    <w:name w:val="toc 6"/>
    <w:basedOn w:val="Normal"/>
    <w:next w:val="Normal"/>
    <w:autoRedefine/>
    <w:semiHidden/>
    <w:rsid w:val="00064A80"/>
    <w:pPr>
      <w:ind w:left="900"/>
    </w:pPr>
    <w:rPr>
      <w:rFonts w:asciiTheme="minorHAnsi" w:hAnsiTheme="minorHAnsi" w:cstheme="minorHAnsi"/>
      <w:sz w:val="20"/>
    </w:rPr>
  </w:style>
  <w:style w:type="paragraph" w:styleId="TOC7">
    <w:name w:val="toc 7"/>
    <w:basedOn w:val="Normal"/>
    <w:next w:val="Normal"/>
    <w:autoRedefine/>
    <w:semiHidden/>
    <w:rsid w:val="00064A80"/>
    <w:pPr>
      <w:ind w:left="1080"/>
    </w:pPr>
    <w:rPr>
      <w:rFonts w:asciiTheme="minorHAnsi" w:hAnsiTheme="minorHAnsi" w:cstheme="minorHAnsi"/>
      <w:sz w:val="20"/>
    </w:rPr>
  </w:style>
  <w:style w:type="paragraph" w:styleId="TOC8">
    <w:name w:val="toc 8"/>
    <w:basedOn w:val="Normal"/>
    <w:next w:val="Normal"/>
    <w:autoRedefine/>
    <w:semiHidden/>
    <w:rsid w:val="00064A80"/>
    <w:pPr>
      <w:ind w:left="1260"/>
    </w:pPr>
    <w:rPr>
      <w:rFonts w:asciiTheme="minorHAnsi" w:hAnsiTheme="minorHAnsi" w:cstheme="minorHAnsi"/>
      <w:sz w:val="20"/>
    </w:rPr>
  </w:style>
  <w:style w:type="paragraph" w:styleId="TOC9">
    <w:name w:val="toc 9"/>
    <w:basedOn w:val="Normal"/>
    <w:next w:val="Normal"/>
    <w:autoRedefine/>
    <w:semiHidden/>
    <w:rsid w:val="00064A80"/>
    <w:pPr>
      <w:ind w:left="1440"/>
    </w:pPr>
    <w:rPr>
      <w:rFonts w:asciiTheme="minorHAnsi" w:hAnsiTheme="minorHAnsi" w:cstheme="minorHAnsi"/>
      <w:sz w:val="20"/>
    </w:rPr>
  </w:style>
  <w:style w:type="paragraph" w:customStyle="1" w:styleId="TPHeading1">
    <w:name w:val="TP Heading 1"/>
    <w:basedOn w:val="HeadingBase"/>
    <w:rsid w:val="00064A80"/>
    <w:rPr>
      <w:b/>
      <w:caps/>
      <w:sz w:val="52"/>
    </w:rPr>
  </w:style>
  <w:style w:type="paragraph" w:customStyle="1" w:styleId="TPHeading2">
    <w:name w:val="TP Heading 2"/>
    <w:basedOn w:val="HeadingBase"/>
    <w:rsid w:val="00064A80"/>
    <w:pPr>
      <w:jc w:val="center"/>
    </w:pPr>
    <w:rPr>
      <w:rFonts w:ascii="Georgia" w:hAnsi="Georgia"/>
      <w:caps/>
    </w:rPr>
  </w:style>
  <w:style w:type="paragraph" w:customStyle="1" w:styleId="TPHeading3">
    <w:name w:val="TP Heading 3"/>
    <w:basedOn w:val="HeadingBase"/>
    <w:rsid w:val="00064A80"/>
    <w:rPr>
      <w:rFonts w:ascii="Georgia" w:hAnsi="Georgia"/>
      <w:caps/>
    </w:rPr>
  </w:style>
  <w:style w:type="paragraph" w:customStyle="1" w:styleId="TransmittalAddressee">
    <w:name w:val="Transmittal Addressee"/>
    <w:basedOn w:val="Normal"/>
    <w:rsid w:val="00064A80"/>
  </w:style>
  <w:style w:type="paragraph" w:customStyle="1" w:styleId="TransmittalStyle1">
    <w:name w:val="Transmittal Style 1"/>
    <w:basedOn w:val="HeadingBase"/>
    <w:rsid w:val="00064A80"/>
    <w:pPr>
      <w:spacing w:after="60"/>
      <w:jc w:val="right"/>
    </w:pPr>
    <w:rPr>
      <w:b/>
      <w:smallCaps/>
    </w:rPr>
  </w:style>
  <w:style w:type="paragraph" w:customStyle="1" w:styleId="TransmittalStyle2">
    <w:name w:val="Transmittal Style 2"/>
    <w:basedOn w:val="HeadingBase"/>
    <w:rsid w:val="00064A80"/>
    <w:pPr>
      <w:spacing w:before="60" w:after="60"/>
      <w:jc w:val="right"/>
    </w:pPr>
    <w:rPr>
      <w:rFonts w:ascii="Helvetica" w:hAnsi="Helvetica"/>
      <w:b/>
      <w:caps/>
      <w:sz w:val="16"/>
    </w:rPr>
  </w:style>
  <w:style w:type="paragraph" w:customStyle="1" w:styleId="UserGuidelevelTOC">
    <w:name w:val="UserGuide level TOC"/>
    <w:basedOn w:val="HeadingBase"/>
    <w:next w:val="Normal"/>
    <w:rsid w:val="00064A80"/>
    <w:pPr>
      <w:spacing w:before="360" w:after="360"/>
    </w:pPr>
    <w:rPr>
      <w:sz w:val="30"/>
    </w:rPr>
  </w:style>
  <w:style w:type="character" w:customStyle="1" w:styleId="ActTitleetc">
    <w:name w:val="Act_Title_etc"/>
    <w:basedOn w:val="DefaultParagraphFont"/>
    <w:uiPriority w:val="1"/>
    <w:qFormat/>
    <w:rsid w:val="00C21DC5"/>
    <w:rPr>
      <w:i/>
    </w:rPr>
  </w:style>
  <w:style w:type="paragraph" w:customStyle="1" w:styleId="ARImage">
    <w:name w:val="AR_Image"/>
    <w:next w:val="Normal"/>
    <w:link w:val="ARImageChar"/>
    <w:qFormat/>
    <w:rsid w:val="00D1404A"/>
    <w:pPr>
      <w:spacing w:before="120" w:after="120"/>
    </w:pPr>
    <w:rPr>
      <w:rFonts w:ascii="Arial" w:hAnsi="Arial"/>
      <w:b/>
      <w:smallCaps/>
      <w:noProof/>
      <w:sz w:val="30"/>
      <w:lang w:eastAsia="en-AU"/>
    </w:rPr>
  </w:style>
  <w:style w:type="character" w:customStyle="1" w:styleId="ARImageChar">
    <w:name w:val="AR_Image Char"/>
    <w:basedOn w:val="DefaultParagraphFont"/>
    <w:link w:val="ARImage"/>
    <w:rsid w:val="00D1404A"/>
    <w:rPr>
      <w:rFonts w:ascii="Arial" w:hAnsi="Arial" w:cs="Times New Roman"/>
      <w:b/>
      <w:smallCaps/>
      <w:noProof/>
      <w:sz w:val="30"/>
      <w:szCs w:val="20"/>
      <w:lang w:eastAsia="en-AU"/>
    </w:rPr>
  </w:style>
  <w:style w:type="paragraph" w:customStyle="1" w:styleId="TableSubHeading">
    <w:name w:val="Table_Sub_Heading"/>
    <w:basedOn w:val="Heading5"/>
    <w:qFormat/>
    <w:rsid w:val="00A12DF6"/>
    <w:pPr>
      <w:spacing w:before="60" w:after="20"/>
    </w:pPr>
  </w:style>
  <w:style w:type="paragraph" w:customStyle="1" w:styleId="ARTableColumnHeadingBase">
    <w:name w:val="AR Table Column Heading Base"/>
    <w:basedOn w:val="Normal"/>
    <w:link w:val="ARTableColumnHeadingBaseChar"/>
    <w:locked/>
    <w:rsid w:val="00200175"/>
    <w:pPr>
      <w:spacing w:before="60" w:after="60"/>
    </w:pPr>
    <w:rPr>
      <w:rFonts w:ascii="Arial" w:eastAsiaTheme="minorEastAsia" w:hAnsi="Arial" w:cstheme="minorBidi"/>
      <w:i/>
      <w:szCs w:val="18"/>
    </w:rPr>
  </w:style>
  <w:style w:type="character" w:customStyle="1" w:styleId="ARTableColumnHeadingBaseChar">
    <w:name w:val="AR Table Column Heading Base Char"/>
    <w:basedOn w:val="DefaultParagraphFont"/>
    <w:link w:val="ARTableColumnHeadingBase"/>
    <w:rsid w:val="00200175"/>
    <w:rPr>
      <w:rFonts w:ascii="Arial" w:eastAsiaTheme="minorEastAsia" w:hAnsi="Arial"/>
      <w:i/>
      <w:sz w:val="18"/>
      <w:szCs w:val="18"/>
    </w:rPr>
  </w:style>
  <w:style w:type="paragraph" w:customStyle="1" w:styleId="ARTableColumnHeadingCentred">
    <w:name w:val="AR Table Column Heading Centred"/>
    <w:basedOn w:val="ARTableTextCentred"/>
    <w:next w:val="Normal"/>
    <w:locked/>
    <w:rsid w:val="00200175"/>
    <w:rPr>
      <w:i/>
    </w:rPr>
  </w:style>
  <w:style w:type="paragraph" w:customStyle="1" w:styleId="ARTableTextBase">
    <w:name w:val="AR Table Text Base"/>
    <w:basedOn w:val="Normal"/>
    <w:link w:val="ARTableTextBaseChar"/>
    <w:locked/>
    <w:rsid w:val="00200175"/>
    <w:pPr>
      <w:spacing w:before="60" w:after="60"/>
    </w:pPr>
    <w:rPr>
      <w:rFonts w:ascii="Arial" w:eastAsiaTheme="minorEastAsia" w:hAnsi="Arial" w:cstheme="minorBidi"/>
      <w:szCs w:val="22"/>
    </w:rPr>
  </w:style>
  <w:style w:type="character" w:customStyle="1" w:styleId="ARTableTextBaseChar">
    <w:name w:val="AR Table Text Base Char"/>
    <w:link w:val="ARTableTextBase"/>
    <w:rsid w:val="00200175"/>
    <w:rPr>
      <w:rFonts w:ascii="Arial" w:eastAsiaTheme="minorEastAsia" w:hAnsi="Arial"/>
      <w:sz w:val="18"/>
    </w:rPr>
  </w:style>
  <w:style w:type="paragraph" w:customStyle="1" w:styleId="ARTableTextCentred">
    <w:name w:val="AR Table Text Centred"/>
    <w:basedOn w:val="ARTableTextBase"/>
    <w:rsid w:val="00200175"/>
    <w:pPr>
      <w:jc w:val="center"/>
    </w:pPr>
  </w:style>
  <w:style w:type="paragraph" w:customStyle="1" w:styleId="ARTableColumnHeadingLeft">
    <w:name w:val="AR Table Column Heading Left"/>
    <w:basedOn w:val="ARTableTextBase"/>
    <w:next w:val="Normal"/>
    <w:rsid w:val="00200175"/>
    <w:pPr>
      <w:keepNext/>
    </w:pPr>
    <w:rPr>
      <w:i/>
    </w:rPr>
  </w:style>
  <w:style w:type="paragraph" w:customStyle="1" w:styleId="ARTableTextRight">
    <w:name w:val="AR Table Text Right"/>
    <w:basedOn w:val="ARTableTextBase"/>
    <w:locked/>
    <w:rsid w:val="00200175"/>
    <w:pPr>
      <w:jc w:val="right"/>
    </w:pPr>
  </w:style>
  <w:style w:type="paragraph" w:customStyle="1" w:styleId="ARTableColumnHeadingRight">
    <w:name w:val="AR Table Column Heading Right"/>
    <w:basedOn w:val="ARTableTextRight"/>
    <w:next w:val="Normal"/>
    <w:locked/>
    <w:rsid w:val="00200175"/>
    <w:rPr>
      <w:i/>
    </w:rPr>
  </w:style>
  <w:style w:type="paragraph" w:customStyle="1" w:styleId="ARTableTextBullet">
    <w:name w:val="AR Table Text Bullet"/>
    <w:basedOn w:val="ARTableTextBase"/>
    <w:locked/>
    <w:rsid w:val="00200175"/>
    <w:pPr>
      <w:numPr>
        <w:numId w:val="8"/>
      </w:numPr>
    </w:pPr>
  </w:style>
  <w:style w:type="paragraph" w:customStyle="1" w:styleId="ARTableTextLeft">
    <w:name w:val="AR Table Text Left"/>
    <w:basedOn w:val="ARTableTextBase"/>
    <w:link w:val="ARTableTextLeftChar"/>
    <w:rsid w:val="00200175"/>
  </w:style>
  <w:style w:type="character" w:customStyle="1" w:styleId="ARTableTextLeftChar">
    <w:name w:val="AR Table Text Left Char"/>
    <w:basedOn w:val="ARTableTextBaseChar"/>
    <w:link w:val="ARTableTextLeft"/>
    <w:rsid w:val="00200175"/>
    <w:rPr>
      <w:rFonts w:ascii="Arial" w:eastAsiaTheme="minorEastAsia" w:hAnsi="Arial"/>
      <w:sz w:val="18"/>
    </w:rPr>
  </w:style>
  <w:style w:type="paragraph" w:customStyle="1" w:styleId="ARTableSubHeading">
    <w:name w:val="AR Table_Sub_Heading"/>
    <w:basedOn w:val="ARTableColumnHeadingBase"/>
    <w:autoRedefine/>
    <w:qFormat/>
    <w:rsid w:val="003B65F3"/>
    <w:pPr>
      <w:keepNext/>
    </w:pPr>
    <w:rPr>
      <w:b/>
      <w:i w:val="0"/>
      <w:sz w:val="20"/>
    </w:rPr>
  </w:style>
  <w:style w:type="paragraph" w:customStyle="1" w:styleId="ARTableFootnoteText">
    <w:name w:val="AR Table Footnote Text"/>
    <w:basedOn w:val="FootnoteText"/>
    <w:qFormat/>
    <w:rsid w:val="002233E3"/>
    <w:pPr>
      <w:tabs>
        <w:tab w:val="clear" w:pos="284"/>
      </w:tabs>
      <w:ind w:left="426"/>
    </w:pPr>
    <w:rPr>
      <w:rFonts w:asciiTheme="minorHAnsi" w:eastAsiaTheme="minorEastAsia" w:hAnsiTheme="minorHAnsi" w:cstheme="minorBidi"/>
      <w:szCs w:val="22"/>
    </w:rPr>
  </w:style>
  <w:style w:type="paragraph" w:customStyle="1" w:styleId="PBS16copyrightpageitalics">
    <w:name w:val="PBS16 copyright page italics"/>
    <w:basedOn w:val="Normal"/>
    <w:rsid w:val="00F161B2"/>
    <w:pPr>
      <w:ind w:firstLine="720"/>
    </w:pPr>
    <w:rPr>
      <w:i/>
      <w:iCs/>
    </w:rPr>
  </w:style>
  <w:style w:type="paragraph" w:customStyle="1" w:styleId="PBS16NormalLeft">
    <w:name w:val="PBS16 Normal Left"/>
    <w:basedOn w:val="Normal"/>
    <w:rsid w:val="00F161B2"/>
  </w:style>
  <w:style w:type="character" w:customStyle="1" w:styleId="PBS16Actsitalics">
    <w:name w:val="PBS16 Acts (italics)"/>
    <w:basedOn w:val="DefaultParagraphFont"/>
    <w:uiPriority w:val="1"/>
    <w:rsid w:val="00F161B2"/>
    <w:rPr>
      <w:i/>
    </w:rPr>
  </w:style>
  <w:style w:type="paragraph" w:customStyle="1" w:styleId="PBS16ChartGraphicLeft">
    <w:name w:val="PBS16 Chart Graphic Left"/>
    <w:basedOn w:val="ChartGraphic"/>
    <w:rsid w:val="00F161B2"/>
    <w:pPr>
      <w:spacing w:after="240" w:line="240" w:lineRule="atLeast"/>
      <w:jc w:val="left"/>
    </w:pPr>
    <w:rPr>
      <w:noProof/>
    </w:rPr>
  </w:style>
  <w:style w:type="paragraph" w:customStyle="1" w:styleId="PBS16copyrightpagebold">
    <w:name w:val="PBS16 copyright page bold"/>
    <w:basedOn w:val="Normal"/>
    <w:next w:val="Normal"/>
    <w:rsid w:val="00F161B2"/>
    <w:rPr>
      <w:b/>
    </w:rPr>
  </w:style>
  <w:style w:type="paragraph" w:customStyle="1" w:styleId="PBS16indentedlist">
    <w:name w:val="PBS16 indented list"/>
    <w:rsid w:val="00F161B2"/>
    <w:pPr>
      <w:tabs>
        <w:tab w:val="left" w:pos="2268"/>
      </w:tabs>
      <w:spacing w:after="240" w:line="260" w:lineRule="exact"/>
      <w:ind w:left="567"/>
    </w:pPr>
    <w:rPr>
      <w:rFonts w:ascii="Book Antiqua" w:hAnsi="Book Antiqua"/>
      <w:lang w:eastAsia="en-AU"/>
    </w:rPr>
  </w:style>
  <w:style w:type="paragraph" w:customStyle="1" w:styleId="PBS16BulletList">
    <w:name w:val="PBS16 Bullet List"/>
    <w:basedOn w:val="Normal"/>
    <w:link w:val="PBS16BulletListChar"/>
    <w:qFormat/>
    <w:rsid w:val="00F161B2"/>
    <w:pPr>
      <w:spacing w:before="120" w:after="120"/>
      <w:ind w:left="567" w:hanging="567"/>
    </w:pPr>
    <w:rPr>
      <w:rFonts w:cstheme="minorBidi"/>
      <w:sz w:val="22"/>
      <w:szCs w:val="22"/>
    </w:rPr>
  </w:style>
  <w:style w:type="character" w:customStyle="1" w:styleId="PBS16BulletListChar">
    <w:name w:val="PBS16 Bullet List Char"/>
    <w:basedOn w:val="DefaultParagraphFont"/>
    <w:link w:val="PBS16BulletList"/>
    <w:rsid w:val="00F161B2"/>
    <w:rPr>
      <w:rFonts w:ascii="Book Antiqua" w:hAnsi="Book Antiqua"/>
    </w:rPr>
  </w:style>
  <w:style w:type="paragraph" w:customStyle="1" w:styleId="PBS16PortHeadingCentre">
    <w:name w:val="PBS16 Port Heading Centre"/>
    <w:basedOn w:val="PBS16Port"/>
    <w:next w:val="PBS16Port"/>
    <w:rsid w:val="00F161B2"/>
    <w:pPr>
      <w:jc w:val="center"/>
    </w:pPr>
    <w:rPr>
      <w:b/>
    </w:rPr>
  </w:style>
  <w:style w:type="paragraph" w:customStyle="1" w:styleId="PBS16Port">
    <w:name w:val="PBS16 Port"/>
    <w:basedOn w:val="SingleParagraph"/>
    <w:rsid w:val="00F161B2"/>
    <w:pPr>
      <w:pBdr>
        <w:top w:val="single" w:sz="4" w:space="4" w:color="auto"/>
        <w:left w:val="single" w:sz="4" w:space="4" w:color="auto"/>
        <w:bottom w:val="single" w:sz="4" w:space="4" w:color="auto"/>
        <w:right w:val="single" w:sz="4" w:space="4" w:color="auto"/>
      </w:pBdr>
      <w:spacing w:after="120"/>
    </w:pPr>
    <w:rPr>
      <w:sz w:val="19"/>
      <w:szCs w:val="19"/>
    </w:rPr>
  </w:style>
  <w:style w:type="paragraph" w:customStyle="1" w:styleId="PBS16PortCentre">
    <w:name w:val="PBS16 Port Centre"/>
    <w:basedOn w:val="PBS16Port"/>
    <w:rsid w:val="00F161B2"/>
    <w:pPr>
      <w:jc w:val="center"/>
    </w:pPr>
  </w:style>
  <w:style w:type="paragraph" w:customStyle="1" w:styleId="PBS16Agencies">
    <w:name w:val="PBS16 Agencies"/>
    <w:basedOn w:val="Normal"/>
    <w:rsid w:val="00F161B2"/>
    <w:pPr>
      <w:spacing w:after="120"/>
    </w:pPr>
    <w:rPr>
      <w:sz w:val="19"/>
      <w:szCs w:val="19"/>
    </w:rPr>
  </w:style>
  <w:style w:type="character" w:customStyle="1" w:styleId="Heading9Char">
    <w:name w:val="Heading 9 Char"/>
    <w:basedOn w:val="DefaultParagraphFont"/>
    <w:link w:val="Heading9"/>
    <w:rsid w:val="003E6989"/>
    <w:rPr>
      <w:rFonts w:ascii="Calibri" w:hAnsi="Calibri"/>
      <w:sz w:val="18"/>
    </w:rPr>
  </w:style>
  <w:style w:type="paragraph" w:styleId="Signature">
    <w:name w:val="Signature"/>
    <w:basedOn w:val="Normal"/>
    <w:link w:val="SignatureChar"/>
    <w:rsid w:val="003E6989"/>
    <w:pPr>
      <w:spacing w:line="240" w:lineRule="auto"/>
    </w:pPr>
  </w:style>
  <w:style w:type="character" w:customStyle="1" w:styleId="SignatureChar">
    <w:name w:val="Signature Char"/>
    <w:basedOn w:val="DefaultParagraphFont"/>
    <w:link w:val="Signature"/>
    <w:rsid w:val="003E6989"/>
    <w:rPr>
      <w:rFonts w:ascii="Calibri" w:hAnsi="Calibri"/>
      <w:sz w:val="18"/>
    </w:rPr>
  </w:style>
  <w:style w:type="paragraph" w:styleId="Revision">
    <w:name w:val="Revision"/>
    <w:uiPriority w:val="99"/>
    <w:semiHidden/>
    <w:rsid w:val="003E6989"/>
    <w:rPr>
      <w:rFonts w:ascii="Calibri" w:hAnsi="Calibri"/>
      <w:sz w:val="18"/>
    </w:rPr>
  </w:style>
  <w:style w:type="character" w:customStyle="1" w:styleId="StatementNameChar">
    <w:name w:val="Statement Name Char"/>
    <w:basedOn w:val="DefaultParagraphFont"/>
    <w:link w:val="StatementName"/>
    <w:locked/>
    <w:rsid w:val="003E6989"/>
    <w:rPr>
      <w:rFonts w:ascii="Arial" w:hAnsi="Arial" w:cs="Arial"/>
      <w:b/>
      <w:sz w:val="24"/>
      <w:szCs w:val="24"/>
    </w:rPr>
  </w:style>
  <w:style w:type="paragraph" w:customStyle="1" w:styleId="StatementName">
    <w:name w:val="Statement Name"/>
    <w:basedOn w:val="Normal"/>
    <w:next w:val="Normal"/>
    <w:link w:val="StatementNameChar"/>
    <w:autoRedefine/>
    <w:rsid w:val="003E6989"/>
    <w:pPr>
      <w:pBdr>
        <w:bottom w:val="single" w:sz="4" w:space="1" w:color="auto"/>
      </w:pBdr>
    </w:pPr>
    <w:rPr>
      <w:rFonts w:ascii="Arial" w:hAnsi="Arial" w:cs="Arial"/>
      <w:b/>
      <w:sz w:val="24"/>
      <w:szCs w:val="24"/>
    </w:rPr>
  </w:style>
  <w:style w:type="paragraph" w:customStyle="1" w:styleId="StatementDateHeader">
    <w:name w:val="Statement Date Header"/>
    <w:basedOn w:val="Normal"/>
    <w:next w:val="Normal"/>
    <w:rsid w:val="003E6989"/>
    <w:pPr>
      <w:pBdr>
        <w:bottom w:val="single" w:sz="4" w:space="1" w:color="auto"/>
      </w:pBdr>
    </w:pPr>
    <w:rPr>
      <w:rFonts w:ascii="Arial" w:hAnsi="Arial"/>
      <w:i/>
      <w:sz w:val="24"/>
    </w:rPr>
  </w:style>
  <w:style w:type="paragraph" w:customStyle="1" w:styleId="StatementTextLevel3">
    <w:name w:val="Statement Text Level 3"/>
    <w:basedOn w:val="Normal"/>
    <w:next w:val="Normal"/>
    <w:rsid w:val="003E6989"/>
    <w:rPr>
      <w:rFonts w:ascii="Arial" w:hAnsi="Arial"/>
    </w:rPr>
  </w:style>
  <w:style w:type="paragraph" w:customStyle="1" w:styleId="TableHeaderLevel1">
    <w:name w:val="Table Header Level 1"/>
    <w:basedOn w:val="Normal"/>
    <w:semiHidden/>
    <w:rsid w:val="003E6989"/>
    <w:pPr>
      <w:jc w:val="center"/>
    </w:pPr>
    <w:rPr>
      <w:rFonts w:ascii="Arial" w:hAnsi="Arial"/>
      <w:b/>
      <w:szCs w:val="18"/>
    </w:rPr>
  </w:style>
  <w:style w:type="paragraph" w:customStyle="1" w:styleId="StatementTextLevel1bItalic">
    <w:name w:val="Statement Text Level 1(b) + Italic"/>
    <w:basedOn w:val="Normal"/>
    <w:rsid w:val="003E6989"/>
    <w:rPr>
      <w:rFonts w:ascii="Arial" w:hAnsi="Arial"/>
      <w:b/>
      <w:bCs/>
      <w:i/>
      <w:iCs/>
      <w:szCs w:val="18"/>
    </w:rPr>
  </w:style>
  <w:style w:type="paragraph" w:customStyle="1" w:styleId="Graphic">
    <w:name w:val="Graphic"/>
    <w:basedOn w:val="Signature"/>
    <w:rsid w:val="003E6989"/>
    <w:pPr>
      <w:pBdr>
        <w:top w:val="single" w:sz="4" w:space="1" w:color="auto"/>
        <w:left w:val="single" w:sz="4" w:space="1" w:color="auto"/>
        <w:bottom w:val="single" w:sz="4" w:space="1" w:color="auto"/>
        <w:right w:val="single" w:sz="4" w:space="1" w:color="auto"/>
      </w:pBdr>
      <w:jc w:val="center"/>
    </w:pPr>
  </w:style>
  <w:style w:type="paragraph" w:customStyle="1" w:styleId="NotesTotal">
    <w:name w:val="Notes Total"/>
    <w:basedOn w:val="Normal"/>
    <w:autoRedefine/>
    <w:rsid w:val="003E6989"/>
    <w:pPr>
      <w:ind w:left="139" w:right="57"/>
    </w:pPr>
    <w:rPr>
      <w:b/>
      <w:iCs/>
      <w:sz w:val="20"/>
    </w:rPr>
  </w:style>
  <w:style w:type="paragraph" w:customStyle="1" w:styleId="TitlePage">
    <w:name w:val="Title Page"/>
    <w:basedOn w:val="Normal"/>
    <w:autoRedefine/>
    <w:rsid w:val="003E6989"/>
    <w:pPr>
      <w:spacing w:before="1200" w:after="1200"/>
      <w:ind w:left="57" w:right="57"/>
      <w:jc w:val="right"/>
    </w:pPr>
    <w:rPr>
      <w:b/>
      <w:bCs/>
      <w:sz w:val="48"/>
    </w:rPr>
  </w:style>
  <w:style w:type="paragraph" w:customStyle="1" w:styleId="zcontents">
    <w:name w:val="zcontents"/>
    <w:basedOn w:val="Normal"/>
    <w:semiHidden/>
    <w:rsid w:val="003E6989"/>
    <w:pPr>
      <w:spacing w:after="260" w:line="240" w:lineRule="auto"/>
    </w:pPr>
    <w:rPr>
      <w:b/>
      <w:sz w:val="32"/>
    </w:rPr>
  </w:style>
  <w:style w:type="paragraph" w:customStyle="1" w:styleId="Normal10pt">
    <w:name w:val="Normal + 10 pt"/>
    <w:aliases w:val="Line spacing:  single"/>
    <w:basedOn w:val="Normal"/>
    <w:rsid w:val="003E6989"/>
    <w:pPr>
      <w:spacing w:before="130" w:after="130"/>
    </w:pPr>
    <w:rPr>
      <w:b/>
      <w:sz w:val="20"/>
    </w:rPr>
  </w:style>
  <w:style w:type="paragraph" w:customStyle="1" w:styleId="Normal8pt">
    <w:name w:val="Normal + 8 pt"/>
    <w:basedOn w:val="Normal"/>
    <w:rsid w:val="003E6989"/>
    <w:pPr>
      <w:widowControl w:val="0"/>
      <w:autoSpaceDE w:val="0"/>
      <w:autoSpaceDN w:val="0"/>
      <w:spacing w:line="240" w:lineRule="auto"/>
    </w:pPr>
    <w:rPr>
      <w:bCs/>
      <w:iCs/>
      <w:spacing w:val="-6"/>
      <w:sz w:val="16"/>
      <w:szCs w:val="16"/>
      <w:lang w:val="en-US"/>
    </w:rPr>
  </w:style>
  <w:style w:type="paragraph" w:customStyle="1" w:styleId="NormalCalistoMT">
    <w:name w:val="Normal + Calisto MT"/>
    <w:aliases w:val="8 pt,Right"/>
    <w:basedOn w:val="Normal"/>
    <w:rsid w:val="003E6989"/>
    <w:pPr>
      <w:framePr w:hSpace="180" w:wrap="around" w:vAnchor="text" w:hAnchor="margin" w:y="1"/>
      <w:ind w:right="212"/>
      <w:jc w:val="right"/>
    </w:pPr>
    <w:rPr>
      <w:rFonts w:ascii="Calisto MT" w:hAnsi="Calisto MT"/>
      <w:sz w:val="16"/>
    </w:rPr>
  </w:style>
  <w:style w:type="character" w:customStyle="1" w:styleId="ReferenceTextChar">
    <w:name w:val="Reference Text Char"/>
    <w:basedOn w:val="DefaultParagraphFont"/>
    <w:link w:val="ReferenceText"/>
    <w:uiPriority w:val="99"/>
    <w:locked/>
    <w:rsid w:val="003E6989"/>
    <w:rPr>
      <w:rFonts w:asciiTheme="minorHAnsi" w:hAnsiTheme="minorHAnsi" w:cstheme="minorHAnsi"/>
      <w:sz w:val="18"/>
    </w:rPr>
  </w:style>
  <w:style w:type="paragraph" w:customStyle="1" w:styleId="ReferenceText">
    <w:name w:val="Reference Text"/>
    <w:basedOn w:val="Normal"/>
    <w:link w:val="ReferenceTextChar"/>
    <w:autoRedefine/>
    <w:uiPriority w:val="99"/>
    <w:qFormat/>
    <w:rsid w:val="003E6989"/>
    <w:pPr>
      <w:ind w:right="566"/>
    </w:pPr>
    <w:rPr>
      <w:rFonts w:asciiTheme="minorHAnsi" w:hAnsiTheme="minorHAnsi" w:cstheme="minorHAnsi"/>
    </w:rPr>
  </w:style>
  <w:style w:type="character" w:customStyle="1" w:styleId="NotesHeading-Level1Char">
    <w:name w:val="Notes Heading - Level 1 Char"/>
    <w:basedOn w:val="DefaultParagraphFont"/>
    <w:link w:val="NotesHeading-Level1"/>
    <w:locked/>
    <w:rsid w:val="003E6989"/>
    <w:rPr>
      <w:rFonts w:asciiTheme="minorHAnsi" w:hAnsiTheme="minorHAnsi"/>
      <w:b/>
    </w:rPr>
  </w:style>
  <w:style w:type="paragraph" w:customStyle="1" w:styleId="NotesHeading-Level1">
    <w:name w:val="Notes Heading - Level 1"/>
    <w:basedOn w:val="Normal"/>
    <w:link w:val="NotesHeading-Level1Char"/>
    <w:qFormat/>
    <w:rsid w:val="003E6989"/>
    <w:pPr>
      <w:numPr>
        <w:numId w:val="10"/>
      </w:numPr>
      <w:ind w:right="607"/>
      <w:outlineLvl w:val="0"/>
    </w:pPr>
    <w:rPr>
      <w:rFonts w:asciiTheme="minorHAnsi" w:hAnsiTheme="minorHAnsi"/>
      <w:b/>
      <w:sz w:val="20"/>
    </w:rPr>
  </w:style>
  <w:style w:type="paragraph" w:customStyle="1" w:styleId="NotesHeading-Level2">
    <w:name w:val="Notes Heading - Level 2"/>
    <w:basedOn w:val="NotesHeading-Level1"/>
    <w:rsid w:val="003E6989"/>
    <w:pPr>
      <w:framePr w:hSpace="180" w:wrap="around" w:vAnchor="text" w:hAnchor="margin" w:y="1"/>
      <w:numPr>
        <w:ilvl w:val="1"/>
      </w:numPr>
      <w:tabs>
        <w:tab w:val="clear" w:pos="851"/>
        <w:tab w:val="num" w:pos="567"/>
      </w:tabs>
      <w:ind w:left="567" w:hanging="567"/>
    </w:pPr>
    <w:rPr>
      <w:sz w:val="18"/>
    </w:rPr>
  </w:style>
  <w:style w:type="paragraph" w:customStyle="1" w:styleId="StatementHeading">
    <w:name w:val="Statement Heading"/>
    <w:basedOn w:val="Normal"/>
    <w:rsid w:val="003E6989"/>
    <w:rPr>
      <w:rFonts w:ascii="Arial" w:hAnsi="Arial"/>
      <w:b/>
      <w:sz w:val="24"/>
    </w:rPr>
  </w:style>
  <w:style w:type="paragraph" w:customStyle="1" w:styleId="GreyShadeTableBreak">
    <w:name w:val="Grey Shade Table Break"/>
    <w:basedOn w:val="Normal"/>
    <w:qFormat/>
    <w:rsid w:val="003E6989"/>
    <w:pPr>
      <w:shd w:val="clear" w:color="auto" w:fill="D9D9D9" w:themeFill="background1" w:themeFillShade="D9"/>
      <w:tabs>
        <w:tab w:val="left" w:pos="9214"/>
      </w:tabs>
      <w:ind w:right="607"/>
    </w:pPr>
  </w:style>
  <w:style w:type="paragraph" w:customStyle="1" w:styleId="GreyShadeTableBreaknon-Standard">
    <w:name w:val="Grey Shade Table Break non-Standard"/>
    <w:qFormat/>
    <w:rsid w:val="003E6989"/>
    <w:pPr>
      <w:shd w:val="clear" w:color="auto" w:fill="D9D9D9" w:themeFill="background1" w:themeFillShade="D9"/>
      <w:ind w:right="57"/>
    </w:pPr>
    <w:rPr>
      <w:sz w:val="22"/>
    </w:rPr>
  </w:style>
  <w:style w:type="paragraph" w:customStyle="1" w:styleId="ReferenceTextLetter">
    <w:name w:val="Reference Text Letter"/>
    <w:basedOn w:val="ReferenceText"/>
    <w:qFormat/>
    <w:rsid w:val="003E6989"/>
    <w:pPr>
      <w:spacing w:line="240" w:lineRule="auto"/>
      <w:ind w:left="567" w:right="567"/>
    </w:pPr>
    <w:rPr>
      <w:rFonts w:cs="Arial"/>
      <w:szCs w:val="18"/>
    </w:rPr>
  </w:style>
  <w:style w:type="paragraph" w:customStyle="1" w:styleId="NotesHeader">
    <w:name w:val="Notes Header"/>
    <w:basedOn w:val="Normal"/>
    <w:next w:val="Normal"/>
    <w:rsid w:val="003E6989"/>
    <w:pPr>
      <w:jc w:val="center"/>
    </w:pPr>
    <w:rPr>
      <w:rFonts w:ascii="Arial" w:hAnsi="Arial"/>
      <w:b/>
    </w:rPr>
  </w:style>
  <w:style w:type="paragraph" w:customStyle="1" w:styleId="NotesReferences">
    <w:name w:val="Notes References"/>
    <w:basedOn w:val="Normal"/>
    <w:next w:val="Normal"/>
    <w:rsid w:val="003E6989"/>
    <w:pPr>
      <w:jc w:val="center"/>
    </w:pPr>
    <w:rPr>
      <w:rFonts w:ascii="Arial" w:hAnsi="Arial"/>
    </w:rPr>
  </w:style>
  <w:style w:type="paragraph" w:customStyle="1" w:styleId="NotesData">
    <w:name w:val="Notes Data"/>
    <w:basedOn w:val="Normal"/>
    <w:rsid w:val="003E6989"/>
    <w:pPr>
      <w:framePr w:hSpace="180" w:wrap="around" w:vAnchor="text" w:hAnchor="margin" w:y="1"/>
      <w:jc w:val="center"/>
    </w:pPr>
    <w:rPr>
      <w:sz w:val="20"/>
    </w:rPr>
  </w:style>
  <w:style w:type="paragraph" w:customStyle="1" w:styleId="NotesTextLevel1">
    <w:name w:val="Notes Text Level 1"/>
    <w:basedOn w:val="Normal"/>
    <w:next w:val="Normal"/>
    <w:rsid w:val="003E6989"/>
    <w:rPr>
      <w:rFonts w:ascii="Arial" w:hAnsi="Arial"/>
      <w:b/>
      <w:i/>
      <w:u w:val="single"/>
    </w:rPr>
  </w:style>
  <w:style w:type="character" w:customStyle="1" w:styleId="NotesTextLevel3aboldItalicChar">
    <w:name w:val="Notes Text Level 3(a) bold + Italic Char"/>
    <w:basedOn w:val="DefaultParagraphFont"/>
    <w:link w:val="NotesTextLevel3aboldItalic"/>
    <w:locked/>
    <w:rsid w:val="003E6989"/>
    <w:rPr>
      <w:rFonts w:ascii="Arial" w:hAnsi="Arial" w:cs="Arial"/>
      <w:b/>
      <w:bCs/>
      <w:i/>
      <w:iCs/>
      <w:sz w:val="18"/>
    </w:rPr>
  </w:style>
  <w:style w:type="paragraph" w:customStyle="1" w:styleId="NotesTextLevel3aboldItalic">
    <w:name w:val="Notes Text Level 3(a) bold + Italic"/>
    <w:basedOn w:val="Normal"/>
    <w:link w:val="NotesTextLevel3aboldItalicChar"/>
    <w:rsid w:val="003E6989"/>
    <w:rPr>
      <w:rFonts w:ascii="Arial" w:hAnsi="Arial" w:cs="Arial"/>
      <w:b/>
      <w:bCs/>
      <w:i/>
      <w:iCs/>
    </w:rPr>
  </w:style>
  <w:style w:type="paragraph" w:customStyle="1" w:styleId="NotesHeading3">
    <w:name w:val="Notes Heading 3"/>
    <w:basedOn w:val="Normal"/>
    <w:autoRedefine/>
    <w:rsid w:val="003E6989"/>
    <w:pPr>
      <w:spacing w:before="80" w:after="40"/>
      <w:ind w:left="113" w:right="113"/>
    </w:pPr>
    <w:rPr>
      <w:u w:val="single"/>
      <w:lang w:val="en-US"/>
    </w:rPr>
  </w:style>
  <w:style w:type="paragraph" w:customStyle="1" w:styleId="NotesHeading3a">
    <w:name w:val="Notes Heading 3a"/>
    <w:basedOn w:val="Normal"/>
    <w:autoRedefine/>
    <w:rsid w:val="003E6989"/>
    <w:pPr>
      <w:tabs>
        <w:tab w:val="num" w:pos="473"/>
      </w:tabs>
      <w:spacing w:after="120"/>
      <w:ind w:left="113" w:right="113"/>
      <w:jc w:val="both"/>
    </w:pPr>
    <w:rPr>
      <w:u w:val="single"/>
      <w:lang w:val="en-US"/>
    </w:rPr>
  </w:style>
  <w:style w:type="paragraph" w:customStyle="1" w:styleId="Notessub-lineitem">
    <w:name w:val="Notes sub-line item"/>
    <w:basedOn w:val="Normal"/>
    <w:autoRedefine/>
    <w:rsid w:val="003E6989"/>
    <w:pPr>
      <w:framePr w:hSpace="180" w:wrap="around" w:vAnchor="page" w:hAnchor="margin" w:y="1985"/>
      <w:tabs>
        <w:tab w:val="left" w:pos="593"/>
        <w:tab w:val="left" w:pos="1443"/>
      </w:tabs>
      <w:ind w:left="567" w:right="113"/>
    </w:pPr>
    <w:rPr>
      <w:sz w:val="20"/>
    </w:rPr>
  </w:style>
  <w:style w:type="paragraph" w:customStyle="1" w:styleId="NotesLineItem">
    <w:name w:val="Notes Line Item"/>
    <w:basedOn w:val="Normal"/>
    <w:autoRedefine/>
    <w:rsid w:val="003E6989"/>
    <w:pPr>
      <w:ind w:left="34"/>
    </w:pPr>
    <w:rPr>
      <w:iCs/>
      <w:sz w:val="16"/>
      <w:szCs w:val="16"/>
      <w:lang w:eastAsia="en-AU"/>
    </w:rPr>
  </w:style>
  <w:style w:type="paragraph" w:customStyle="1" w:styleId="NoteText">
    <w:name w:val="Note Text"/>
    <w:basedOn w:val="Normal"/>
    <w:autoRedefine/>
    <w:rsid w:val="003E6989"/>
    <w:pPr>
      <w:tabs>
        <w:tab w:val="left" w:pos="284"/>
      </w:tabs>
      <w:spacing w:after="120"/>
      <w:ind w:left="567"/>
    </w:pPr>
    <w:rPr>
      <w:sz w:val="20"/>
    </w:rPr>
  </w:style>
  <w:style w:type="paragraph" w:customStyle="1" w:styleId="NotesHeading">
    <w:name w:val="'Notes' Heading"/>
    <w:basedOn w:val="Normal"/>
    <w:autoRedefine/>
    <w:rsid w:val="003E6989"/>
    <w:pPr>
      <w:ind w:left="57" w:right="57"/>
      <w:jc w:val="center"/>
    </w:pPr>
    <w:rPr>
      <w:b/>
      <w:sz w:val="20"/>
    </w:rPr>
  </w:style>
  <w:style w:type="paragraph" w:customStyle="1" w:styleId="NotesReference">
    <w:name w:val="'Notes' Reference"/>
    <w:basedOn w:val="Normal"/>
    <w:autoRedefine/>
    <w:rsid w:val="003E6989"/>
    <w:pPr>
      <w:ind w:left="57" w:right="57"/>
      <w:jc w:val="center"/>
    </w:pPr>
    <w:rPr>
      <w:sz w:val="20"/>
    </w:rPr>
  </w:style>
  <w:style w:type="paragraph" w:customStyle="1" w:styleId="NotesHeading4">
    <w:name w:val="Notes Heading 4"/>
    <w:basedOn w:val="NoteText"/>
    <w:autoRedefine/>
    <w:rsid w:val="003E6989"/>
    <w:pPr>
      <w:keepNext/>
      <w:spacing w:before="200" w:after="80"/>
      <w:ind w:right="57"/>
    </w:pPr>
  </w:style>
  <w:style w:type="paragraph" w:customStyle="1" w:styleId="NotesHeading3NumberingOff">
    <w:name w:val="Notes Heading 3 Numbering Off"/>
    <w:basedOn w:val="NotesHeading3"/>
    <w:autoRedefine/>
    <w:rsid w:val="003E6989"/>
    <w:pPr>
      <w:tabs>
        <w:tab w:val="left" w:pos="1132"/>
      </w:tabs>
    </w:pPr>
  </w:style>
  <w:style w:type="paragraph" w:customStyle="1" w:styleId="NotesHeadingPlain">
    <w:name w:val="'Notes' Heading Plain"/>
    <w:basedOn w:val="NotesHeading"/>
    <w:autoRedefine/>
    <w:rsid w:val="003E6989"/>
    <w:rPr>
      <w:b w:val="0"/>
    </w:rPr>
  </w:style>
  <w:style w:type="paragraph" w:customStyle="1" w:styleId="NotesHeading5">
    <w:name w:val="Notes Heading 5"/>
    <w:basedOn w:val="Normal"/>
    <w:autoRedefine/>
    <w:rsid w:val="003E6989"/>
    <w:pPr>
      <w:spacing w:before="120" w:after="40"/>
      <w:ind w:left="113" w:right="113"/>
      <w:jc w:val="both"/>
    </w:pPr>
    <w:rPr>
      <w:b/>
      <w:sz w:val="20"/>
    </w:rPr>
  </w:style>
  <w:style w:type="paragraph" w:customStyle="1" w:styleId="NoteTextBEFOREDotPoint">
    <w:name w:val="Note Text BEFORE Dot Point"/>
    <w:basedOn w:val="NoteText"/>
    <w:rsid w:val="003E6989"/>
    <w:pPr>
      <w:spacing w:after="0"/>
      <w:ind w:left="178" w:right="57"/>
    </w:pPr>
  </w:style>
  <w:style w:type="paragraph" w:customStyle="1" w:styleId="ItalicLineItem">
    <w:name w:val="Italic Line Item"/>
    <w:basedOn w:val="Normal"/>
    <w:rsid w:val="003E6989"/>
    <w:pPr>
      <w:tabs>
        <w:tab w:val="left" w:pos="566"/>
      </w:tabs>
      <w:ind w:left="284" w:right="113"/>
      <w:jc w:val="both"/>
    </w:pPr>
    <w:rPr>
      <w:i/>
      <w:sz w:val="20"/>
      <w:lang w:val="en-US"/>
    </w:rPr>
  </w:style>
  <w:style w:type="paragraph" w:customStyle="1" w:styleId="ItalicHeading">
    <w:name w:val="Italic Heading"/>
    <w:basedOn w:val="ItalicLineItem"/>
    <w:rsid w:val="003E6989"/>
    <w:pPr>
      <w:ind w:left="57" w:right="0"/>
    </w:pPr>
  </w:style>
  <w:style w:type="paragraph" w:customStyle="1" w:styleId="Notes">
    <w:name w:val="'Notes'"/>
    <w:basedOn w:val="Normal"/>
    <w:rsid w:val="003E6989"/>
    <w:pPr>
      <w:jc w:val="center"/>
    </w:pPr>
    <w:rPr>
      <w:b/>
    </w:rPr>
  </w:style>
  <w:style w:type="character" w:customStyle="1" w:styleId="LineitemsChar">
    <w:name w:val="Line items Char"/>
    <w:basedOn w:val="DefaultParagraphFont"/>
    <w:link w:val="Lineitems"/>
    <w:uiPriority w:val="99"/>
    <w:locked/>
    <w:rsid w:val="003E6989"/>
  </w:style>
  <w:style w:type="paragraph" w:customStyle="1" w:styleId="Lineitems">
    <w:name w:val="Line items"/>
    <w:basedOn w:val="Normal"/>
    <w:link w:val="LineitemsChar"/>
    <w:autoRedefine/>
    <w:uiPriority w:val="99"/>
    <w:rsid w:val="003E6989"/>
    <w:rPr>
      <w:rFonts w:ascii="Times New Roman" w:hAnsi="Times New Roman"/>
      <w:sz w:val="20"/>
    </w:rPr>
  </w:style>
  <w:style w:type="paragraph" w:customStyle="1" w:styleId="Notestext">
    <w:name w:val="Notes text"/>
    <w:basedOn w:val="Notes"/>
    <w:rsid w:val="003E6989"/>
    <w:rPr>
      <w:b w:val="0"/>
    </w:rPr>
  </w:style>
  <w:style w:type="paragraph" w:customStyle="1" w:styleId="Lineitemtable">
    <w:name w:val="Line item table"/>
    <w:basedOn w:val="Lineitems"/>
    <w:rsid w:val="003E6989"/>
  </w:style>
  <w:style w:type="paragraph" w:customStyle="1" w:styleId="12line">
    <w:name w:val="1/2 line"/>
    <w:basedOn w:val="Normal"/>
    <w:rsid w:val="003E6989"/>
    <w:pPr>
      <w:spacing w:before="10" w:after="10" w:line="240" w:lineRule="auto"/>
    </w:pPr>
    <w:rPr>
      <w:sz w:val="20"/>
    </w:rPr>
  </w:style>
  <w:style w:type="paragraph" w:customStyle="1" w:styleId="lineitemitalic">
    <w:name w:val="line item italic"/>
    <w:basedOn w:val="Normal"/>
    <w:rsid w:val="003E6989"/>
    <w:rPr>
      <w:i/>
    </w:rPr>
  </w:style>
  <w:style w:type="paragraph" w:customStyle="1" w:styleId="lineitembold">
    <w:name w:val="line item bold"/>
    <w:basedOn w:val="Normal"/>
    <w:rsid w:val="003E6989"/>
    <w:rPr>
      <w:b/>
      <w:sz w:val="20"/>
    </w:rPr>
  </w:style>
  <w:style w:type="paragraph" w:customStyle="1" w:styleId="Notesheading0">
    <w:name w:val="Notes heading"/>
    <w:basedOn w:val="Normal"/>
    <w:rsid w:val="003E6989"/>
    <w:pPr>
      <w:spacing w:line="240" w:lineRule="auto"/>
    </w:pPr>
    <w:rPr>
      <w:rFonts w:ascii="Calisto MT" w:hAnsi="Calisto MT"/>
      <w:b/>
      <w:sz w:val="14"/>
      <w:lang w:eastAsia="en-AU"/>
    </w:rPr>
  </w:style>
  <w:style w:type="paragraph" w:customStyle="1" w:styleId="Notestothefinancialstatements">
    <w:name w:val="Notes to the financial statements"/>
    <w:aliases w:val="Heading"/>
    <w:basedOn w:val="Normal"/>
    <w:rsid w:val="003E6989"/>
    <w:pPr>
      <w:tabs>
        <w:tab w:val="left" w:pos="567"/>
        <w:tab w:val="left" w:pos="1134"/>
        <w:tab w:val="left" w:pos="1701"/>
      </w:tabs>
      <w:spacing w:before="60" w:after="60" w:line="240" w:lineRule="auto"/>
    </w:pPr>
    <w:rPr>
      <w:rFonts w:ascii="Tahoma" w:hAnsi="Tahoma"/>
      <w:b/>
      <w:color w:val="000000"/>
      <w:sz w:val="16"/>
      <w:lang w:eastAsia="en-AU"/>
    </w:rPr>
  </w:style>
  <w:style w:type="paragraph" w:customStyle="1" w:styleId="NotesBulletPoint">
    <w:name w:val="Notes Bullet Point"/>
    <w:basedOn w:val="Normal"/>
    <w:autoRedefine/>
    <w:rsid w:val="003E6989"/>
    <w:pPr>
      <w:tabs>
        <w:tab w:val="left" w:pos="413"/>
        <w:tab w:val="num" w:pos="927"/>
      </w:tabs>
      <w:snapToGrid w:val="0"/>
      <w:spacing w:line="240" w:lineRule="auto"/>
      <w:ind w:left="414" w:right="113" w:hanging="301"/>
      <w:jc w:val="both"/>
    </w:pPr>
    <w:rPr>
      <w:sz w:val="20"/>
      <w:lang w:val="en-US" w:eastAsia="en-AU"/>
    </w:rPr>
  </w:style>
  <w:style w:type="paragraph" w:customStyle="1" w:styleId="Headinga">
    <w:name w:val="Heading a"/>
    <w:basedOn w:val="Normal"/>
    <w:rsid w:val="003E6989"/>
    <w:pPr>
      <w:spacing w:line="240" w:lineRule="auto"/>
    </w:pPr>
    <w:rPr>
      <w:b/>
      <w:bCs/>
      <w:szCs w:val="18"/>
    </w:rPr>
  </w:style>
  <w:style w:type="character" w:customStyle="1" w:styleId="LineitemsTotalChar">
    <w:name w:val="Line items Total Char"/>
    <w:basedOn w:val="LineitemsChar"/>
    <w:link w:val="LineitemsTotal"/>
    <w:uiPriority w:val="99"/>
    <w:locked/>
    <w:rsid w:val="003E6989"/>
    <w:rPr>
      <w:b/>
      <w:i/>
    </w:rPr>
  </w:style>
  <w:style w:type="paragraph" w:customStyle="1" w:styleId="LineitemsTotal">
    <w:name w:val="Line items Total"/>
    <w:basedOn w:val="Lineitems"/>
    <w:link w:val="LineitemsTotalChar"/>
    <w:uiPriority w:val="99"/>
    <w:rsid w:val="003E6989"/>
    <w:pPr>
      <w:framePr w:hSpace="180" w:wrap="around" w:vAnchor="text" w:hAnchor="margin" w:y="1"/>
    </w:pPr>
    <w:rPr>
      <w:b/>
      <w:i/>
    </w:rPr>
  </w:style>
  <w:style w:type="paragraph" w:customStyle="1" w:styleId="SAPHeading-Level1">
    <w:name w:val="SAP Heading - Level 1"/>
    <w:basedOn w:val="NotesHeading-Level1"/>
    <w:rsid w:val="003E6989"/>
    <w:pPr>
      <w:numPr>
        <w:numId w:val="0"/>
      </w:numPr>
      <w:tabs>
        <w:tab w:val="num" w:pos="851"/>
      </w:tabs>
      <w:ind w:left="851" w:hanging="851"/>
    </w:pPr>
    <w:rPr>
      <w:rFonts w:cstheme="minorHAnsi"/>
    </w:rPr>
  </w:style>
  <w:style w:type="paragraph" w:customStyle="1" w:styleId="SAPHeading-Level2">
    <w:name w:val="SAP Heading - Level 2"/>
    <w:basedOn w:val="SAPHeading-Level1"/>
    <w:rsid w:val="003E6989"/>
    <w:pPr>
      <w:spacing w:before="100" w:after="100" w:line="240" w:lineRule="auto"/>
      <w:outlineLvl w:val="9"/>
    </w:pPr>
  </w:style>
  <w:style w:type="paragraph" w:customStyle="1" w:styleId="SAPHeading-Level3">
    <w:name w:val="SAP Heading - Level 3"/>
    <w:basedOn w:val="SAPHeading-Level2"/>
    <w:rsid w:val="003E6989"/>
  </w:style>
  <w:style w:type="character" w:customStyle="1" w:styleId="NotesTextChar">
    <w:name w:val="Notes Text Char"/>
    <w:basedOn w:val="ReferenceTextChar"/>
    <w:link w:val="NotesText0"/>
    <w:uiPriority w:val="99"/>
    <w:locked/>
    <w:rsid w:val="003E6989"/>
    <w:rPr>
      <w:rFonts w:asciiTheme="minorHAnsi" w:hAnsiTheme="minorHAnsi" w:cs="Arial"/>
      <w:sz w:val="18"/>
      <w:szCs w:val="18"/>
    </w:rPr>
  </w:style>
  <w:style w:type="paragraph" w:customStyle="1" w:styleId="NotesText0">
    <w:name w:val="Notes Text"/>
    <w:basedOn w:val="ReferenceText"/>
    <w:link w:val="NotesTextChar"/>
    <w:uiPriority w:val="99"/>
    <w:rsid w:val="003E6989"/>
    <w:pPr>
      <w:spacing w:before="100" w:after="100" w:line="240" w:lineRule="auto"/>
    </w:pPr>
    <w:rPr>
      <w:rFonts w:cs="Arial"/>
      <w:szCs w:val="18"/>
    </w:rPr>
  </w:style>
  <w:style w:type="paragraph" w:customStyle="1" w:styleId="NotesTextHeading">
    <w:name w:val="Notes Text Heading"/>
    <w:basedOn w:val="NotesText0"/>
    <w:uiPriority w:val="99"/>
    <w:rsid w:val="003E6989"/>
    <w:rPr>
      <w:b/>
      <w:i/>
    </w:rPr>
  </w:style>
  <w:style w:type="paragraph" w:customStyle="1" w:styleId="NoteHeading-Level1">
    <w:name w:val="Note Heading - Level 1"/>
    <w:basedOn w:val="Normal"/>
    <w:rsid w:val="003E6989"/>
  </w:style>
  <w:style w:type="paragraph" w:customStyle="1" w:styleId="NoteHeading-Level2">
    <w:name w:val="Note Heading - Level 2"/>
    <w:basedOn w:val="Normal"/>
    <w:rsid w:val="003E6989"/>
  </w:style>
  <w:style w:type="paragraph" w:customStyle="1" w:styleId="Notesreferencetext">
    <w:name w:val="Notes reference text"/>
    <w:basedOn w:val="Normal"/>
    <w:next w:val="Normal"/>
    <w:rsid w:val="003E6989"/>
    <w:pPr>
      <w:jc w:val="center"/>
    </w:pPr>
  </w:style>
  <w:style w:type="character" w:customStyle="1" w:styleId="StyleReferenceTextItalicChar">
    <w:name w:val="Style Reference Text + Italic Char"/>
    <w:basedOn w:val="ReferenceTextChar"/>
    <w:link w:val="StyleReferenceTextItalic"/>
    <w:uiPriority w:val="99"/>
    <w:locked/>
    <w:rsid w:val="003E6989"/>
    <w:rPr>
      <w:rFonts w:ascii="Calibri" w:hAnsi="Calibri" w:cs="Arial"/>
      <w:i/>
      <w:iCs/>
      <w:sz w:val="18"/>
    </w:rPr>
  </w:style>
  <w:style w:type="paragraph" w:customStyle="1" w:styleId="StyleReferenceTextItalic">
    <w:name w:val="Style Reference Text + Italic"/>
    <w:basedOn w:val="ReferenceText"/>
    <w:link w:val="StyleReferenceTextItalicChar"/>
    <w:uiPriority w:val="99"/>
    <w:rsid w:val="003E6989"/>
    <w:pPr>
      <w:spacing w:line="240" w:lineRule="atLeast"/>
    </w:pPr>
    <w:rPr>
      <w:rFonts w:ascii="Calibri" w:hAnsi="Calibri" w:cs="Arial"/>
      <w:i/>
      <w:iCs/>
    </w:rPr>
  </w:style>
  <w:style w:type="character" w:customStyle="1" w:styleId="StyleNotesTextItalicChar">
    <w:name w:val="Style Notes Text + Italic Char"/>
    <w:basedOn w:val="NotesTextChar"/>
    <w:link w:val="StyleNotesTextItalic"/>
    <w:uiPriority w:val="99"/>
    <w:locked/>
    <w:rsid w:val="003E6989"/>
    <w:rPr>
      <w:rFonts w:asciiTheme="minorHAnsi" w:hAnsiTheme="minorHAnsi" w:cs="Arial"/>
      <w:i/>
      <w:iCs/>
      <w:sz w:val="18"/>
      <w:szCs w:val="18"/>
      <w:u w:val="single"/>
    </w:rPr>
  </w:style>
  <w:style w:type="paragraph" w:customStyle="1" w:styleId="StyleNotesTextItalic">
    <w:name w:val="Style Notes Text + Italic"/>
    <w:basedOn w:val="NotesText0"/>
    <w:link w:val="StyleNotesTextItalicChar"/>
    <w:uiPriority w:val="99"/>
    <w:rsid w:val="003E6989"/>
    <w:pPr>
      <w:ind w:right="-54"/>
    </w:pPr>
    <w:rPr>
      <w:i/>
      <w:iCs/>
      <w:u w:val="single"/>
    </w:rPr>
  </w:style>
  <w:style w:type="paragraph" w:customStyle="1" w:styleId="StyleNotesTextPatternClearGray-25">
    <w:name w:val="Style Notes Text + Pattern: Clear (Gray-25%)"/>
    <w:basedOn w:val="NotesText0"/>
    <w:autoRedefine/>
    <w:uiPriority w:val="99"/>
    <w:rsid w:val="003E6989"/>
    <w:pPr>
      <w:shd w:val="clear" w:color="auto" w:fill="CCCCCC"/>
      <w:ind w:right="-54"/>
    </w:pPr>
    <w:rPr>
      <w:rFonts w:ascii="Calibri" w:hAnsi="Calibri"/>
      <w:sz w:val="20"/>
      <w:szCs w:val="20"/>
    </w:rPr>
  </w:style>
  <w:style w:type="paragraph" w:customStyle="1" w:styleId="BulletKPMG">
    <w:name w:val="Bullet KPMG"/>
    <w:basedOn w:val="Normal"/>
    <w:uiPriority w:val="99"/>
    <w:rsid w:val="003E6989"/>
    <w:pPr>
      <w:tabs>
        <w:tab w:val="num" w:pos="473"/>
      </w:tabs>
      <w:spacing w:before="100" w:after="100" w:line="240" w:lineRule="auto"/>
      <w:ind w:left="357" w:hanging="357"/>
    </w:pPr>
    <w:rPr>
      <w:sz w:val="20"/>
      <w:lang w:val="en-US" w:eastAsia="en-AU"/>
    </w:rPr>
  </w:style>
  <w:style w:type="character" w:customStyle="1" w:styleId="StyleNotesTextBoldChar">
    <w:name w:val="Style Notes Text + Bold Char"/>
    <w:basedOn w:val="NotesTextChar"/>
    <w:link w:val="StyleNotesTextBold"/>
    <w:uiPriority w:val="99"/>
    <w:locked/>
    <w:rsid w:val="003E6989"/>
    <w:rPr>
      <w:rFonts w:ascii="Calibri" w:hAnsi="Calibri" w:cs="Arial"/>
      <w:bCs/>
      <w:sz w:val="18"/>
      <w:szCs w:val="18"/>
    </w:rPr>
  </w:style>
  <w:style w:type="paragraph" w:customStyle="1" w:styleId="StyleNotesTextBold">
    <w:name w:val="Style Notes Text + Bold"/>
    <w:basedOn w:val="NotesText0"/>
    <w:link w:val="StyleNotesTextBoldChar"/>
    <w:uiPriority w:val="99"/>
    <w:rsid w:val="003E6989"/>
    <w:pPr>
      <w:ind w:right="-54"/>
    </w:pPr>
    <w:rPr>
      <w:rFonts w:ascii="Calibri" w:hAnsi="Calibri"/>
      <w:bCs/>
    </w:rPr>
  </w:style>
  <w:style w:type="character" w:customStyle="1" w:styleId="StyleNotesTextBold1Char">
    <w:name w:val="Style Notes Text + Bold1 Char"/>
    <w:basedOn w:val="NotesTextChar"/>
    <w:link w:val="StyleNotesTextBold1"/>
    <w:uiPriority w:val="99"/>
    <w:locked/>
    <w:rsid w:val="003E6989"/>
    <w:rPr>
      <w:rFonts w:ascii="Calibri" w:hAnsi="Calibri" w:cs="Arial"/>
      <w:bCs/>
      <w:sz w:val="18"/>
      <w:szCs w:val="18"/>
    </w:rPr>
  </w:style>
  <w:style w:type="paragraph" w:customStyle="1" w:styleId="StyleNotesTextBold1">
    <w:name w:val="Style Notes Text + Bold1"/>
    <w:basedOn w:val="NotesText0"/>
    <w:link w:val="StyleNotesTextBold1Char"/>
    <w:uiPriority w:val="99"/>
    <w:rsid w:val="003E6989"/>
    <w:pPr>
      <w:ind w:right="-54"/>
    </w:pPr>
    <w:rPr>
      <w:rFonts w:ascii="Calibri" w:hAnsi="Calibri"/>
      <w:bCs/>
    </w:rPr>
  </w:style>
  <w:style w:type="character" w:customStyle="1" w:styleId="StatementTextLevel1bChar">
    <w:name w:val="Statement Text Level 1(b) Char"/>
    <w:basedOn w:val="DefaultParagraphFont"/>
    <w:link w:val="StatementTextLevel1b"/>
    <w:uiPriority w:val="99"/>
    <w:locked/>
    <w:rsid w:val="003E6989"/>
    <w:rPr>
      <w:rFonts w:ascii="Arial" w:hAnsi="Arial" w:cs="Arial"/>
      <w:b/>
      <w:sz w:val="18"/>
      <w:szCs w:val="18"/>
    </w:rPr>
  </w:style>
  <w:style w:type="paragraph" w:customStyle="1" w:styleId="StatementTextLevel1b">
    <w:name w:val="Statement Text Level 1(b)"/>
    <w:basedOn w:val="Normal"/>
    <w:link w:val="StatementTextLevel1bChar"/>
    <w:uiPriority w:val="99"/>
    <w:rsid w:val="003E6989"/>
    <w:rPr>
      <w:rFonts w:ascii="Arial" w:hAnsi="Arial" w:cs="Arial"/>
      <w:b/>
      <w:szCs w:val="18"/>
    </w:rPr>
  </w:style>
  <w:style w:type="paragraph" w:customStyle="1" w:styleId="PrimaryStatementsHeading">
    <w:name w:val="Primary Statements Heading"/>
    <w:basedOn w:val="Normal"/>
    <w:autoRedefine/>
    <w:uiPriority w:val="99"/>
    <w:rsid w:val="003E6989"/>
    <w:pPr>
      <w:spacing w:line="300" w:lineRule="exact"/>
    </w:pPr>
    <w:rPr>
      <w:b/>
      <w:sz w:val="24"/>
      <w:lang w:val="en-US"/>
    </w:rPr>
  </w:style>
  <w:style w:type="paragraph" w:customStyle="1" w:styleId="PeriodHeading">
    <w:name w:val="Period Heading"/>
    <w:basedOn w:val="PrimaryStatementsHeading"/>
    <w:uiPriority w:val="99"/>
    <w:rsid w:val="003E6989"/>
    <w:rPr>
      <w:i/>
      <w:sz w:val="22"/>
    </w:rPr>
  </w:style>
  <w:style w:type="paragraph" w:customStyle="1" w:styleId="CurrentYearDataTotalLevel1">
    <w:name w:val="Current Year Data Total Level 1"/>
    <w:basedOn w:val="Normal"/>
    <w:next w:val="Normal"/>
    <w:autoRedefine/>
    <w:uiPriority w:val="99"/>
    <w:rsid w:val="003E6989"/>
    <w:pPr>
      <w:pBdr>
        <w:top w:val="single" w:sz="4" w:space="1" w:color="auto"/>
        <w:bottom w:val="double" w:sz="6" w:space="1" w:color="auto"/>
      </w:pBdr>
      <w:jc w:val="right"/>
    </w:pPr>
    <w:rPr>
      <w:b/>
      <w:szCs w:val="16"/>
    </w:rPr>
  </w:style>
  <w:style w:type="character" w:customStyle="1" w:styleId="LineitemsHeadingChar">
    <w:name w:val="Line items Heading Char"/>
    <w:basedOn w:val="LineitemsChar"/>
    <w:link w:val="LineitemsHeading"/>
    <w:uiPriority w:val="99"/>
    <w:locked/>
    <w:rsid w:val="003E6989"/>
    <w:rPr>
      <w:rFonts w:ascii="Calibri" w:hAnsi="Calibri" w:cs="Calibri"/>
      <w:b/>
      <w:sz w:val="18"/>
    </w:rPr>
  </w:style>
  <w:style w:type="paragraph" w:customStyle="1" w:styleId="LineitemsHeading">
    <w:name w:val="Line items Heading"/>
    <w:basedOn w:val="Lineitems"/>
    <w:link w:val="LineitemsHeadingChar"/>
    <w:uiPriority w:val="99"/>
    <w:rsid w:val="003E6989"/>
    <w:pPr>
      <w:framePr w:hSpace="180" w:wrap="around" w:vAnchor="text" w:hAnchor="margin" w:y="1"/>
    </w:pPr>
    <w:rPr>
      <w:rFonts w:ascii="Calibri" w:hAnsi="Calibri" w:cs="Calibri"/>
      <w:b/>
      <w:sz w:val="18"/>
    </w:rPr>
  </w:style>
  <w:style w:type="paragraph" w:customStyle="1" w:styleId="PreviousYearDataTotalLevel3">
    <w:name w:val="Previous Year Data Total Level 3"/>
    <w:basedOn w:val="Normal"/>
    <w:autoRedefine/>
    <w:uiPriority w:val="99"/>
    <w:rsid w:val="003E6989"/>
    <w:pPr>
      <w:pBdr>
        <w:top w:val="single" w:sz="4" w:space="1" w:color="auto"/>
        <w:bottom w:val="double" w:sz="6" w:space="1" w:color="auto"/>
      </w:pBdr>
      <w:jc w:val="right"/>
    </w:pPr>
  </w:style>
  <w:style w:type="paragraph" w:customStyle="1" w:styleId="StyleNotesTextItalic1">
    <w:name w:val="Style Notes Text + Italic1"/>
    <w:basedOn w:val="NotesText0"/>
    <w:uiPriority w:val="99"/>
    <w:rsid w:val="003E6989"/>
    <w:pPr>
      <w:ind w:right="-54"/>
    </w:pPr>
    <w:rPr>
      <w:rFonts w:ascii="Calibri" w:hAnsi="Calibri" w:cs="Times New Roman"/>
      <w:i/>
      <w:iCs/>
      <w:sz w:val="20"/>
      <w:szCs w:val="20"/>
    </w:rPr>
  </w:style>
  <w:style w:type="paragraph" w:customStyle="1" w:styleId="StyleNotesTextPatternClearGray-20">
    <w:name w:val="Style Notes Text + Pattern: Clear (Gray-20%)"/>
    <w:basedOn w:val="NotesText0"/>
    <w:uiPriority w:val="99"/>
    <w:rsid w:val="003E6989"/>
    <w:pPr>
      <w:ind w:right="-54"/>
    </w:pPr>
    <w:rPr>
      <w:rFonts w:ascii="Calibri" w:hAnsi="Calibri" w:cs="Times New Roman"/>
      <w:sz w:val="20"/>
      <w:szCs w:val="20"/>
    </w:rPr>
  </w:style>
  <w:style w:type="character" w:customStyle="1" w:styleId="PreviousYearDataTotalLevel2Char">
    <w:name w:val="Previous Year Data Total Level 2 Char"/>
    <w:basedOn w:val="DefaultParagraphFont"/>
    <w:link w:val="PreviousYearDataTotalLevel2"/>
    <w:uiPriority w:val="99"/>
    <w:locked/>
    <w:rsid w:val="003E6989"/>
    <w:rPr>
      <w:rFonts w:ascii="Calibri" w:hAnsi="Calibri" w:cs="Calibri"/>
      <w:sz w:val="18"/>
    </w:rPr>
  </w:style>
  <w:style w:type="paragraph" w:customStyle="1" w:styleId="PreviousYearDataTotalLevel2">
    <w:name w:val="Previous Year Data Total Level 2"/>
    <w:basedOn w:val="Normal"/>
    <w:next w:val="Normal"/>
    <w:link w:val="PreviousYearDataTotalLevel2Char"/>
    <w:uiPriority w:val="99"/>
    <w:rsid w:val="003E6989"/>
    <w:pPr>
      <w:pBdr>
        <w:top w:val="single" w:sz="4" w:space="1" w:color="auto"/>
        <w:bottom w:val="single" w:sz="4" w:space="1" w:color="auto"/>
      </w:pBdr>
      <w:jc w:val="right"/>
    </w:pPr>
    <w:rPr>
      <w:rFonts w:cs="Calibri"/>
    </w:rPr>
  </w:style>
  <w:style w:type="character" w:customStyle="1" w:styleId="CurrentYearDataTotalLevel2Char">
    <w:name w:val="Current Year Data Total Level 2 Char"/>
    <w:basedOn w:val="DefaultParagraphFont"/>
    <w:link w:val="CurrentYearDataTotalLevel2"/>
    <w:uiPriority w:val="99"/>
    <w:locked/>
    <w:rsid w:val="003E6989"/>
    <w:rPr>
      <w:rFonts w:ascii="Calibri" w:hAnsi="Calibri" w:cs="Calibri"/>
      <w:b/>
      <w:sz w:val="18"/>
    </w:rPr>
  </w:style>
  <w:style w:type="paragraph" w:customStyle="1" w:styleId="CurrentYearDataTotalLevel2">
    <w:name w:val="Current Year Data Total Level 2"/>
    <w:basedOn w:val="Normal"/>
    <w:link w:val="CurrentYearDataTotalLevel2Char"/>
    <w:uiPriority w:val="99"/>
    <w:rsid w:val="003E6989"/>
    <w:pPr>
      <w:pBdr>
        <w:top w:val="single" w:sz="4" w:space="1" w:color="auto"/>
        <w:bottom w:val="single" w:sz="4" w:space="1" w:color="auto"/>
      </w:pBdr>
      <w:jc w:val="right"/>
    </w:pPr>
    <w:rPr>
      <w:rFonts w:cs="Calibri"/>
      <w:b/>
    </w:rPr>
  </w:style>
  <w:style w:type="paragraph" w:customStyle="1" w:styleId="DeptCurrentYearHeader">
    <w:name w:val="Dept Current Year Header"/>
    <w:basedOn w:val="Normal"/>
    <w:qFormat/>
    <w:rsid w:val="003E6989"/>
    <w:pPr>
      <w:spacing w:line="240" w:lineRule="auto"/>
      <w:jc w:val="right"/>
    </w:pPr>
    <w:rPr>
      <w:rFonts w:asciiTheme="minorHAnsi" w:hAnsiTheme="minorHAnsi" w:cstheme="minorHAnsi"/>
      <w:b/>
      <w:szCs w:val="18"/>
      <w:lang w:eastAsia="en-AU"/>
    </w:rPr>
  </w:style>
  <w:style w:type="paragraph" w:customStyle="1" w:styleId="DeptPreviousYearHeader">
    <w:name w:val="Dept Previous Year Header"/>
    <w:qFormat/>
    <w:rsid w:val="003E6989"/>
    <w:pPr>
      <w:jc w:val="right"/>
    </w:pPr>
    <w:rPr>
      <w:rFonts w:asciiTheme="minorHAnsi" w:hAnsiTheme="minorHAnsi" w:cstheme="minorHAnsi"/>
      <w:sz w:val="18"/>
      <w:szCs w:val="18"/>
      <w:lang w:eastAsia="en-AU"/>
    </w:rPr>
  </w:style>
  <w:style w:type="paragraph" w:customStyle="1" w:styleId="DeptManualEntryCell">
    <w:name w:val="Dept Manual Entry Cell"/>
    <w:basedOn w:val="Normal"/>
    <w:qFormat/>
    <w:rsid w:val="003E6989"/>
    <w:pPr>
      <w:spacing w:line="240" w:lineRule="auto"/>
      <w:jc w:val="right"/>
    </w:pPr>
    <w:rPr>
      <w:rFonts w:asciiTheme="minorHAnsi" w:hAnsiTheme="minorHAnsi" w:cstheme="minorHAnsi"/>
      <w:b/>
      <w:szCs w:val="18"/>
      <w:lang w:eastAsia="en-AU"/>
    </w:rPr>
  </w:style>
  <w:style w:type="paragraph" w:customStyle="1" w:styleId="DeptManualEntryCellUnBold">
    <w:name w:val="Dept Manual Entry Cell UnBold"/>
    <w:basedOn w:val="DeptManualEntryCell"/>
    <w:qFormat/>
    <w:rsid w:val="003E6989"/>
    <w:rPr>
      <w:b w:val="0"/>
    </w:rPr>
  </w:style>
  <w:style w:type="paragraph" w:customStyle="1" w:styleId="DeptCurrentYearTotal">
    <w:name w:val="Dept Current Year Total"/>
    <w:qFormat/>
    <w:rsid w:val="003E6989"/>
    <w:pPr>
      <w:jc w:val="right"/>
    </w:pPr>
    <w:rPr>
      <w:rFonts w:asciiTheme="minorHAnsi" w:hAnsiTheme="minorHAnsi" w:cstheme="minorHAnsi"/>
      <w:b/>
      <w:sz w:val="18"/>
      <w:szCs w:val="18"/>
      <w:lang w:eastAsia="en-AU"/>
    </w:rPr>
  </w:style>
  <w:style w:type="paragraph" w:customStyle="1" w:styleId="DeptPreviousYearTotal">
    <w:name w:val="Dept Previous Year Total"/>
    <w:qFormat/>
    <w:rsid w:val="003E6989"/>
    <w:pPr>
      <w:jc w:val="right"/>
    </w:pPr>
    <w:rPr>
      <w:rFonts w:asciiTheme="minorHAnsi" w:hAnsiTheme="minorHAnsi" w:cstheme="minorHAnsi"/>
      <w:sz w:val="18"/>
      <w:szCs w:val="18"/>
      <w:lang w:eastAsia="en-AU"/>
    </w:rPr>
  </w:style>
  <w:style w:type="paragraph" w:customStyle="1" w:styleId="DeptRowText">
    <w:name w:val="Dept Row Text"/>
    <w:qFormat/>
    <w:rsid w:val="003E6989"/>
    <w:rPr>
      <w:rFonts w:asciiTheme="minorHAnsi" w:hAnsiTheme="minorHAnsi" w:cstheme="minorHAnsi"/>
      <w:sz w:val="18"/>
      <w:szCs w:val="18"/>
      <w:lang w:eastAsia="en-AU"/>
    </w:rPr>
  </w:style>
  <w:style w:type="paragraph" w:customStyle="1" w:styleId="DeptRowTextTotal">
    <w:name w:val="Dept Row Text Total"/>
    <w:qFormat/>
    <w:rsid w:val="003E6989"/>
    <w:rPr>
      <w:rFonts w:asciiTheme="minorHAnsi" w:hAnsiTheme="minorHAnsi" w:cstheme="minorHAnsi"/>
      <w:b/>
      <w:i/>
      <w:sz w:val="18"/>
      <w:szCs w:val="18"/>
    </w:rPr>
  </w:style>
  <w:style w:type="paragraph" w:customStyle="1" w:styleId="DeptBlankBlueShade">
    <w:name w:val="Dept Blank Blue Shade"/>
    <w:basedOn w:val="DeptRowTextTotal"/>
    <w:next w:val="12line"/>
    <w:qFormat/>
    <w:rsid w:val="003E6989"/>
  </w:style>
  <w:style w:type="paragraph" w:customStyle="1" w:styleId="DeptRowTextIndent">
    <w:name w:val="Dept Row Text Indent"/>
    <w:basedOn w:val="DeptRowText"/>
    <w:qFormat/>
    <w:rsid w:val="003E6989"/>
    <w:pPr>
      <w:ind w:left="204"/>
    </w:pPr>
  </w:style>
  <w:style w:type="paragraph" w:customStyle="1" w:styleId="AdminRowTextIndent">
    <w:name w:val="Admin Row Text Indent"/>
    <w:basedOn w:val="DeptRowTextIndent"/>
    <w:qFormat/>
    <w:rsid w:val="003E6989"/>
  </w:style>
  <w:style w:type="paragraph" w:customStyle="1" w:styleId="AdminRowTextIndentGrey">
    <w:name w:val="Admin Row Text Indent Grey"/>
    <w:basedOn w:val="AdminRowTextIndent"/>
    <w:qFormat/>
    <w:rsid w:val="003E6989"/>
  </w:style>
  <w:style w:type="paragraph" w:customStyle="1" w:styleId="AdminCurrentYearDataGrey">
    <w:name w:val="Admin Current Year Data Grey"/>
    <w:qFormat/>
    <w:rsid w:val="003E6989"/>
    <w:pPr>
      <w:jc w:val="right"/>
    </w:pPr>
    <w:rPr>
      <w:rFonts w:asciiTheme="minorHAnsi" w:hAnsiTheme="minorHAnsi" w:cstheme="minorHAnsi"/>
      <w:b/>
      <w:sz w:val="18"/>
      <w:szCs w:val="18"/>
      <w:lang w:eastAsia="en-AU"/>
    </w:rPr>
  </w:style>
  <w:style w:type="paragraph" w:customStyle="1" w:styleId="AdminCurrentYearDataNormal">
    <w:name w:val="Admin Current Year Data Normal"/>
    <w:qFormat/>
    <w:rsid w:val="003E6989"/>
    <w:pPr>
      <w:jc w:val="right"/>
    </w:pPr>
    <w:rPr>
      <w:rFonts w:asciiTheme="minorHAnsi" w:hAnsiTheme="minorHAnsi" w:cstheme="minorHAnsi"/>
      <w:b/>
      <w:sz w:val="18"/>
      <w:szCs w:val="18"/>
      <w:lang w:eastAsia="en-AU"/>
    </w:rPr>
  </w:style>
  <w:style w:type="paragraph" w:customStyle="1" w:styleId="AdminPreviousYearDataGrey">
    <w:name w:val="Admin Previous Year Data Grey"/>
    <w:qFormat/>
    <w:rsid w:val="003E6989"/>
    <w:pPr>
      <w:jc w:val="right"/>
    </w:pPr>
    <w:rPr>
      <w:rFonts w:asciiTheme="minorHAnsi" w:hAnsiTheme="minorHAnsi" w:cstheme="minorHAnsi"/>
      <w:sz w:val="18"/>
      <w:szCs w:val="18"/>
      <w:lang w:eastAsia="en-AU"/>
    </w:rPr>
  </w:style>
  <w:style w:type="paragraph" w:customStyle="1" w:styleId="AdminPreviousYearDataNormal">
    <w:name w:val="Admin Previous Year Data Normal"/>
    <w:qFormat/>
    <w:rsid w:val="003E6989"/>
    <w:pPr>
      <w:jc w:val="right"/>
    </w:pPr>
    <w:rPr>
      <w:rFonts w:asciiTheme="minorHAnsi" w:hAnsiTheme="minorHAnsi" w:cstheme="minorHAnsi"/>
      <w:sz w:val="18"/>
      <w:szCs w:val="18"/>
      <w:lang w:eastAsia="en-AU"/>
    </w:rPr>
  </w:style>
  <w:style w:type="paragraph" w:customStyle="1" w:styleId="AdminHeaderlineUnderlineGrey">
    <w:name w:val="Admin Headerline Underline Grey"/>
    <w:basedOn w:val="AdminPreviousYearDataNormal"/>
    <w:next w:val="12line"/>
    <w:qFormat/>
    <w:rsid w:val="003E6989"/>
  </w:style>
  <w:style w:type="paragraph" w:customStyle="1" w:styleId="AdminBlankGreyShade">
    <w:name w:val="Admin Blank Grey Shade"/>
    <w:next w:val="12line"/>
    <w:qFormat/>
    <w:rsid w:val="003E6989"/>
    <w:pPr>
      <w:ind w:right="566"/>
    </w:pPr>
    <w:rPr>
      <w:rFonts w:asciiTheme="minorHAnsi" w:hAnsiTheme="minorHAnsi" w:cstheme="minorHAnsi"/>
      <w:sz w:val="18"/>
      <w:szCs w:val="18"/>
      <w:lang w:eastAsia="en-AU"/>
    </w:rPr>
  </w:style>
  <w:style w:type="paragraph" w:customStyle="1" w:styleId="AdminRowTextGrey">
    <w:name w:val="Admin Row Text Grey"/>
    <w:qFormat/>
    <w:rsid w:val="003E6989"/>
    <w:rPr>
      <w:rFonts w:asciiTheme="minorHAnsi" w:hAnsiTheme="minorHAnsi" w:cstheme="minorHAnsi"/>
      <w:sz w:val="18"/>
      <w:szCs w:val="18"/>
      <w:lang w:eastAsia="en-AU"/>
    </w:rPr>
  </w:style>
  <w:style w:type="paragraph" w:customStyle="1" w:styleId="AdminCurrentYearTotalGrey">
    <w:name w:val="Admin Current Year Total Grey"/>
    <w:qFormat/>
    <w:rsid w:val="003E6989"/>
    <w:pPr>
      <w:jc w:val="right"/>
    </w:pPr>
    <w:rPr>
      <w:rFonts w:asciiTheme="minorHAnsi" w:hAnsiTheme="minorHAnsi" w:cstheme="minorHAnsi"/>
      <w:b/>
      <w:sz w:val="18"/>
      <w:szCs w:val="18"/>
      <w:lang w:eastAsia="en-AU"/>
    </w:rPr>
  </w:style>
  <w:style w:type="paragraph" w:customStyle="1" w:styleId="AdminPreviousYearTotalGrey">
    <w:name w:val="Admin Previous Year Total Grey"/>
    <w:qFormat/>
    <w:rsid w:val="003E6989"/>
    <w:pPr>
      <w:jc w:val="right"/>
    </w:pPr>
    <w:rPr>
      <w:rFonts w:asciiTheme="minorHAnsi" w:hAnsiTheme="minorHAnsi" w:cstheme="minorHAnsi"/>
      <w:sz w:val="18"/>
      <w:szCs w:val="18"/>
      <w:lang w:eastAsia="en-AU"/>
    </w:rPr>
  </w:style>
  <w:style w:type="paragraph" w:customStyle="1" w:styleId="AdminManualEntryCell">
    <w:name w:val="Admin Manual Entry Cell"/>
    <w:qFormat/>
    <w:rsid w:val="003E6989"/>
    <w:pPr>
      <w:jc w:val="right"/>
    </w:pPr>
    <w:rPr>
      <w:rFonts w:asciiTheme="minorHAnsi" w:hAnsiTheme="minorHAnsi" w:cstheme="minorHAnsi"/>
      <w:b/>
      <w:sz w:val="18"/>
      <w:szCs w:val="18"/>
      <w:lang w:eastAsia="en-AU"/>
    </w:rPr>
  </w:style>
  <w:style w:type="paragraph" w:customStyle="1" w:styleId="AdminManualEntryCellUnbold">
    <w:name w:val="Admin Manual Entry Cell Unbold"/>
    <w:qFormat/>
    <w:rsid w:val="003E6989"/>
    <w:pPr>
      <w:jc w:val="right"/>
    </w:pPr>
    <w:rPr>
      <w:rFonts w:asciiTheme="minorHAnsi" w:hAnsiTheme="minorHAnsi" w:cstheme="minorHAnsi"/>
      <w:sz w:val="18"/>
      <w:szCs w:val="18"/>
      <w:lang w:eastAsia="en-AU"/>
    </w:rPr>
  </w:style>
  <w:style w:type="paragraph" w:customStyle="1" w:styleId="AdminRowTextHeaderBoldGrey">
    <w:name w:val="Admin Row Text Header Bold Grey"/>
    <w:qFormat/>
    <w:rsid w:val="003E6989"/>
    <w:rPr>
      <w:rFonts w:asciiTheme="minorHAnsi" w:hAnsiTheme="minorHAnsi" w:cstheme="minorHAnsi"/>
      <w:b/>
      <w:sz w:val="18"/>
      <w:szCs w:val="18"/>
      <w:lang w:eastAsia="en-AU"/>
    </w:rPr>
  </w:style>
  <w:style w:type="paragraph" w:customStyle="1" w:styleId="DeptCurrentYearData">
    <w:name w:val="Dept Current Year Data"/>
    <w:qFormat/>
    <w:rsid w:val="003E6989"/>
    <w:pPr>
      <w:jc w:val="right"/>
    </w:pPr>
    <w:rPr>
      <w:rFonts w:asciiTheme="minorHAnsi" w:hAnsiTheme="minorHAnsi" w:cstheme="minorHAnsi"/>
      <w:b/>
      <w:sz w:val="18"/>
      <w:szCs w:val="18"/>
      <w:lang w:eastAsia="en-AU"/>
    </w:rPr>
  </w:style>
  <w:style w:type="paragraph" w:customStyle="1" w:styleId="DeptPreviousYearData">
    <w:name w:val="Dept Previous Year Data"/>
    <w:qFormat/>
    <w:rsid w:val="003E6989"/>
    <w:pPr>
      <w:jc w:val="right"/>
    </w:pPr>
    <w:rPr>
      <w:rFonts w:asciiTheme="minorHAnsi" w:hAnsiTheme="minorHAnsi" w:cstheme="minorHAnsi"/>
      <w:sz w:val="18"/>
      <w:szCs w:val="18"/>
      <w:lang w:eastAsia="en-AU"/>
    </w:rPr>
  </w:style>
  <w:style w:type="paragraph" w:customStyle="1" w:styleId="DeptNoteHeadingUnderlined">
    <w:name w:val="Dept Note Heading Underlined"/>
    <w:qFormat/>
    <w:rsid w:val="003E6989"/>
    <w:rPr>
      <w:rFonts w:asciiTheme="minorHAnsi" w:hAnsiTheme="minorHAnsi" w:cstheme="minorHAnsi"/>
      <w:b/>
      <w:sz w:val="18"/>
      <w:szCs w:val="18"/>
      <w:u w:val="single"/>
      <w:lang w:eastAsia="en-AU"/>
    </w:rPr>
  </w:style>
  <w:style w:type="paragraph" w:customStyle="1" w:styleId="DeptCurrentYearSubTotal">
    <w:name w:val="Dept Current Year SubTotal"/>
    <w:qFormat/>
    <w:rsid w:val="003E6989"/>
    <w:pPr>
      <w:jc w:val="right"/>
    </w:pPr>
    <w:rPr>
      <w:rFonts w:asciiTheme="minorHAnsi" w:hAnsiTheme="minorHAnsi" w:cstheme="minorHAnsi"/>
      <w:b/>
      <w:sz w:val="18"/>
      <w:szCs w:val="18"/>
      <w:lang w:eastAsia="en-AU"/>
    </w:rPr>
  </w:style>
  <w:style w:type="paragraph" w:customStyle="1" w:styleId="AdminCurrentYearSubTotal">
    <w:name w:val="Admin Current Year SubTotal"/>
    <w:qFormat/>
    <w:rsid w:val="003E6989"/>
    <w:pPr>
      <w:jc w:val="right"/>
    </w:pPr>
    <w:rPr>
      <w:rFonts w:asciiTheme="minorHAnsi" w:hAnsiTheme="minorHAnsi" w:cstheme="minorHAnsi"/>
      <w:b/>
      <w:sz w:val="18"/>
      <w:szCs w:val="18"/>
      <w:lang w:eastAsia="en-AU"/>
    </w:rPr>
  </w:style>
  <w:style w:type="paragraph" w:customStyle="1" w:styleId="DeptNoteReference">
    <w:name w:val="Dept Note Reference"/>
    <w:basedOn w:val="AdminCurrentYearSubTotal"/>
    <w:qFormat/>
    <w:rsid w:val="003E6989"/>
    <w:pPr>
      <w:jc w:val="center"/>
    </w:pPr>
    <w:rPr>
      <w:b w:val="0"/>
    </w:rPr>
  </w:style>
  <w:style w:type="paragraph" w:customStyle="1" w:styleId="DeptRowTextDoubleIndent">
    <w:name w:val="Dept Row Text Double Indent"/>
    <w:basedOn w:val="DeptNoteReference"/>
    <w:qFormat/>
    <w:rsid w:val="003E6989"/>
    <w:pPr>
      <w:tabs>
        <w:tab w:val="left" w:pos="204"/>
      </w:tabs>
      <w:ind w:left="487"/>
      <w:jc w:val="left"/>
    </w:pPr>
  </w:style>
  <w:style w:type="paragraph" w:customStyle="1" w:styleId="AdminRowTextSubTotal">
    <w:name w:val="Admin Row Text SubTotal"/>
    <w:qFormat/>
    <w:rsid w:val="003E6989"/>
    <w:rPr>
      <w:rFonts w:asciiTheme="minorHAnsi" w:hAnsiTheme="minorHAnsi" w:cstheme="minorHAnsi"/>
      <w:sz w:val="18"/>
      <w:szCs w:val="18"/>
      <w:lang w:eastAsia="en-AU"/>
    </w:rPr>
  </w:style>
  <w:style w:type="paragraph" w:customStyle="1" w:styleId="DeptRowTextHeader">
    <w:name w:val="Dept Row Text Header"/>
    <w:qFormat/>
    <w:rsid w:val="003E6989"/>
    <w:rPr>
      <w:rFonts w:asciiTheme="minorHAnsi" w:hAnsiTheme="minorHAnsi" w:cstheme="minorHAnsi"/>
      <w:b/>
      <w:sz w:val="18"/>
      <w:szCs w:val="18"/>
      <w:lang w:eastAsia="en-AU"/>
    </w:rPr>
  </w:style>
  <w:style w:type="paragraph" w:customStyle="1" w:styleId="DeptPreviousYearSubTotal">
    <w:name w:val="Dept Previous Year SubTotal"/>
    <w:qFormat/>
    <w:rsid w:val="003E6989"/>
    <w:pPr>
      <w:jc w:val="right"/>
    </w:pPr>
    <w:rPr>
      <w:rFonts w:asciiTheme="minorHAnsi" w:hAnsiTheme="minorHAnsi" w:cstheme="minorHAnsi"/>
      <w:sz w:val="18"/>
      <w:szCs w:val="18"/>
      <w:lang w:eastAsia="en-AU"/>
    </w:rPr>
  </w:style>
  <w:style w:type="paragraph" w:customStyle="1" w:styleId="AdminCurrentYearHeadersGrey">
    <w:name w:val="Admin Current Year Headers Grey"/>
    <w:qFormat/>
    <w:rsid w:val="003E6989"/>
    <w:pPr>
      <w:jc w:val="right"/>
    </w:pPr>
    <w:rPr>
      <w:rFonts w:asciiTheme="minorHAnsi" w:hAnsiTheme="minorHAnsi" w:cstheme="minorHAnsi"/>
      <w:b/>
      <w:sz w:val="18"/>
      <w:szCs w:val="18"/>
      <w:lang w:eastAsia="en-AU"/>
    </w:rPr>
  </w:style>
  <w:style w:type="paragraph" w:customStyle="1" w:styleId="AdminPreviousYearHeadersGrey">
    <w:name w:val="Admin Previous Year Headers Grey"/>
    <w:basedOn w:val="AdminCurrentYearHeadersGrey"/>
    <w:qFormat/>
    <w:rsid w:val="003E6989"/>
  </w:style>
  <w:style w:type="paragraph" w:customStyle="1" w:styleId="AdminHeaderUnderlineGrey">
    <w:name w:val="Admin Header Underline Grey"/>
    <w:qFormat/>
    <w:rsid w:val="003E6989"/>
    <w:rPr>
      <w:rFonts w:asciiTheme="minorHAnsi" w:hAnsiTheme="minorHAnsi" w:cstheme="minorHAnsi"/>
      <w:b/>
      <w:sz w:val="18"/>
      <w:szCs w:val="18"/>
      <w:u w:val="single"/>
      <w:lang w:eastAsia="en-AU"/>
    </w:rPr>
  </w:style>
  <w:style w:type="paragraph" w:customStyle="1" w:styleId="AdminPreviousYearHeaderGrey">
    <w:name w:val="Admin Previous Year Header Grey"/>
    <w:qFormat/>
    <w:rsid w:val="003E6989"/>
    <w:pPr>
      <w:jc w:val="right"/>
    </w:pPr>
    <w:rPr>
      <w:rFonts w:ascii="Calibri" w:hAnsi="Calibri" w:cs="Calibri"/>
      <w:sz w:val="18"/>
      <w:szCs w:val="18"/>
    </w:rPr>
  </w:style>
  <w:style w:type="paragraph" w:customStyle="1" w:styleId="AdminRowTextNormal">
    <w:name w:val="Admin Row Text Normal"/>
    <w:qFormat/>
    <w:rsid w:val="003E6989"/>
    <w:rPr>
      <w:rFonts w:ascii="Calibri" w:hAnsi="Calibri" w:cs="Calibri"/>
      <w:sz w:val="18"/>
      <w:szCs w:val="18"/>
    </w:rPr>
  </w:style>
  <w:style w:type="paragraph" w:customStyle="1" w:styleId="AdminRowTextTotal">
    <w:name w:val="Admin Row Text Total"/>
    <w:basedOn w:val="Normal"/>
    <w:qFormat/>
    <w:rsid w:val="003E6989"/>
    <w:rPr>
      <w:rFonts w:cs="Calibri"/>
      <w:b/>
      <w:bCs/>
      <w:i/>
      <w:iCs/>
      <w:szCs w:val="18"/>
    </w:rPr>
  </w:style>
  <w:style w:type="paragraph" w:customStyle="1" w:styleId="DeptRowTextSubTotal">
    <w:name w:val="Dept Row Text SubTotal"/>
    <w:basedOn w:val="Normal"/>
    <w:qFormat/>
    <w:rsid w:val="003E6989"/>
    <w:rPr>
      <w:rFonts w:cs="Calibri"/>
      <w:b/>
      <w:bCs/>
      <w:szCs w:val="18"/>
    </w:rPr>
  </w:style>
  <w:style w:type="paragraph" w:customStyle="1" w:styleId="DeptManualEntryBoldGreyShade">
    <w:name w:val="Dept Manual Entry Bold Grey Shade"/>
    <w:qFormat/>
    <w:rsid w:val="003E6989"/>
    <w:pPr>
      <w:jc w:val="right"/>
    </w:pPr>
    <w:rPr>
      <w:rFonts w:ascii="Calibri" w:hAnsi="Calibri" w:cs="Calibri"/>
      <w:b/>
      <w:bCs/>
      <w:sz w:val="18"/>
      <w:szCs w:val="18"/>
    </w:rPr>
  </w:style>
  <w:style w:type="paragraph" w:customStyle="1" w:styleId="DeptManualEntryCellUnboldGreyShade">
    <w:name w:val="Dept Manual Entry Cell Unbold Grey Shade"/>
    <w:basedOn w:val="DeptManualEntryBoldGreyShade"/>
    <w:qFormat/>
    <w:rsid w:val="003E6989"/>
    <w:rPr>
      <w:b w:val="0"/>
    </w:rPr>
  </w:style>
  <w:style w:type="paragraph" w:customStyle="1" w:styleId="AdminHeaderCentered">
    <w:name w:val="Admin Header Centered"/>
    <w:basedOn w:val="AdminRowTextHeaderBoldGrey"/>
    <w:qFormat/>
    <w:rsid w:val="003E6989"/>
    <w:pPr>
      <w:jc w:val="center"/>
    </w:pPr>
  </w:style>
  <w:style w:type="paragraph" w:customStyle="1" w:styleId="AdminNoteReferenceGrey">
    <w:name w:val="Admin Note Reference Grey"/>
    <w:qFormat/>
    <w:rsid w:val="003E6989"/>
    <w:pPr>
      <w:jc w:val="center"/>
    </w:pPr>
    <w:rPr>
      <w:rFonts w:ascii="Calibri" w:hAnsi="Calibri" w:cs="Calibri"/>
      <w:sz w:val="18"/>
      <w:szCs w:val="18"/>
    </w:rPr>
  </w:style>
  <w:style w:type="paragraph" w:customStyle="1" w:styleId="DeptHeaderCentered">
    <w:name w:val="Dept Header Centered"/>
    <w:qFormat/>
    <w:rsid w:val="003E6989"/>
    <w:pPr>
      <w:jc w:val="center"/>
    </w:pPr>
    <w:rPr>
      <w:rFonts w:asciiTheme="minorHAnsi" w:hAnsiTheme="minorHAnsi" w:cstheme="minorHAnsi"/>
      <w:b/>
      <w:sz w:val="18"/>
      <w:szCs w:val="18"/>
      <w:lang w:eastAsia="en-AU"/>
    </w:rPr>
  </w:style>
  <w:style w:type="paragraph" w:customStyle="1" w:styleId="NotesHeading-Level1GreyShade">
    <w:name w:val="Notes Heading - Level 1 Grey Shade"/>
    <w:basedOn w:val="NotesHeading-Level1"/>
    <w:qFormat/>
    <w:rsid w:val="003E6989"/>
    <w:pPr>
      <w:numPr>
        <w:numId w:val="11"/>
      </w:numPr>
      <w:shd w:val="clear" w:color="auto" w:fill="D9D9D9" w:themeFill="background1" w:themeFillShade="D9"/>
      <w:tabs>
        <w:tab w:val="clear" w:pos="360"/>
        <w:tab w:val="num" w:pos="283"/>
      </w:tabs>
      <w:ind w:left="283" w:hanging="283"/>
    </w:pPr>
    <w:rPr>
      <w:rFonts w:cstheme="minorHAnsi"/>
    </w:rPr>
  </w:style>
  <w:style w:type="paragraph" w:customStyle="1" w:styleId="UnderlineItalics">
    <w:name w:val="Underline Italics"/>
    <w:basedOn w:val="Normal"/>
    <w:qFormat/>
    <w:rsid w:val="003E6989"/>
    <w:rPr>
      <w:i/>
      <w:u w:val="single"/>
    </w:rPr>
  </w:style>
  <w:style w:type="paragraph" w:customStyle="1" w:styleId="Default">
    <w:name w:val="Default"/>
    <w:rsid w:val="003E6989"/>
    <w:pPr>
      <w:autoSpaceDE w:val="0"/>
      <w:autoSpaceDN w:val="0"/>
      <w:adjustRightInd w:val="0"/>
    </w:pPr>
    <w:rPr>
      <w:rFonts w:ascii="Arial" w:hAnsi="Arial" w:cs="Arial"/>
      <w:color w:val="000000"/>
      <w:sz w:val="24"/>
      <w:szCs w:val="24"/>
      <w:lang w:eastAsia="en-AU"/>
    </w:rPr>
  </w:style>
  <w:style w:type="character" w:customStyle="1" w:styleId="A18">
    <w:name w:val="A18"/>
    <w:uiPriority w:val="99"/>
    <w:rsid w:val="003E6989"/>
    <w:rPr>
      <w:i/>
      <w:iCs/>
      <w:color w:val="000000"/>
      <w:sz w:val="14"/>
      <w:szCs w:val="14"/>
      <w:u w:val="single"/>
    </w:rPr>
  </w:style>
  <w:style w:type="table" w:customStyle="1" w:styleId="TableGrid1">
    <w:name w:val="Table Grid1"/>
    <w:basedOn w:val="TableNormal"/>
    <w:rsid w:val="003E6989"/>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NotesHeading-Level1">
    <w:name w:val="Continued Notes Heading - Level 1"/>
    <w:basedOn w:val="NotesHeading-Level1"/>
    <w:qFormat/>
    <w:rsid w:val="003E6989"/>
    <w:pPr>
      <w:numPr>
        <w:numId w:val="0"/>
      </w:numPr>
      <w:spacing w:line="240" w:lineRule="auto"/>
      <w:outlineLvl w:val="9"/>
    </w:pPr>
  </w:style>
  <w:style w:type="numbering" w:customStyle="1" w:styleId="CurrentList2">
    <w:name w:val="Current List2"/>
    <w:rsid w:val="003E6989"/>
    <w:pPr>
      <w:numPr>
        <w:numId w:val="13"/>
      </w:numPr>
    </w:pPr>
  </w:style>
  <w:style w:type="numbering" w:customStyle="1" w:styleId="Style2">
    <w:name w:val="Style2"/>
    <w:rsid w:val="003E6989"/>
    <w:pPr>
      <w:numPr>
        <w:numId w:val="14"/>
      </w:numPr>
    </w:pPr>
  </w:style>
  <w:style w:type="numbering" w:customStyle="1" w:styleId="CurrentList1">
    <w:name w:val="Current List1"/>
    <w:rsid w:val="003E6989"/>
    <w:pPr>
      <w:numPr>
        <w:numId w:val="15"/>
      </w:numPr>
    </w:pPr>
  </w:style>
  <w:style w:type="paragraph" w:customStyle="1" w:styleId="font5">
    <w:name w:val="font5"/>
    <w:basedOn w:val="Normal"/>
    <w:rsid w:val="003E6989"/>
    <w:pPr>
      <w:spacing w:before="100" w:beforeAutospacing="1" w:after="100" w:afterAutospacing="1" w:line="240" w:lineRule="auto"/>
    </w:pPr>
    <w:rPr>
      <w:b/>
      <w:bCs/>
      <w:szCs w:val="18"/>
      <w:lang w:eastAsia="en-AU"/>
    </w:rPr>
  </w:style>
  <w:style w:type="paragraph" w:customStyle="1" w:styleId="font6">
    <w:name w:val="font6"/>
    <w:basedOn w:val="Normal"/>
    <w:rsid w:val="003E6989"/>
    <w:pPr>
      <w:spacing w:before="100" w:beforeAutospacing="1" w:after="100" w:afterAutospacing="1" w:line="240" w:lineRule="auto"/>
    </w:pPr>
    <w:rPr>
      <w:szCs w:val="18"/>
      <w:lang w:eastAsia="en-AU"/>
    </w:rPr>
  </w:style>
  <w:style w:type="paragraph" w:customStyle="1" w:styleId="xl141">
    <w:name w:val="xl141"/>
    <w:basedOn w:val="Normal"/>
    <w:rsid w:val="003E6989"/>
    <w:pPr>
      <w:spacing w:before="100" w:beforeAutospacing="1" w:after="100" w:afterAutospacing="1" w:line="240" w:lineRule="auto"/>
    </w:pPr>
    <w:rPr>
      <w:rFonts w:ascii="Times New Roman" w:hAnsi="Times New Roman"/>
      <w:sz w:val="16"/>
      <w:szCs w:val="16"/>
      <w:lang w:eastAsia="en-AU"/>
    </w:rPr>
  </w:style>
  <w:style w:type="paragraph" w:customStyle="1" w:styleId="xl142">
    <w:name w:val="xl142"/>
    <w:basedOn w:val="Normal"/>
    <w:rsid w:val="003E6989"/>
    <w:pPr>
      <w:pBdr>
        <w:top w:val="single" w:sz="4" w:space="0" w:color="auto"/>
        <w:bottom w:val="single" w:sz="4" w:space="0" w:color="auto"/>
      </w:pBdr>
      <w:shd w:val="clear" w:color="FFFFFF" w:fill="FFFFFF"/>
      <w:spacing w:before="100" w:beforeAutospacing="1" w:after="100" w:afterAutospacing="1" w:line="240" w:lineRule="auto"/>
      <w:jc w:val="right"/>
    </w:pPr>
    <w:rPr>
      <w:b/>
      <w:bCs/>
      <w:szCs w:val="18"/>
      <w:lang w:eastAsia="en-AU"/>
    </w:rPr>
  </w:style>
  <w:style w:type="paragraph" w:customStyle="1" w:styleId="xl143">
    <w:name w:val="xl143"/>
    <w:basedOn w:val="Normal"/>
    <w:rsid w:val="003E6989"/>
    <w:pPr>
      <w:shd w:val="clear" w:color="FFFFFF" w:fill="FFFFFF"/>
      <w:spacing w:before="100" w:beforeAutospacing="1" w:after="100" w:afterAutospacing="1" w:line="240" w:lineRule="auto"/>
      <w:ind w:firstLineChars="100" w:firstLine="100"/>
    </w:pPr>
    <w:rPr>
      <w:szCs w:val="18"/>
      <w:lang w:eastAsia="en-AU"/>
    </w:rPr>
  </w:style>
  <w:style w:type="paragraph" w:customStyle="1" w:styleId="xl144">
    <w:name w:val="xl144"/>
    <w:basedOn w:val="Normal"/>
    <w:rsid w:val="003E6989"/>
    <w:pPr>
      <w:pBdr>
        <w:bottom w:val="single" w:sz="4" w:space="0" w:color="auto"/>
      </w:pBdr>
      <w:shd w:val="clear" w:color="FFFFFF" w:fill="FFFFFF"/>
      <w:spacing w:before="100" w:beforeAutospacing="1" w:after="100" w:afterAutospacing="1" w:line="240" w:lineRule="auto"/>
      <w:jc w:val="right"/>
    </w:pPr>
    <w:rPr>
      <w:b/>
      <w:bCs/>
      <w:szCs w:val="18"/>
      <w:lang w:eastAsia="en-AU"/>
    </w:rPr>
  </w:style>
  <w:style w:type="paragraph" w:customStyle="1" w:styleId="xl145">
    <w:name w:val="xl145"/>
    <w:basedOn w:val="Normal"/>
    <w:rsid w:val="003E6989"/>
    <w:pPr>
      <w:shd w:val="clear" w:color="FFFFFF" w:fill="FFFFFF"/>
      <w:spacing w:before="100" w:beforeAutospacing="1" w:after="100" w:afterAutospacing="1" w:line="240" w:lineRule="auto"/>
    </w:pPr>
    <w:rPr>
      <w:b/>
      <w:bCs/>
      <w:szCs w:val="18"/>
      <w:lang w:eastAsia="en-AU"/>
    </w:rPr>
  </w:style>
  <w:style w:type="paragraph" w:customStyle="1" w:styleId="xl146">
    <w:name w:val="xl146"/>
    <w:basedOn w:val="Normal"/>
    <w:rsid w:val="003E6989"/>
    <w:pPr>
      <w:shd w:val="clear" w:color="FFFFFF" w:fill="FFFFFF"/>
      <w:spacing w:before="100" w:beforeAutospacing="1" w:after="100" w:afterAutospacing="1" w:line="240" w:lineRule="auto"/>
    </w:pPr>
    <w:rPr>
      <w:b/>
      <w:bCs/>
      <w:szCs w:val="18"/>
      <w:lang w:eastAsia="en-AU"/>
    </w:rPr>
  </w:style>
  <w:style w:type="paragraph" w:customStyle="1" w:styleId="xl147">
    <w:name w:val="xl147"/>
    <w:basedOn w:val="Normal"/>
    <w:rsid w:val="003E6989"/>
    <w:pPr>
      <w:shd w:val="clear" w:color="FFFFFF" w:fill="FFFFFF"/>
      <w:spacing w:before="100" w:beforeAutospacing="1" w:after="100" w:afterAutospacing="1" w:line="240" w:lineRule="auto"/>
    </w:pPr>
    <w:rPr>
      <w:rFonts w:ascii="Times New Roman" w:hAnsi="Times New Roman"/>
      <w:szCs w:val="18"/>
      <w:lang w:eastAsia="en-AU"/>
    </w:rPr>
  </w:style>
  <w:style w:type="paragraph" w:customStyle="1" w:styleId="xl148">
    <w:name w:val="xl148"/>
    <w:basedOn w:val="Normal"/>
    <w:rsid w:val="003E6989"/>
    <w:pPr>
      <w:pBdr>
        <w:top w:val="single" w:sz="4" w:space="0" w:color="auto"/>
        <w:bottom w:val="single" w:sz="4" w:space="0" w:color="auto"/>
      </w:pBdr>
      <w:shd w:val="clear" w:color="FFFFFF" w:fill="FFFFFF"/>
      <w:spacing w:before="100" w:beforeAutospacing="1" w:after="100" w:afterAutospacing="1" w:line="240" w:lineRule="auto"/>
    </w:pPr>
    <w:rPr>
      <w:b/>
      <w:bCs/>
      <w:szCs w:val="18"/>
      <w:lang w:eastAsia="en-AU"/>
    </w:rPr>
  </w:style>
  <w:style w:type="paragraph" w:customStyle="1" w:styleId="xl149">
    <w:name w:val="xl149"/>
    <w:basedOn w:val="Normal"/>
    <w:rsid w:val="003E6989"/>
    <w:pPr>
      <w:pBdr>
        <w:top w:val="single" w:sz="4" w:space="0" w:color="auto"/>
        <w:bottom w:val="single" w:sz="4" w:space="0" w:color="auto"/>
      </w:pBdr>
      <w:shd w:val="clear" w:color="FFFFFF" w:fill="FFFFFF"/>
      <w:spacing w:before="100" w:beforeAutospacing="1" w:after="100" w:afterAutospacing="1" w:line="240" w:lineRule="auto"/>
    </w:pPr>
    <w:rPr>
      <w:rFonts w:ascii="Times New Roman" w:hAnsi="Times New Roman"/>
      <w:szCs w:val="18"/>
      <w:lang w:eastAsia="en-AU"/>
    </w:rPr>
  </w:style>
  <w:style w:type="paragraph" w:customStyle="1" w:styleId="xl150">
    <w:name w:val="xl150"/>
    <w:basedOn w:val="Normal"/>
    <w:rsid w:val="003E6989"/>
    <w:pPr>
      <w:pBdr>
        <w:bottom w:val="single" w:sz="4" w:space="0" w:color="auto"/>
      </w:pBdr>
      <w:shd w:val="clear" w:color="FFFFFF" w:fill="FFFFFF"/>
      <w:spacing w:before="100" w:beforeAutospacing="1" w:after="100" w:afterAutospacing="1" w:line="240" w:lineRule="auto"/>
    </w:pPr>
    <w:rPr>
      <w:b/>
      <w:bCs/>
      <w:szCs w:val="18"/>
      <w:lang w:eastAsia="en-AU"/>
    </w:rPr>
  </w:style>
  <w:style w:type="paragraph" w:customStyle="1" w:styleId="xl151">
    <w:name w:val="xl151"/>
    <w:basedOn w:val="Normal"/>
    <w:rsid w:val="003E6989"/>
    <w:pPr>
      <w:pBdr>
        <w:top w:val="single" w:sz="4" w:space="0" w:color="auto"/>
        <w:bottom w:val="single" w:sz="4" w:space="0" w:color="auto"/>
      </w:pBdr>
      <w:shd w:val="clear" w:color="FFFFFF" w:fill="FFFFFF"/>
      <w:spacing w:before="100" w:beforeAutospacing="1" w:after="100" w:afterAutospacing="1" w:line="240" w:lineRule="auto"/>
    </w:pPr>
    <w:rPr>
      <w:b/>
      <w:bCs/>
      <w:szCs w:val="18"/>
      <w:lang w:eastAsia="en-AU"/>
    </w:rPr>
  </w:style>
  <w:style w:type="paragraph" w:customStyle="1" w:styleId="xl152">
    <w:name w:val="xl152"/>
    <w:basedOn w:val="Normal"/>
    <w:rsid w:val="003E6989"/>
    <w:pPr>
      <w:shd w:val="clear" w:color="FFFFFF" w:fill="FFFFFF"/>
      <w:spacing w:before="100" w:beforeAutospacing="1" w:after="100" w:afterAutospacing="1" w:line="240" w:lineRule="auto"/>
    </w:pPr>
    <w:rPr>
      <w:szCs w:val="18"/>
      <w:lang w:eastAsia="en-AU"/>
    </w:rPr>
  </w:style>
  <w:style w:type="paragraph" w:customStyle="1" w:styleId="xl153">
    <w:name w:val="xl153"/>
    <w:basedOn w:val="Normal"/>
    <w:rsid w:val="003E6989"/>
    <w:pPr>
      <w:shd w:val="clear" w:color="FFFFFF" w:fill="FFFFFF"/>
      <w:spacing w:before="100" w:beforeAutospacing="1" w:after="100" w:afterAutospacing="1" w:line="240" w:lineRule="auto"/>
      <w:jc w:val="right"/>
    </w:pPr>
    <w:rPr>
      <w:b/>
      <w:bCs/>
      <w:szCs w:val="18"/>
      <w:lang w:eastAsia="en-AU"/>
    </w:rPr>
  </w:style>
  <w:style w:type="paragraph" w:customStyle="1" w:styleId="xl154">
    <w:name w:val="xl154"/>
    <w:basedOn w:val="Normal"/>
    <w:rsid w:val="003E6989"/>
    <w:pPr>
      <w:shd w:val="clear" w:color="000000" w:fill="4F81BD"/>
      <w:spacing w:before="100" w:beforeAutospacing="1" w:after="100" w:afterAutospacing="1" w:line="240" w:lineRule="auto"/>
    </w:pPr>
    <w:rPr>
      <w:rFonts w:ascii="Times New Roman" w:hAnsi="Times New Roman"/>
      <w:color w:val="FFFFFF"/>
      <w:sz w:val="16"/>
      <w:szCs w:val="16"/>
      <w:lang w:eastAsia="en-AU"/>
    </w:rPr>
  </w:style>
  <w:style w:type="paragraph" w:customStyle="1" w:styleId="xl155">
    <w:name w:val="xl155"/>
    <w:basedOn w:val="Normal"/>
    <w:rsid w:val="003E6989"/>
    <w:pPr>
      <w:shd w:val="clear" w:color="FFFFFF" w:fill="FFFFFF"/>
      <w:spacing w:before="100" w:beforeAutospacing="1" w:after="100" w:afterAutospacing="1" w:line="240" w:lineRule="auto"/>
      <w:textAlignment w:val="top"/>
    </w:pPr>
    <w:rPr>
      <w:b/>
      <w:bCs/>
      <w:szCs w:val="18"/>
      <w:lang w:eastAsia="en-AU"/>
    </w:rPr>
  </w:style>
  <w:style w:type="paragraph" w:customStyle="1" w:styleId="xl156">
    <w:name w:val="xl156"/>
    <w:basedOn w:val="Normal"/>
    <w:rsid w:val="003E6989"/>
    <w:pPr>
      <w:shd w:val="clear" w:color="FFFFFF" w:fill="FFFFFF"/>
      <w:spacing w:before="100" w:beforeAutospacing="1" w:after="100" w:afterAutospacing="1" w:line="240" w:lineRule="auto"/>
      <w:textAlignment w:val="top"/>
    </w:pPr>
    <w:rPr>
      <w:rFonts w:ascii="Times New Roman" w:hAnsi="Times New Roman"/>
      <w:b/>
      <w:bCs/>
      <w:szCs w:val="18"/>
      <w:lang w:eastAsia="en-AU"/>
    </w:rPr>
  </w:style>
  <w:style w:type="paragraph" w:customStyle="1" w:styleId="xl157">
    <w:name w:val="xl157"/>
    <w:basedOn w:val="Normal"/>
    <w:rsid w:val="003E6989"/>
    <w:pPr>
      <w:shd w:val="clear" w:color="FFFFFF" w:fill="FFFFFF"/>
      <w:spacing w:before="100" w:beforeAutospacing="1" w:after="100" w:afterAutospacing="1" w:line="240" w:lineRule="auto"/>
    </w:pPr>
    <w:rPr>
      <w:b/>
      <w:bCs/>
      <w:szCs w:val="18"/>
      <w:u w:val="single"/>
      <w:lang w:eastAsia="en-AU"/>
    </w:rPr>
  </w:style>
  <w:style w:type="paragraph" w:customStyle="1" w:styleId="xl158">
    <w:name w:val="xl158"/>
    <w:basedOn w:val="Normal"/>
    <w:rsid w:val="003E6989"/>
    <w:pPr>
      <w:shd w:val="clear" w:color="FFFFFF" w:fill="FFFFFF"/>
      <w:spacing w:before="100" w:beforeAutospacing="1" w:after="100" w:afterAutospacing="1" w:line="240" w:lineRule="auto"/>
    </w:pPr>
    <w:rPr>
      <w:b/>
      <w:bCs/>
      <w:szCs w:val="18"/>
      <w:u w:val="single"/>
      <w:lang w:eastAsia="en-AU"/>
    </w:rPr>
  </w:style>
  <w:style w:type="paragraph" w:customStyle="1" w:styleId="xl159">
    <w:name w:val="xl159"/>
    <w:basedOn w:val="Normal"/>
    <w:rsid w:val="003E6989"/>
    <w:pPr>
      <w:shd w:val="clear" w:color="FFFFFF" w:fill="FFFFFF"/>
      <w:spacing w:before="100" w:beforeAutospacing="1" w:after="100" w:afterAutospacing="1" w:line="240" w:lineRule="auto"/>
    </w:pPr>
    <w:rPr>
      <w:rFonts w:cs="Calibri"/>
      <w:b/>
      <w:bCs/>
      <w:szCs w:val="18"/>
      <w:u w:val="single"/>
      <w:lang w:eastAsia="en-AU"/>
    </w:rPr>
  </w:style>
  <w:style w:type="paragraph" w:customStyle="1" w:styleId="xl160">
    <w:name w:val="xl160"/>
    <w:basedOn w:val="Normal"/>
    <w:rsid w:val="003E6989"/>
    <w:pPr>
      <w:shd w:val="clear" w:color="FFFFFF" w:fill="FFFFFF"/>
      <w:spacing w:before="100" w:beforeAutospacing="1" w:after="100" w:afterAutospacing="1" w:line="240" w:lineRule="auto"/>
    </w:pPr>
    <w:rPr>
      <w:rFonts w:cs="Calibri"/>
      <w:b/>
      <w:bCs/>
      <w:szCs w:val="18"/>
      <w:u w:val="single"/>
      <w:lang w:eastAsia="en-AU"/>
    </w:rPr>
  </w:style>
  <w:style w:type="paragraph" w:customStyle="1" w:styleId="xl161">
    <w:name w:val="xl161"/>
    <w:basedOn w:val="Normal"/>
    <w:rsid w:val="003E6989"/>
    <w:pPr>
      <w:pBdr>
        <w:top w:val="single" w:sz="4" w:space="0" w:color="auto"/>
        <w:bottom w:val="single" w:sz="4" w:space="0" w:color="auto"/>
      </w:pBdr>
      <w:shd w:val="clear" w:color="FFFFFF" w:fill="FFFFFF"/>
      <w:spacing w:before="100" w:beforeAutospacing="1" w:after="100" w:afterAutospacing="1" w:line="240" w:lineRule="auto"/>
      <w:jc w:val="center"/>
    </w:pPr>
    <w:rPr>
      <w:rFonts w:cs="Calibri"/>
      <w:b/>
      <w:bCs/>
      <w:szCs w:val="18"/>
      <w:lang w:eastAsia="en-AU"/>
    </w:rPr>
  </w:style>
  <w:style w:type="paragraph" w:customStyle="1" w:styleId="xl162">
    <w:name w:val="xl162"/>
    <w:basedOn w:val="Normal"/>
    <w:rsid w:val="003E6989"/>
    <w:pPr>
      <w:shd w:val="clear" w:color="FFFFFF" w:fill="FFFFFF"/>
      <w:spacing w:before="100" w:beforeAutospacing="1" w:after="100" w:afterAutospacing="1" w:line="240" w:lineRule="auto"/>
      <w:jc w:val="right"/>
    </w:pPr>
    <w:rPr>
      <w:rFonts w:cs="Calibri"/>
      <w:szCs w:val="18"/>
      <w:lang w:eastAsia="en-AU"/>
    </w:rPr>
  </w:style>
  <w:style w:type="paragraph" w:customStyle="1" w:styleId="xl163">
    <w:name w:val="xl163"/>
    <w:basedOn w:val="Normal"/>
    <w:rsid w:val="003E6989"/>
    <w:pPr>
      <w:pBdr>
        <w:top w:val="single" w:sz="4" w:space="0" w:color="auto"/>
        <w:bottom w:val="single" w:sz="4" w:space="0" w:color="auto"/>
      </w:pBdr>
      <w:shd w:val="clear" w:color="FFFFFF" w:fill="FFFFFF"/>
      <w:spacing w:before="100" w:beforeAutospacing="1" w:after="100" w:afterAutospacing="1" w:line="240" w:lineRule="auto"/>
      <w:jc w:val="right"/>
    </w:pPr>
    <w:rPr>
      <w:rFonts w:cs="Calibri"/>
      <w:szCs w:val="18"/>
      <w:lang w:eastAsia="en-AU"/>
    </w:rPr>
  </w:style>
  <w:style w:type="paragraph" w:styleId="TOCHeading">
    <w:name w:val="TOC Heading"/>
    <w:basedOn w:val="Heading1"/>
    <w:next w:val="Normal"/>
    <w:uiPriority w:val="39"/>
    <w:unhideWhenUsed/>
    <w:qFormat/>
    <w:rsid w:val="003E6989"/>
    <w:pPr>
      <w:keepLines/>
      <w:spacing w:before="480" w:after="0" w:line="276" w:lineRule="auto"/>
      <w:jc w:val="left"/>
      <w:outlineLvl w:val="9"/>
    </w:pPr>
    <w:rPr>
      <w:rFonts w:asciiTheme="majorHAnsi" w:eastAsiaTheme="majorEastAsia" w:hAnsiTheme="majorHAnsi" w:cstheme="majorBidi"/>
      <w:bCs/>
      <w:smallCaps w:val="0"/>
      <w:color w:val="365F91" w:themeColor="accent1" w:themeShade="BF"/>
      <w:kern w:val="0"/>
      <w:sz w:val="28"/>
      <w:szCs w:val="28"/>
      <w:lang w:val="en-US" w:eastAsia="ja-JP"/>
    </w:rPr>
  </w:style>
  <w:style w:type="paragraph" w:customStyle="1" w:styleId="xl164">
    <w:name w:val="xl164"/>
    <w:basedOn w:val="Normal"/>
    <w:rsid w:val="003E6989"/>
    <w:pPr>
      <w:shd w:val="clear" w:color="000000" w:fill="D9D9D9"/>
      <w:spacing w:before="100" w:beforeAutospacing="1" w:after="100" w:afterAutospacing="1" w:line="240" w:lineRule="auto"/>
    </w:pPr>
    <w:rPr>
      <w:rFonts w:ascii="Times New Roman" w:hAnsi="Times New Roman"/>
      <w:szCs w:val="18"/>
      <w:lang w:eastAsia="en-AU"/>
    </w:rPr>
  </w:style>
  <w:style w:type="paragraph" w:customStyle="1" w:styleId="subcategoryheading">
    <w:name w:val="subcategory heading"/>
    <w:basedOn w:val="ListParagraph"/>
    <w:link w:val="subcategoryheadingChar"/>
    <w:qFormat/>
    <w:rsid w:val="003E6989"/>
    <w:pPr>
      <w:numPr>
        <w:ilvl w:val="1"/>
        <w:numId w:val="20"/>
      </w:numPr>
      <w:spacing w:after="0" w:line="260" w:lineRule="atLeast"/>
      <w:ind w:right="566"/>
    </w:pPr>
  </w:style>
  <w:style w:type="paragraph" w:customStyle="1" w:styleId="SectionHeading">
    <w:name w:val="Section Heading"/>
    <w:basedOn w:val="NotesHeading-Level1"/>
    <w:link w:val="SectionHeadingChar"/>
    <w:qFormat/>
    <w:rsid w:val="003E6989"/>
    <w:pPr>
      <w:numPr>
        <w:numId w:val="21"/>
      </w:numPr>
      <w:shd w:val="clear" w:color="00CC99" w:fill="009560"/>
    </w:pPr>
    <w:rPr>
      <w:rFonts w:ascii="Arial" w:hAnsi="Arial"/>
      <w:color w:val="FFFFFF" w:themeColor="background1"/>
      <w:sz w:val="24"/>
    </w:rPr>
  </w:style>
  <w:style w:type="character" w:customStyle="1" w:styleId="ListParagraphChar">
    <w:name w:val="List Paragraph Char"/>
    <w:basedOn w:val="DefaultParagraphFont"/>
    <w:link w:val="ListParagraph"/>
    <w:uiPriority w:val="34"/>
    <w:rsid w:val="003E6989"/>
    <w:rPr>
      <w:rFonts w:ascii="Calibri" w:eastAsia="Calibri" w:hAnsi="Calibri"/>
      <w:sz w:val="22"/>
      <w:szCs w:val="22"/>
      <w:lang w:val="en-US"/>
    </w:rPr>
  </w:style>
  <w:style w:type="character" w:customStyle="1" w:styleId="subcategoryheadingChar">
    <w:name w:val="subcategory heading Char"/>
    <w:basedOn w:val="ListParagraphChar"/>
    <w:link w:val="subcategoryheading"/>
    <w:rsid w:val="003E6989"/>
    <w:rPr>
      <w:rFonts w:ascii="Calibri" w:eastAsia="Calibri" w:hAnsi="Calibri"/>
      <w:sz w:val="22"/>
      <w:szCs w:val="22"/>
      <w:lang w:val="en-US"/>
    </w:rPr>
  </w:style>
  <w:style w:type="character" w:customStyle="1" w:styleId="SectionHeadingChar">
    <w:name w:val="Section Heading Char"/>
    <w:basedOn w:val="DefaultParagraphFont"/>
    <w:link w:val="SectionHeading"/>
    <w:rsid w:val="003E6989"/>
    <w:rPr>
      <w:rFonts w:ascii="Arial" w:hAnsi="Arial"/>
      <w:b/>
      <w:color w:val="FFFFFF" w:themeColor="background1"/>
      <w:sz w:val="24"/>
      <w:shd w:val="clear" w:color="00CC99" w:fill="009560"/>
    </w:rPr>
  </w:style>
  <w:style w:type="paragraph" w:customStyle="1" w:styleId="SubHeading">
    <w:name w:val="Sub Heading"/>
    <w:basedOn w:val="SectionHeading"/>
    <w:next w:val="Normal"/>
    <w:link w:val="SubHeadingChar"/>
    <w:qFormat/>
    <w:rsid w:val="003E6989"/>
    <w:pPr>
      <w:numPr>
        <w:ilvl w:val="1"/>
      </w:numPr>
      <w:shd w:val="clear" w:color="auto" w:fill="000000" w:themeFill="text1"/>
      <w:ind w:left="0" w:firstLine="0"/>
      <w:outlineLvl w:val="1"/>
    </w:pPr>
    <w:rPr>
      <w:sz w:val="20"/>
    </w:rPr>
  </w:style>
  <w:style w:type="character" w:customStyle="1" w:styleId="SubHeadingChar">
    <w:name w:val="Sub Heading Char"/>
    <w:basedOn w:val="DefaultParagraphFont"/>
    <w:link w:val="SubHeading"/>
    <w:rsid w:val="003E6989"/>
    <w:rPr>
      <w:rFonts w:ascii="Arial" w:hAnsi="Arial"/>
      <w:b/>
      <w:color w:val="FFFFFF" w:themeColor="background1"/>
      <w:shd w:val="clear" w:color="auto" w:fill="000000" w:themeFill="text1"/>
    </w:rPr>
  </w:style>
  <w:style w:type="paragraph" w:customStyle="1" w:styleId="PolicyTextAdmin">
    <w:name w:val="Policy Text Admin"/>
    <w:basedOn w:val="GreyShadeTableBreak"/>
    <w:link w:val="PolicyTextAdminChar"/>
    <w:qFormat/>
    <w:rsid w:val="003E6989"/>
    <w:pPr>
      <w:pBdr>
        <w:top w:val="single" w:sz="4" w:space="1" w:color="009560"/>
        <w:left w:val="single" w:sz="4" w:space="0" w:color="009560"/>
        <w:bottom w:val="single" w:sz="4" w:space="6" w:color="009560"/>
        <w:right w:val="single" w:sz="4" w:space="0" w:color="009560"/>
      </w:pBdr>
      <w:shd w:val="clear" w:color="auto" w:fill="E5F4F3"/>
    </w:pPr>
  </w:style>
  <w:style w:type="character" w:customStyle="1" w:styleId="PolicyTextAdminChar">
    <w:name w:val="Policy Text Admin Char"/>
    <w:basedOn w:val="DefaultParagraphFont"/>
    <w:link w:val="PolicyTextAdmin"/>
    <w:rsid w:val="003E6989"/>
    <w:rPr>
      <w:rFonts w:ascii="Calibri" w:hAnsi="Calibri"/>
      <w:sz w:val="18"/>
      <w:shd w:val="clear" w:color="auto" w:fill="E5F4F3"/>
    </w:rPr>
  </w:style>
  <w:style w:type="paragraph" w:customStyle="1" w:styleId="PolicytextDept">
    <w:name w:val="Policy text Dept"/>
    <w:basedOn w:val="GreyShadeTableBreak"/>
    <w:link w:val="PolicytextDeptChar"/>
    <w:qFormat/>
    <w:rsid w:val="003E6989"/>
    <w:pPr>
      <w:pBdr>
        <w:top w:val="single" w:sz="4" w:space="1" w:color="009560"/>
        <w:left w:val="single" w:sz="4" w:space="0" w:color="009560"/>
        <w:bottom w:val="single" w:sz="4" w:space="1" w:color="009560"/>
        <w:right w:val="single" w:sz="4" w:space="0" w:color="009560"/>
      </w:pBdr>
      <w:shd w:val="clear" w:color="auto" w:fill="auto"/>
      <w:spacing w:after="120"/>
    </w:pPr>
  </w:style>
  <w:style w:type="character" w:customStyle="1" w:styleId="PolicytextDeptChar">
    <w:name w:val="Policy text Dept Char"/>
    <w:basedOn w:val="DefaultParagraphFont"/>
    <w:link w:val="PolicytextDept"/>
    <w:rsid w:val="003E6989"/>
    <w:rPr>
      <w:rFonts w:ascii="Calibri" w:hAnsi="Calibri"/>
      <w:sz w:val="18"/>
    </w:rPr>
  </w:style>
  <w:style w:type="paragraph" w:customStyle="1" w:styleId="SectionHeadingDescription">
    <w:name w:val="Section Heading Description"/>
    <w:basedOn w:val="SectionHeading"/>
    <w:next w:val="SubHeading"/>
    <w:qFormat/>
    <w:rsid w:val="003E6989"/>
    <w:pPr>
      <w:numPr>
        <w:numId w:val="0"/>
      </w:numPr>
      <w:outlineLvl w:val="9"/>
    </w:pPr>
    <w:rPr>
      <w:b w:val="0"/>
      <w:sz w:val="18"/>
      <w:szCs w:val="18"/>
    </w:rPr>
  </w:style>
  <w:style w:type="paragraph" w:customStyle="1" w:styleId="PolicyheadingAdmin">
    <w:name w:val="Policy heading Admin"/>
    <w:basedOn w:val="PolicyTextAdmin"/>
    <w:rsid w:val="003E6989"/>
    <w:pPr>
      <w:spacing w:line="120" w:lineRule="atLeast"/>
    </w:pPr>
    <w:rPr>
      <w:b/>
      <w:bCs/>
    </w:rPr>
  </w:style>
  <w:style w:type="paragraph" w:customStyle="1" w:styleId="PlicytextAdminUnderline">
    <w:name w:val="Plicy text Admin + Underline"/>
    <w:basedOn w:val="PolicyTextAdmin"/>
    <w:link w:val="PlicytextAdminUnderlineChar"/>
    <w:qFormat/>
    <w:rsid w:val="003E6989"/>
    <w:pPr>
      <w:spacing w:after="120"/>
    </w:pPr>
    <w:rPr>
      <w:u w:val="single"/>
    </w:rPr>
  </w:style>
  <w:style w:type="paragraph" w:customStyle="1" w:styleId="PolicyTextAdminbold">
    <w:name w:val="Policy Text Admin + bold"/>
    <w:basedOn w:val="PolicyTextAdmin"/>
    <w:link w:val="PolicyTextAdminboldChar"/>
    <w:qFormat/>
    <w:rsid w:val="003E6989"/>
    <w:pPr>
      <w:spacing w:after="120"/>
    </w:pPr>
    <w:rPr>
      <w:b/>
    </w:rPr>
  </w:style>
  <w:style w:type="character" w:customStyle="1" w:styleId="PlicytextAdminUnderlineChar">
    <w:name w:val="Plicy text Admin + Underline Char"/>
    <w:basedOn w:val="PolicyTextAdminChar"/>
    <w:link w:val="PlicytextAdminUnderline"/>
    <w:rsid w:val="003E6989"/>
    <w:rPr>
      <w:rFonts w:ascii="Calibri" w:hAnsi="Calibri"/>
      <w:sz w:val="18"/>
      <w:u w:val="single"/>
      <w:shd w:val="clear" w:color="auto" w:fill="E5F4F3"/>
    </w:rPr>
  </w:style>
  <w:style w:type="paragraph" w:customStyle="1" w:styleId="PolicyTextboxbold">
    <w:name w:val="Policy Text box + bold"/>
    <w:basedOn w:val="PolicytextDept"/>
    <w:link w:val="PolicyTextboxboldChar"/>
    <w:qFormat/>
    <w:rsid w:val="003E6989"/>
    <w:rPr>
      <w:b/>
    </w:rPr>
  </w:style>
  <w:style w:type="character" w:customStyle="1" w:styleId="PolicyTextAdminboldChar">
    <w:name w:val="Policy Text Admin + bold Char"/>
    <w:basedOn w:val="PolicyTextAdminChar"/>
    <w:link w:val="PolicyTextAdminbold"/>
    <w:rsid w:val="003E6989"/>
    <w:rPr>
      <w:rFonts w:ascii="Calibri" w:hAnsi="Calibri"/>
      <w:b/>
      <w:sz w:val="18"/>
      <w:shd w:val="clear" w:color="auto" w:fill="E5F4F3"/>
    </w:rPr>
  </w:style>
  <w:style w:type="paragraph" w:customStyle="1" w:styleId="PolicyTextdeptunderline">
    <w:name w:val="Policy Text dept + underline"/>
    <w:basedOn w:val="PolicytextDept"/>
    <w:link w:val="PolicyTextdeptunderlineChar"/>
    <w:qFormat/>
    <w:rsid w:val="003E6989"/>
    <w:rPr>
      <w:u w:val="single"/>
    </w:rPr>
  </w:style>
  <w:style w:type="character" w:customStyle="1" w:styleId="PolicyTextboxboldChar">
    <w:name w:val="Policy Text box + bold Char"/>
    <w:basedOn w:val="PolicytextDeptChar"/>
    <w:link w:val="PolicyTextboxbold"/>
    <w:rsid w:val="003E6989"/>
    <w:rPr>
      <w:rFonts w:ascii="Calibri" w:hAnsi="Calibri"/>
      <w:b/>
      <w:sz w:val="18"/>
    </w:rPr>
  </w:style>
  <w:style w:type="paragraph" w:customStyle="1" w:styleId="Policytextdeptbulletpoint">
    <w:name w:val="Policy text dept + bullet point"/>
    <w:basedOn w:val="PolicytextDept"/>
    <w:link w:val="PolicytextdeptbulletpointChar"/>
    <w:qFormat/>
    <w:rsid w:val="003E6989"/>
    <w:pPr>
      <w:numPr>
        <w:numId w:val="34"/>
      </w:numPr>
    </w:pPr>
  </w:style>
  <w:style w:type="character" w:customStyle="1" w:styleId="PolicyTextdeptunderlineChar">
    <w:name w:val="Policy Text dept + underline Char"/>
    <w:basedOn w:val="PolicytextDeptChar"/>
    <w:link w:val="PolicyTextdeptunderline"/>
    <w:rsid w:val="003E6989"/>
    <w:rPr>
      <w:rFonts w:ascii="Calibri" w:hAnsi="Calibri"/>
      <w:sz w:val="18"/>
      <w:u w:val="single"/>
    </w:rPr>
  </w:style>
  <w:style w:type="character" w:customStyle="1" w:styleId="PolicytextdeptbulletpointChar">
    <w:name w:val="Policy text dept + bullet point Char"/>
    <w:basedOn w:val="PolicytextDeptChar"/>
    <w:link w:val="Policytextdeptbulletpoint"/>
    <w:rsid w:val="003E6989"/>
    <w:rPr>
      <w:rFonts w:ascii="Calibri" w:hAnsi="Calibri"/>
      <w:sz w:val="18"/>
    </w:rPr>
  </w:style>
  <w:style w:type="paragraph" w:customStyle="1" w:styleId="Policytextboxtable">
    <w:name w:val="Policy text box table"/>
    <w:basedOn w:val="Normal"/>
    <w:link w:val="PolicytextboxtableChar"/>
    <w:qFormat/>
    <w:rsid w:val="003E6989"/>
    <w:rPr>
      <w:rFonts w:cs="Arial"/>
      <w:szCs w:val="18"/>
    </w:rPr>
  </w:style>
  <w:style w:type="paragraph" w:customStyle="1" w:styleId="PolicyTextadminbullets">
    <w:name w:val="Policy Text admin + bullets"/>
    <w:basedOn w:val="PolicyTextAdmin"/>
    <w:link w:val="PolicyTextadminbulletsChar"/>
    <w:qFormat/>
    <w:rsid w:val="003E6989"/>
    <w:pPr>
      <w:numPr>
        <w:numId w:val="37"/>
      </w:numPr>
    </w:pPr>
  </w:style>
  <w:style w:type="character" w:customStyle="1" w:styleId="PolicytextboxtableChar">
    <w:name w:val="Policy text box table Char"/>
    <w:basedOn w:val="DefaultParagraphFont"/>
    <w:link w:val="Policytextboxtable"/>
    <w:rsid w:val="003E6989"/>
    <w:rPr>
      <w:rFonts w:ascii="Calibri" w:hAnsi="Calibri" w:cs="Arial"/>
      <w:sz w:val="18"/>
      <w:szCs w:val="18"/>
    </w:rPr>
  </w:style>
  <w:style w:type="character" w:customStyle="1" w:styleId="PolicyTextadminbulletsChar">
    <w:name w:val="Policy Text admin + bullets Char"/>
    <w:basedOn w:val="PolicyTextAdminChar"/>
    <w:link w:val="PolicyTextadminbullets"/>
    <w:rsid w:val="003E6989"/>
    <w:rPr>
      <w:rFonts w:ascii="Calibri" w:hAnsi="Calibri"/>
      <w:sz w:val="18"/>
      <w:shd w:val="clear" w:color="auto" w:fill="E5F4F3"/>
    </w:rPr>
  </w:style>
  <w:style w:type="paragraph" w:customStyle="1" w:styleId="xl165">
    <w:name w:val="xl165"/>
    <w:basedOn w:val="Normal"/>
    <w:rsid w:val="003E6989"/>
    <w:pPr>
      <w:shd w:val="clear" w:color="FFFFFF" w:fill="FFFFFF"/>
      <w:spacing w:before="100" w:beforeAutospacing="1" w:after="100" w:afterAutospacing="1" w:line="240" w:lineRule="auto"/>
    </w:pPr>
    <w:rPr>
      <w:b/>
      <w:bCs/>
      <w:szCs w:val="18"/>
      <w:u w:val="single"/>
      <w:lang w:eastAsia="en-AU"/>
    </w:rPr>
  </w:style>
  <w:style w:type="paragraph" w:customStyle="1" w:styleId="xl166">
    <w:name w:val="xl166"/>
    <w:basedOn w:val="Normal"/>
    <w:rsid w:val="003E6989"/>
    <w:pPr>
      <w:pBdr>
        <w:top w:val="single" w:sz="4" w:space="0" w:color="auto"/>
        <w:left w:val="single" w:sz="4" w:space="0" w:color="auto"/>
        <w:bottom w:val="single" w:sz="4" w:space="0" w:color="auto"/>
      </w:pBdr>
      <w:shd w:val="clear" w:color="FFFFFF" w:fill="FFFFFF"/>
      <w:spacing w:before="100" w:beforeAutospacing="1" w:after="100" w:afterAutospacing="1" w:line="240" w:lineRule="auto"/>
      <w:jc w:val="center"/>
      <w:textAlignment w:val="center"/>
    </w:pPr>
    <w:rPr>
      <w:b/>
      <w:bCs/>
      <w:szCs w:val="18"/>
      <w:lang w:eastAsia="en-AU"/>
    </w:rPr>
  </w:style>
  <w:style w:type="paragraph" w:customStyle="1" w:styleId="xl167">
    <w:name w:val="xl167"/>
    <w:basedOn w:val="Normal"/>
    <w:rsid w:val="003E69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en-AU"/>
    </w:rPr>
  </w:style>
  <w:style w:type="paragraph" w:customStyle="1" w:styleId="xl168">
    <w:name w:val="xl168"/>
    <w:basedOn w:val="Normal"/>
    <w:rsid w:val="003E69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b/>
      <w:bCs/>
      <w:szCs w:val="18"/>
      <w:lang w:eastAsia="en-AU"/>
    </w:rPr>
  </w:style>
  <w:style w:type="paragraph" w:customStyle="1" w:styleId="xl169">
    <w:name w:val="xl169"/>
    <w:basedOn w:val="Normal"/>
    <w:rsid w:val="003E69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hAnsi="Times New Roman"/>
      <w:sz w:val="16"/>
      <w:szCs w:val="16"/>
      <w:lang w:eastAsia="en-AU"/>
    </w:rPr>
  </w:style>
  <w:style w:type="paragraph" w:customStyle="1" w:styleId="xl170">
    <w:name w:val="xl170"/>
    <w:basedOn w:val="Normal"/>
    <w:rsid w:val="003E69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szCs w:val="18"/>
      <w:lang w:eastAsia="en-AU"/>
    </w:rPr>
  </w:style>
  <w:style w:type="paragraph" w:customStyle="1" w:styleId="xl171">
    <w:name w:val="xl171"/>
    <w:basedOn w:val="Normal"/>
    <w:rsid w:val="003E69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b/>
      <w:bCs/>
      <w:i/>
      <w:iCs/>
      <w:szCs w:val="18"/>
      <w:lang w:eastAsia="en-AU"/>
    </w:rPr>
  </w:style>
  <w:style w:type="paragraph" w:customStyle="1" w:styleId="xl172">
    <w:name w:val="xl172"/>
    <w:basedOn w:val="Normal"/>
    <w:rsid w:val="003E6989"/>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right"/>
    </w:pPr>
    <w:rPr>
      <w:szCs w:val="18"/>
      <w:lang w:eastAsia="en-AU"/>
    </w:rPr>
  </w:style>
  <w:style w:type="paragraph" w:customStyle="1" w:styleId="xl173">
    <w:name w:val="xl173"/>
    <w:basedOn w:val="Normal"/>
    <w:rsid w:val="003E69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b/>
      <w:bCs/>
      <w:szCs w:val="18"/>
      <w:lang w:eastAsia="en-AU"/>
    </w:rPr>
  </w:style>
  <w:style w:type="paragraph" w:customStyle="1" w:styleId="xl174">
    <w:name w:val="xl174"/>
    <w:basedOn w:val="Normal"/>
    <w:rsid w:val="003E69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szCs w:val="18"/>
      <w:lang w:eastAsia="en-AU"/>
    </w:rPr>
  </w:style>
  <w:style w:type="paragraph" w:customStyle="1" w:styleId="xl175">
    <w:name w:val="xl175"/>
    <w:basedOn w:val="Normal"/>
    <w:rsid w:val="003E69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lang w:eastAsia="en-AU"/>
    </w:rPr>
  </w:style>
  <w:style w:type="paragraph" w:customStyle="1" w:styleId="xl176">
    <w:name w:val="xl176"/>
    <w:basedOn w:val="Normal"/>
    <w:rsid w:val="003E69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b/>
      <w:bCs/>
      <w:szCs w:val="18"/>
      <w:lang w:eastAsia="en-AU"/>
    </w:rPr>
  </w:style>
  <w:style w:type="paragraph" w:customStyle="1" w:styleId="xl177">
    <w:name w:val="xl177"/>
    <w:basedOn w:val="Normal"/>
    <w:rsid w:val="003E69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b/>
      <w:bCs/>
      <w:szCs w:val="18"/>
      <w:lang w:eastAsia="en-AU"/>
    </w:rPr>
  </w:style>
  <w:style w:type="paragraph" w:customStyle="1" w:styleId="xl178">
    <w:name w:val="xl178"/>
    <w:basedOn w:val="Normal"/>
    <w:rsid w:val="003E6989"/>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top"/>
    </w:pPr>
    <w:rPr>
      <w:b/>
      <w:bCs/>
      <w:szCs w:val="18"/>
      <w:lang w:eastAsia="en-AU"/>
    </w:rPr>
  </w:style>
  <w:style w:type="paragraph" w:customStyle="1" w:styleId="xl179">
    <w:name w:val="xl179"/>
    <w:basedOn w:val="Normal"/>
    <w:rsid w:val="003E6989"/>
    <w:pPr>
      <w:pBdr>
        <w:top w:val="single" w:sz="4" w:space="0" w:color="auto"/>
        <w:bottom w:val="single" w:sz="4" w:space="0" w:color="auto"/>
      </w:pBdr>
      <w:shd w:val="clear" w:color="000000" w:fill="D9D9D9"/>
      <w:spacing w:before="100" w:beforeAutospacing="1" w:after="100" w:afterAutospacing="1" w:line="240" w:lineRule="auto"/>
      <w:textAlignment w:val="top"/>
    </w:pPr>
    <w:rPr>
      <w:b/>
      <w:bCs/>
      <w:szCs w:val="18"/>
      <w:lang w:eastAsia="en-AU"/>
    </w:rPr>
  </w:style>
  <w:style w:type="paragraph" w:customStyle="1" w:styleId="xl180">
    <w:name w:val="xl180"/>
    <w:basedOn w:val="Normal"/>
    <w:rsid w:val="003E6989"/>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b/>
      <w:bCs/>
      <w:szCs w:val="18"/>
      <w:lang w:eastAsia="en-AU"/>
    </w:rPr>
  </w:style>
  <w:style w:type="paragraph" w:styleId="PlainText">
    <w:name w:val="Plain Text"/>
    <w:basedOn w:val="Normal"/>
    <w:link w:val="PlainTextChar"/>
    <w:uiPriority w:val="99"/>
    <w:semiHidden/>
    <w:unhideWhenUsed/>
    <w:rsid w:val="003E6989"/>
    <w:pPr>
      <w:spacing w:line="240" w:lineRule="auto"/>
    </w:pPr>
    <w:rPr>
      <w:rFonts w:eastAsiaTheme="minorHAnsi"/>
      <w:sz w:val="22"/>
      <w:szCs w:val="22"/>
    </w:rPr>
  </w:style>
  <w:style w:type="character" w:customStyle="1" w:styleId="PlainTextChar">
    <w:name w:val="Plain Text Char"/>
    <w:basedOn w:val="DefaultParagraphFont"/>
    <w:link w:val="PlainText"/>
    <w:uiPriority w:val="99"/>
    <w:semiHidden/>
    <w:rsid w:val="003E6989"/>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image" Target="media/image1.emf"/><Relationship Id="rId19" Type="http://schemas.openxmlformats.org/officeDocument/2006/relationships/header" Target="head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header" Target="header12.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AAC54-71BB-44AE-84B0-F47E8AA6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21875</Words>
  <Characters>118785</Characters>
  <Application>Microsoft Office Word</Application>
  <DocSecurity>0</DocSecurity>
  <Lines>1542</Lines>
  <Paragraphs>578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VINE,Colin</dc:creator>
  <cp:lastModifiedBy>David HARCOURT</cp:lastModifiedBy>
  <cp:revision>2</cp:revision>
  <cp:lastPrinted>2016-10-05T03:35:00Z</cp:lastPrinted>
  <dcterms:created xsi:type="dcterms:W3CDTF">2016-10-20T04:53:00Z</dcterms:created>
  <dcterms:modified xsi:type="dcterms:W3CDTF">2016-10-20T04:53:00Z</dcterms:modified>
</cp:coreProperties>
</file>