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AE" w:rsidRPr="00B460FB" w:rsidRDefault="009B6BAE" w:rsidP="00E8168F">
      <w:pPr>
        <w:spacing w:before="0"/>
        <w:ind w:right="380"/>
        <w:contextualSpacing/>
        <w:jc w:val="right"/>
        <w:rPr>
          <w:rFonts w:cs="Arial"/>
          <w:b/>
          <w:bCs/>
          <w:color w:val="FFFFFF"/>
          <w:kern w:val="32"/>
          <w:sz w:val="48"/>
          <w:szCs w:val="48"/>
        </w:rPr>
      </w:pPr>
      <w:r w:rsidRPr="00B460FB">
        <w:rPr>
          <w:rFonts w:cs="Arial"/>
          <w:b/>
          <w:bCs/>
          <w:color w:val="FFFFFF"/>
          <w:kern w:val="32"/>
          <w:sz w:val="48"/>
          <w:szCs w:val="48"/>
        </w:rPr>
        <w:t>Survey of Employers’ Recruitment Experiences</w:t>
      </w:r>
    </w:p>
    <w:p w:rsidR="009B6BAE" w:rsidRPr="00B460FB" w:rsidRDefault="00396700" w:rsidP="00E8168F">
      <w:pPr>
        <w:spacing w:before="0"/>
        <w:ind w:right="380"/>
        <w:contextualSpacing/>
        <w:jc w:val="right"/>
        <w:rPr>
          <w:rFonts w:cs="Arial"/>
          <w:b/>
          <w:bCs/>
          <w:color w:val="FFFFFF"/>
          <w:kern w:val="32"/>
          <w:sz w:val="48"/>
          <w:szCs w:val="48"/>
        </w:rPr>
      </w:pPr>
      <w:r>
        <w:rPr>
          <w:rFonts w:cs="Arial"/>
          <w:b/>
          <w:bCs/>
          <w:color w:val="FFFFFF"/>
          <w:kern w:val="32"/>
          <w:sz w:val="48"/>
          <w:szCs w:val="48"/>
        </w:rPr>
        <w:t>Northern and Western Adelaide</w:t>
      </w:r>
    </w:p>
    <w:p w:rsidR="009B6BAE" w:rsidRPr="00B460FB" w:rsidRDefault="00396700" w:rsidP="00E8168F">
      <w:pPr>
        <w:spacing w:before="0"/>
        <w:ind w:right="380"/>
        <w:contextualSpacing/>
        <w:jc w:val="right"/>
        <w:rPr>
          <w:rFonts w:cs="Arial"/>
          <w:b/>
          <w:bCs/>
          <w:color w:val="FFFFFF"/>
          <w:kern w:val="32"/>
          <w:sz w:val="48"/>
          <w:szCs w:val="48"/>
        </w:rPr>
      </w:pPr>
      <w:r>
        <w:rPr>
          <w:rFonts w:cs="Arial"/>
          <w:b/>
          <w:bCs/>
          <w:color w:val="FFFFFF"/>
          <w:kern w:val="32"/>
          <w:sz w:val="48"/>
          <w:szCs w:val="48"/>
        </w:rPr>
        <w:t xml:space="preserve">Priority </w:t>
      </w:r>
      <w:r w:rsidR="009B6BAE" w:rsidRPr="00B460FB">
        <w:rPr>
          <w:rFonts w:cs="Arial"/>
          <w:b/>
          <w:bCs/>
          <w:color w:val="FFFFFF"/>
          <w:kern w:val="32"/>
          <w:sz w:val="48"/>
          <w:szCs w:val="48"/>
        </w:rPr>
        <w:t>Employment</w:t>
      </w:r>
      <w:r w:rsidR="0059057F">
        <w:rPr>
          <w:rFonts w:cs="Arial"/>
          <w:b/>
          <w:bCs/>
          <w:color w:val="FFFFFF"/>
          <w:kern w:val="32"/>
          <w:sz w:val="48"/>
          <w:szCs w:val="48"/>
        </w:rPr>
        <w:t xml:space="preserve"> </w:t>
      </w:r>
      <w:r w:rsidR="009B6BAE" w:rsidRPr="00B460FB">
        <w:rPr>
          <w:rFonts w:cs="Arial"/>
          <w:b/>
          <w:bCs/>
          <w:color w:val="FFFFFF"/>
          <w:kern w:val="32"/>
          <w:sz w:val="48"/>
          <w:szCs w:val="48"/>
        </w:rPr>
        <w:t>Area</w:t>
      </w:r>
    </w:p>
    <w:p w:rsidR="009B6BAE" w:rsidRPr="00B460FB" w:rsidRDefault="00396700" w:rsidP="00E8168F">
      <w:pPr>
        <w:spacing w:before="0"/>
        <w:ind w:right="380"/>
        <w:contextualSpacing/>
        <w:jc w:val="right"/>
        <w:rPr>
          <w:rFonts w:cs="Arial"/>
          <w:b/>
          <w:bCs/>
          <w:color w:val="FFFFFF"/>
          <w:kern w:val="32"/>
          <w:sz w:val="52"/>
          <w:szCs w:val="52"/>
        </w:rPr>
        <w:sectPr w:rsidR="009B6BAE" w:rsidRPr="00B460FB" w:rsidSect="009B6BA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344" w:right="206" w:bottom="1418" w:left="1440" w:header="567" w:footer="475" w:gutter="0"/>
          <w:pgNumType w:start="1"/>
          <w:cols w:space="709"/>
          <w:docGrid w:linePitch="360"/>
        </w:sectPr>
      </w:pPr>
      <w:r>
        <w:rPr>
          <w:rFonts w:cs="Arial"/>
          <w:b/>
          <w:bCs/>
          <w:color w:val="FFFFFF"/>
          <w:kern w:val="32"/>
          <w:sz w:val="48"/>
          <w:szCs w:val="48"/>
        </w:rPr>
        <w:t>August</w:t>
      </w:r>
      <w:r w:rsidR="009B6BAE" w:rsidRPr="00B460FB">
        <w:rPr>
          <w:rFonts w:cs="Arial"/>
          <w:b/>
          <w:bCs/>
          <w:color w:val="FFFFFF"/>
          <w:kern w:val="32"/>
          <w:sz w:val="48"/>
          <w:szCs w:val="48"/>
        </w:rPr>
        <w:t xml:space="preserve"> 201</w:t>
      </w:r>
      <w:r w:rsidR="00FD4FA5">
        <w:rPr>
          <w:rFonts w:cs="Arial"/>
          <w:b/>
          <w:bCs/>
          <w:color w:val="FFFFFF"/>
          <w:kern w:val="32"/>
          <w:sz w:val="48"/>
          <w:szCs w:val="48"/>
        </w:rPr>
        <w:t>2</w:t>
      </w:r>
    </w:p>
    <w:p w:rsidR="00BA703A" w:rsidRPr="00B460FB" w:rsidRDefault="00BA703A" w:rsidP="00E8168F">
      <w:pPr>
        <w:spacing w:before="0"/>
        <w:ind w:right="382"/>
        <w:contextualSpacing/>
        <w:jc w:val="right"/>
        <w:rPr>
          <w:rFonts w:asciiTheme="minorHAnsi" w:hAnsiTheme="minorHAnsi" w:cstheme="minorHAnsi"/>
          <w:b/>
          <w:bCs/>
          <w:color w:val="FFFFFF" w:themeColor="background1"/>
          <w:kern w:val="32"/>
          <w:sz w:val="48"/>
          <w:szCs w:val="48"/>
          <w:highlight w:val="yellow"/>
        </w:rPr>
        <w:sectPr w:rsidR="00BA703A" w:rsidRPr="00B460FB" w:rsidSect="000E137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9164" w:right="206" w:bottom="1418" w:left="1080" w:header="567" w:footer="0" w:gutter="0"/>
          <w:cols w:space="708"/>
          <w:docGrid w:linePitch="360"/>
        </w:sect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p>
    <w:p w:rsidR="007F7B99" w:rsidRDefault="007F7B99" w:rsidP="007F7B99">
      <w:pPr>
        <w:pStyle w:val="numberedpara"/>
        <w:numPr>
          <w:ilvl w:val="0"/>
          <w:numId w:val="0"/>
        </w:numPr>
        <w:tabs>
          <w:tab w:val="left" w:pos="720"/>
        </w:tabs>
        <w:ind w:left="1134"/>
        <w:rPr>
          <w:sz w:val="20"/>
          <w:szCs w:val="20"/>
        </w:rPr>
      </w:pPr>
      <w:r>
        <w:rPr>
          <w:noProof/>
          <w:sz w:val="20"/>
          <w:szCs w:val="20"/>
        </w:rPr>
        <w:drawing>
          <wp:inline distT="0" distB="0" distL="0" distR="0">
            <wp:extent cx="847725" cy="285750"/>
            <wp:effectExtent l="19050" t="0" r="9525" b="0"/>
            <wp:docPr id="2" name="Picture 1" descr="cid:image003.png@01CD08FE.5642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D08FE.56426680"/>
                    <pic:cNvPicPr>
                      <a:picLocks noChangeAspect="1" noChangeArrowheads="1"/>
                    </pic:cNvPicPr>
                  </pic:nvPicPr>
                  <pic:blipFill>
                    <a:blip r:embed="rId20" r:link="rId21"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7F7B99" w:rsidRDefault="007F7B99" w:rsidP="007F7B99">
      <w:pPr>
        <w:pStyle w:val="Default"/>
        <w:spacing w:before="120" w:after="120"/>
        <w:ind w:left="1134"/>
        <w:rPr>
          <w:sz w:val="20"/>
          <w:szCs w:val="20"/>
        </w:rPr>
      </w:pPr>
      <w:r>
        <w:rPr>
          <w:sz w:val="20"/>
          <w:szCs w:val="20"/>
        </w:rPr>
        <w:t>With the exception of the Commonwealth Coat of Arms and where otherwise noted all material presented in this document is provided under a Creative Commons Attribution 3.0 Australia</w:t>
      </w:r>
      <w:r w:rsidR="009926F0">
        <w:rPr>
          <w:sz w:val="20"/>
          <w:szCs w:val="20"/>
        </w:rPr>
        <w:t xml:space="preserve"> licence</w:t>
      </w:r>
      <w:r>
        <w:rPr>
          <w:sz w:val="20"/>
          <w:szCs w:val="20"/>
        </w:rPr>
        <w:t xml:space="preserve"> (</w:t>
      </w:r>
      <w:hyperlink r:id="rId22" w:history="1">
        <w:r w:rsidR="000F66BD" w:rsidRPr="00A67D0F">
          <w:rPr>
            <w:rStyle w:val="Hyperlink"/>
          </w:rPr>
          <w:t>http://creativecommons.org/licences/by/3.0/au/</w:t>
        </w:r>
      </w:hyperlink>
      <w:r>
        <w:rPr>
          <w:sz w:val="20"/>
          <w:szCs w:val="20"/>
        </w:rPr>
        <w:t xml:space="preserve">). </w:t>
      </w:r>
    </w:p>
    <w:p w:rsidR="007F7B99" w:rsidRDefault="007F7B99" w:rsidP="007F7B99">
      <w:pPr>
        <w:pStyle w:val="Default"/>
        <w:spacing w:before="120" w:after="120"/>
        <w:ind w:left="1134"/>
        <w:rPr>
          <w:sz w:val="20"/>
          <w:szCs w:val="20"/>
        </w:rPr>
      </w:pPr>
      <w:r>
        <w:rPr>
          <w:sz w:val="20"/>
          <w:szCs w:val="20"/>
        </w:rPr>
        <w:t>The details of the relevant licence conditions are available on the Creative Commons website (accessible using the links provided) as is the full legal code for the CC BY 3.0 AU licence (</w:t>
      </w:r>
      <w:hyperlink r:id="rId23" w:history="1">
        <w:r>
          <w:rPr>
            <w:rStyle w:val="Hyperlink"/>
          </w:rPr>
          <w:t>http://creativecommons.org/licen</w:t>
        </w:r>
        <w:r w:rsidR="009148F4">
          <w:rPr>
            <w:rStyle w:val="Hyperlink"/>
          </w:rPr>
          <w:t>c</w:t>
        </w:r>
        <w:r>
          <w:rPr>
            <w:rStyle w:val="Hyperlink"/>
          </w:rPr>
          <w:t>es/by/3.0/au/legalcode</w:t>
        </w:r>
      </w:hyperlink>
      <w:r>
        <w:rPr>
          <w:sz w:val="20"/>
          <w:szCs w:val="20"/>
        </w:rPr>
        <w:t xml:space="preserve">). </w:t>
      </w:r>
    </w:p>
    <w:p w:rsidR="008C65DC" w:rsidRDefault="007F7B99" w:rsidP="00CA3068">
      <w:pPr>
        <w:pStyle w:val="numberedpara"/>
        <w:numPr>
          <w:ilvl w:val="0"/>
          <w:numId w:val="0"/>
        </w:numPr>
        <w:tabs>
          <w:tab w:val="left" w:pos="720"/>
        </w:tabs>
        <w:spacing w:before="120" w:after="120"/>
        <w:ind w:left="1134"/>
        <w:rPr>
          <w:rFonts w:asciiTheme="minorHAnsi" w:hAnsiTheme="minorHAnsi" w:cstheme="minorHAnsi"/>
          <w:b/>
          <w:color w:val="00529C"/>
        </w:rPr>
      </w:pPr>
      <w:r>
        <w:rPr>
          <w:sz w:val="20"/>
          <w:szCs w:val="20"/>
        </w:rPr>
        <w:t>The document must be attributed as the ‘</w:t>
      </w:r>
      <w:r w:rsidR="009926F0">
        <w:rPr>
          <w:sz w:val="20"/>
          <w:szCs w:val="20"/>
        </w:rPr>
        <w:t xml:space="preserve">DEEWR - </w:t>
      </w:r>
      <w:r>
        <w:rPr>
          <w:sz w:val="20"/>
          <w:szCs w:val="20"/>
        </w:rPr>
        <w:t>Survey of Employe</w:t>
      </w:r>
      <w:r w:rsidR="00AA30B4">
        <w:rPr>
          <w:sz w:val="20"/>
          <w:szCs w:val="20"/>
        </w:rPr>
        <w:t xml:space="preserve">rs’ Recruitment Experiences – </w:t>
      </w:r>
      <w:r w:rsidR="00396700">
        <w:rPr>
          <w:sz w:val="20"/>
          <w:szCs w:val="20"/>
        </w:rPr>
        <w:t>Northern and Western Adelaide Priority</w:t>
      </w:r>
      <w:r w:rsidR="000D22EF">
        <w:rPr>
          <w:sz w:val="20"/>
          <w:szCs w:val="20"/>
        </w:rPr>
        <w:t xml:space="preserve"> </w:t>
      </w:r>
      <w:r>
        <w:rPr>
          <w:sz w:val="20"/>
          <w:szCs w:val="20"/>
        </w:rPr>
        <w:t>Employment</w:t>
      </w:r>
      <w:r w:rsidR="00396700">
        <w:rPr>
          <w:sz w:val="20"/>
          <w:szCs w:val="20"/>
        </w:rPr>
        <w:t xml:space="preserve"> </w:t>
      </w:r>
      <w:r w:rsidR="00FD4FA5">
        <w:rPr>
          <w:sz w:val="20"/>
          <w:szCs w:val="20"/>
        </w:rPr>
        <w:t xml:space="preserve">Area – </w:t>
      </w:r>
      <w:r w:rsidR="00396700">
        <w:rPr>
          <w:sz w:val="20"/>
          <w:szCs w:val="20"/>
        </w:rPr>
        <w:t>August</w:t>
      </w:r>
      <w:r w:rsidR="00FD4FA5">
        <w:rPr>
          <w:sz w:val="20"/>
          <w:szCs w:val="20"/>
        </w:rPr>
        <w:t xml:space="preserve"> 2012</w:t>
      </w:r>
      <w:r>
        <w:rPr>
          <w:sz w:val="20"/>
          <w:szCs w:val="20"/>
        </w:rPr>
        <w:t>’.</w:t>
      </w:r>
    </w:p>
    <w:p w:rsidR="00CA3068" w:rsidRDefault="00CA3068">
      <w:pPr>
        <w:spacing w:before="0" w:after="0"/>
        <w:jc w:val="left"/>
        <w:rPr>
          <w:rFonts w:asciiTheme="minorHAnsi" w:hAnsiTheme="minorHAnsi" w:cstheme="minorHAnsi"/>
          <w:b/>
          <w:color w:val="00529C"/>
        </w:rPr>
      </w:pPr>
      <w:r>
        <w:rPr>
          <w:rFonts w:asciiTheme="minorHAnsi" w:hAnsiTheme="minorHAnsi" w:cstheme="minorHAnsi"/>
          <w:b/>
          <w:color w:val="00529C"/>
        </w:rPr>
        <w:br w:type="page"/>
      </w:r>
    </w:p>
    <w:p w:rsidR="00BD1A7C" w:rsidRPr="00B460FB" w:rsidRDefault="00BD1A7C" w:rsidP="00E8168F">
      <w:pPr>
        <w:pBdr>
          <w:bottom w:val="single" w:sz="4" w:space="1" w:color="auto"/>
        </w:pBdr>
        <w:contextualSpacing/>
        <w:rPr>
          <w:rFonts w:asciiTheme="minorHAnsi" w:hAnsiTheme="minorHAnsi" w:cstheme="minorHAnsi"/>
          <w:b/>
          <w:color w:val="00529C"/>
        </w:rPr>
      </w:pPr>
      <w:r w:rsidRPr="00B460FB">
        <w:rPr>
          <w:rFonts w:asciiTheme="minorHAnsi" w:hAnsiTheme="minorHAnsi" w:cstheme="minorHAnsi"/>
          <w:b/>
          <w:color w:val="00529C"/>
        </w:rPr>
        <w:lastRenderedPageBreak/>
        <w:t>Contents</w:t>
      </w:r>
    </w:p>
    <w:p w:rsidR="002E6D43" w:rsidRDefault="00A950F3">
      <w:pPr>
        <w:pStyle w:val="TOC1"/>
        <w:rPr>
          <w:rFonts w:asciiTheme="minorHAnsi" w:eastAsiaTheme="minorEastAsia" w:hAnsiTheme="minorHAnsi" w:cstheme="minorBidi"/>
          <w:noProof/>
          <w:sz w:val="22"/>
          <w:szCs w:val="22"/>
        </w:rPr>
      </w:pPr>
      <w:r w:rsidRPr="00B460FB">
        <w:rPr>
          <w:rFonts w:asciiTheme="minorHAnsi" w:hAnsiTheme="minorHAnsi" w:cstheme="minorHAnsi"/>
          <w:b/>
          <w:bCs/>
          <w:caps/>
          <w:kern w:val="32"/>
        </w:rPr>
        <w:fldChar w:fldCharType="begin"/>
      </w:r>
      <w:r w:rsidR="00BD1A7C" w:rsidRPr="00B460FB">
        <w:rPr>
          <w:rFonts w:asciiTheme="minorHAnsi" w:hAnsiTheme="minorHAnsi" w:cstheme="minorHAnsi"/>
          <w:b/>
          <w:bCs/>
          <w:caps/>
          <w:kern w:val="32"/>
        </w:rPr>
        <w:instrText xml:space="preserve"> TOC \o </w:instrText>
      </w:r>
      <w:r w:rsidRPr="00B460FB">
        <w:rPr>
          <w:rFonts w:asciiTheme="minorHAnsi" w:hAnsiTheme="minorHAnsi" w:cstheme="minorHAnsi"/>
          <w:b/>
          <w:bCs/>
          <w:caps/>
          <w:kern w:val="32"/>
        </w:rPr>
        <w:fldChar w:fldCharType="separate"/>
      </w:r>
      <w:r w:rsidR="00933558">
        <w:rPr>
          <w:rFonts w:asciiTheme="minorHAnsi" w:hAnsiTheme="minorHAnsi" w:cstheme="minorHAnsi"/>
          <w:noProof/>
        </w:rPr>
        <w:t xml:space="preserve">The </w:t>
      </w:r>
      <w:r w:rsidR="00A0578C">
        <w:rPr>
          <w:rFonts w:asciiTheme="minorHAnsi" w:hAnsiTheme="minorHAnsi" w:cstheme="minorHAnsi"/>
          <w:noProof/>
        </w:rPr>
        <w:t>Northern and Western Adelaide Priority</w:t>
      </w:r>
      <w:r w:rsidR="004A1817">
        <w:rPr>
          <w:rFonts w:asciiTheme="minorHAnsi" w:hAnsiTheme="minorHAnsi" w:cstheme="minorHAnsi"/>
          <w:noProof/>
        </w:rPr>
        <w:t xml:space="preserve"> </w:t>
      </w:r>
      <w:r w:rsidR="002E6D43" w:rsidRPr="00A5280A">
        <w:rPr>
          <w:rFonts w:asciiTheme="minorHAnsi" w:hAnsiTheme="minorHAnsi" w:cstheme="minorHAnsi"/>
          <w:noProof/>
        </w:rPr>
        <w:t>Employment Area</w:t>
      </w:r>
      <w:r w:rsidR="002E6D43">
        <w:rPr>
          <w:noProof/>
        </w:rPr>
        <w:tab/>
      </w:r>
      <w:r>
        <w:rPr>
          <w:noProof/>
        </w:rPr>
        <w:fldChar w:fldCharType="begin"/>
      </w:r>
      <w:r w:rsidR="002E6D43">
        <w:rPr>
          <w:noProof/>
        </w:rPr>
        <w:instrText xml:space="preserve"> PAGEREF _Toc327525220 \h </w:instrText>
      </w:r>
      <w:r>
        <w:rPr>
          <w:noProof/>
        </w:rPr>
      </w:r>
      <w:r>
        <w:rPr>
          <w:noProof/>
        </w:rPr>
        <w:fldChar w:fldCharType="separate"/>
      </w:r>
      <w:r w:rsidR="005345AA">
        <w:rPr>
          <w:noProof/>
        </w:rPr>
        <w:t>1</w:t>
      </w:r>
      <w:r>
        <w:rPr>
          <w:noProof/>
        </w:rPr>
        <w:fldChar w:fldCharType="end"/>
      </w:r>
    </w:p>
    <w:p w:rsidR="002E6D43" w:rsidRDefault="002E6D43">
      <w:pPr>
        <w:pStyle w:val="TOC1"/>
        <w:rPr>
          <w:rFonts w:asciiTheme="minorHAnsi" w:eastAsiaTheme="minorEastAsia" w:hAnsiTheme="minorHAnsi" w:cstheme="minorBidi"/>
          <w:noProof/>
          <w:sz w:val="22"/>
          <w:szCs w:val="22"/>
        </w:rPr>
      </w:pPr>
      <w:r w:rsidRPr="00A5280A">
        <w:rPr>
          <w:rFonts w:asciiTheme="minorHAnsi" w:hAnsiTheme="minorHAnsi" w:cstheme="minorHAnsi"/>
          <w:noProof/>
        </w:rPr>
        <w:t>Survey of Employers’ Recruitment Experiences</w:t>
      </w:r>
      <w:r>
        <w:rPr>
          <w:noProof/>
        </w:rPr>
        <w:tab/>
      </w:r>
      <w:r w:rsidR="003258D2">
        <w:rPr>
          <w:noProof/>
        </w:rPr>
        <w:t>1</w:t>
      </w:r>
    </w:p>
    <w:p w:rsidR="002E6D43" w:rsidRDefault="002E6D43">
      <w:pPr>
        <w:pStyle w:val="TOC2"/>
        <w:rPr>
          <w:rFonts w:asciiTheme="minorHAnsi" w:eastAsiaTheme="minorEastAsia" w:hAnsiTheme="minorHAnsi" w:cstheme="minorBidi"/>
          <w:noProof/>
          <w:sz w:val="22"/>
          <w:szCs w:val="22"/>
        </w:rPr>
      </w:pPr>
      <w:r w:rsidRPr="00A5280A">
        <w:rPr>
          <w:rFonts w:asciiTheme="minorHAnsi" w:hAnsiTheme="minorHAnsi" w:cstheme="minorHAnsi"/>
          <w:noProof/>
        </w:rPr>
        <w:t>Key Findings</w:t>
      </w:r>
      <w:r>
        <w:rPr>
          <w:noProof/>
        </w:rPr>
        <w:tab/>
      </w:r>
      <w:r w:rsidR="003258D2">
        <w:rPr>
          <w:noProof/>
        </w:rPr>
        <w:t>1</w:t>
      </w:r>
    </w:p>
    <w:p w:rsidR="002E6D43" w:rsidRDefault="002E6D43">
      <w:pPr>
        <w:pStyle w:val="TOC2"/>
        <w:rPr>
          <w:rFonts w:asciiTheme="minorHAnsi" w:eastAsiaTheme="minorEastAsia" w:hAnsiTheme="minorHAnsi" w:cstheme="minorBidi"/>
          <w:noProof/>
          <w:sz w:val="22"/>
          <w:szCs w:val="22"/>
        </w:rPr>
      </w:pPr>
      <w:r w:rsidRPr="00A5280A">
        <w:rPr>
          <w:rFonts w:asciiTheme="minorHAnsi" w:hAnsiTheme="minorHAnsi" w:cstheme="minorHAnsi"/>
          <w:noProof/>
        </w:rPr>
        <w:t>Recruitment Experiences in the 12 Months Preceding the Survey</w:t>
      </w:r>
      <w:r>
        <w:rPr>
          <w:noProof/>
        </w:rPr>
        <w:tab/>
      </w:r>
      <w:r w:rsidR="0076368D">
        <w:rPr>
          <w:noProof/>
        </w:rPr>
        <w:t>2</w:t>
      </w:r>
    </w:p>
    <w:p w:rsidR="002E6D43" w:rsidRDefault="002E6D43">
      <w:pPr>
        <w:pStyle w:val="TOC2"/>
        <w:rPr>
          <w:noProof/>
        </w:rPr>
      </w:pPr>
      <w:r w:rsidRPr="00A5280A">
        <w:rPr>
          <w:rFonts w:asciiTheme="minorHAnsi" w:hAnsiTheme="minorHAnsi" w:cstheme="minorHAnsi"/>
          <w:noProof/>
        </w:rPr>
        <w:t>Most Recent Recruitment Activity</w:t>
      </w:r>
      <w:r>
        <w:rPr>
          <w:noProof/>
        </w:rPr>
        <w:tab/>
      </w:r>
      <w:r w:rsidR="00622C02">
        <w:rPr>
          <w:noProof/>
        </w:rPr>
        <w:t>3</w:t>
      </w:r>
    </w:p>
    <w:p w:rsidR="00D312B4" w:rsidRDefault="00D312B4" w:rsidP="00D312B4">
      <w:pPr>
        <w:pStyle w:val="TOC2"/>
        <w:rPr>
          <w:noProof/>
        </w:rPr>
      </w:pPr>
      <w:r>
        <w:rPr>
          <w:noProof/>
        </w:rPr>
        <w:t>Applicants and Suitability</w:t>
      </w:r>
      <w:r w:rsidR="003258D2">
        <w:rPr>
          <w:noProof/>
        </w:rPr>
        <w:tab/>
      </w:r>
      <w:r w:rsidR="003B0544">
        <w:rPr>
          <w:noProof/>
        </w:rPr>
        <w:t>5</w:t>
      </w:r>
    </w:p>
    <w:p w:rsidR="00413C03" w:rsidRDefault="00413C03" w:rsidP="00413C03">
      <w:pPr>
        <w:pStyle w:val="TOC2"/>
        <w:rPr>
          <w:noProof/>
        </w:rPr>
      </w:pPr>
      <w:r w:rsidRPr="00A5280A">
        <w:rPr>
          <w:rFonts w:asciiTheme="minorHAnsi" w:hAnsiTheme="minorHAnsi" w:cstheme="minorHAnsi"/>
          <w:noProof/>
        </w:rPr>
        <w:t>Apprentices and Trainees</w:t>
      </w:r>
      <w:r>
        <w:rPr>
          <w:noProof/>
        </w:rPr>
        <w:tab/>
      </w:r>
      <w:r w:rsidR="00445C81">
        <w:rPr>
          <w:noProof/>
        </w:rPr>
        <w:t>5</w:t>
      </w:r>
    </w:p>
    <w:p w:rsidR="003B0544" w:rsidRPr="003B0544" w:rsidRDefault="003B0544" w:rsidP="003B0544">
      <w:pPr>
        <w:pStyle w:val="TOC2"/>
        <w:rPr>
          <w:noProof/>
        </w:rPr>
      </w:pPr>
      <w:r>
        <w:rPr>
          <w:rFonts w:asciiTheme="minorHAnsi" w:hAnsiTheme="minorHAnsi" w:cstheme="minorHAnsi"/>
          <w:noProof/>
        </w:rPr>
        <w:t>Staff</w:t>
      </w:r>
      <w:r w:rsidRPr="00A5280A">
        <w:rPr>
          <w:rFonts w:asciiTheme="minorHAnsi" w:hAnsiTheme="minorHAnsi" w:cstheme="minorHAnsi"/>
          <w:noProof/>
        </w:rPr>
        <w:t xml:space="preserve"> </w:t>
      </w:r>
      <w:r>
        <w:rPr>
          <w:rFonts w:asciiTheme="minorHAnsi" w:hAnsiTheme="minorHAnsi" w:cstheme="minorHAnsi"/>
          <w:noProof/>
        </w:rPr>
        <w:t>Training</w:t>
      </w:r>
      <w:r>
        <w:rPr>
          <w:noProof/>
        </w:rPr>
        <w:tab/>
        <w:t>6</w:t>
      </w:r>
    </w:p>
    <w:p w:rsidR="002E6D43" w:rsidRDefault="00413C03" w:rsidP="0006610B">
      <w:pPr>
        <w:pStyle w:val="TOC2"/>
        <w:rPr>
          <w:rFonts w:asciiTheme="minorHAnsi" w:eastAsiaTheme="minorEastAsia" w:hAnsiTheme="minorHAnsi" w:cstheme="minorBidi"/>
          <w:noProof/>
          <w:sz w:val="22"/>
          <w:szCs w:val="22"/>
        </w:rPr>
      </w:pPr>
      <w:r w:rsidRPr="00A5280A">
        <w:rPr>
          <w:rFonts w:asciiTheme="minorHAnsi" w:hAnsiTheme="minorHAnsi" w:cstheme="minorHAnsi"/>
          <w:noProof/>
        </w:rPr>
        <w:t>Job Services Australia and Recruitment Methods</w:t>
      </w:r>
      <w:r>
        <w:rPr>
          <w:noProof/>
        </w:rPr>
        <w:tab/>
      </w:r>
      <w:r w:rsidR="003B0544">
        <w:rPr>
          <w:noProof/>
        </w:rPr>
        <w:t>6</w:t>
      </w:r>
      <w:r w:rsidR="002E6D43">
        <w:rPr>
          <w:noProof/>
        </w:rPr>
        <w:tab/>
      </w:r>
    </w:p>
    <w:p w:rsidR="002E6D43" w:rsidRDefault="002E6D43">
      <w:pPr>
        <w:pStyle w:val="TOC2"/>
        <w:rPr>
          <w:rFonts w:asciiTheme="minorHAnsi" w:eastAsiaTheme="minorEastAsia" w:hAnsiTheme="minorHAnsi" w:cstheme="minorBidi"/>
          <w:noProof/>
          <w:sz w:val="22"/>
          <w:szCs w:val="22"/>
        </w:rPr>
      </w:pPr>
      <w:r w:rsidRPr="00A5280A">
        <w:rPr>
          <w:rFonts w:asciiTheme="minorHAnsi" w:hAnsiTheme="minorHAnsi" w:cstheme="minorHAnsi"/>
          <w:noProof/>
        </w:rPr>
        <w:t>Future Recruitment Expectations</w:t>
      </w:r>
      <w:r>
        <w:rPr>
          <w:noProof/>
        </w:rPr>
        <w:tab/>
      </w:r>
      <w:r w:rsidR="003B0544">
        <w:rPr>
          <w:noProof/>
        </w:rPr>
        <w:t>6</w:t>
      </w:r>
    </w:p>
    <w:p w:rsidR="002E6D43" w:rsidRDefault="002E6D43">
      <w:pPr>
        <w:pStyle w:val="TOC1"/>
        <w:rPr>
          <w:rFonts w:asciiTheme="minorHAnsi" w:eastAsiaTheme="minorEastAsia" w:hAnsiTheme="minorHAnsi" w:cstheme="minorBidi"/>
          <w:noProof/>
          <w:sz w:val="22"/>
          <w:szCs w:val="22"/>
        </w:rPr>
      </w:pPr>
      <w:r w:rsidRPr="00A5280A">
        <w:rPr>
          <w:rFonts w:asciiTheme="minorHAnsi" w:hAnsiTheme="minorHAnsi" w:cstheme="minorHAnsi"/>
          <w:noProof/>
        </w:rPr>
        <w:t>Opportunities for Job Seekers</w:t>
      </w:r>
      <w:r>
        <w:rPr>
          <w:noProof/>
        </w:rPr>
        <w:tab/>
      </w:r>
      <w:r w:rsidR="003258D2">
        <w:rPr>
          <w:noProof/>
        </w:rPr>
        <w:t>7</w:t>
      </w:r>
    </w:p>
    <w:p w:rsidR="00C07DB6" w:rsidRPr="00B460FB" w:rsidRDefault="00A950F3" w:rsidP="00E8168F">
      <w:pPr>
        <w:pBdr>
          <w:bottom w:val="single" w:sz="4" w:space="1" w:color="auto"/>
        </w:pBdr>
        <w:contextualSpacing/>
        <w:rPr>
          <w:rFonts w:asciiTheme="minorHAnsi" w:hAnsiTheme="minorHAnsi" w:cstheme="minorHAnsi"/>
          <w:b/>
          <w:bCs/>
          <w:caps/>
          <w:kern w:val="32"/>
          <w:highlight w:val="yellow"/>
        </w:rPr>
        <w:sectPr w:rsidR="00C07DB6" w:rsidRPr="00B460FB" w:rsidSect="00CA203E">
          <w:headerReference w:type="default" r:id="rId24"/>
          <w:footerReference w:type="default" r:id="rId25"/>
          <w:pgSz w:w="11906" w:h="16838" w:code="9"/>
          <w:pgMar w:top="2696" w:right="1134" w:bottom="1418" w:left="1080" w:header="567" w:footer="423" w:gutter="0"/>
          <w:pgNumType w:fmt="lowerRoman" w:start="1"/>
          <w:cols w:space="708"/>
          <w:docGrid w:linePitch="360"/>
        </w:sectPr>
      </w:pPr>
      <w:r w:rsidRPr="00B460FB">
        <w:rPr>
          <w:rFonts w:asciiTheme="minorHAnsi" w:hAnsiTheme="minorHAnsi" w:cstheme="minorHAnsi"/>
          <w:b/>
          <w:bCs/>
          <w:caps/>
          <w:kern w:val="32"/>
        </w:rPr>
        <w:fldChar w:fldCharType="end"/>
      </w:r>
    </w:p>
    <w:p w:rsidR="003614D2" w:rsidRPr="00B460FB" w:rsidRDefault="003614D2" w:rsidP="00E8168F">
      <w:pPr>
        <w:pStyle w:val="Heading1"/>
        <w:contextualSpacing/>
        <w:rPr>
          <w:rFonts w:asciiTheme="minorHAnsi" w:hAnsiTheme="minorHAnsi" w:cstheme="minorHAnsi"/>
          <w:highlight w:val="yellow"/>
        </w:rPr>
      </w:pPr>
      <w:bookmarkStart w:id="0" w:name="_Toc272926738"/>
      <w:bookmarkStart w:id="1" w:name="_Toc292699781"/>
      <w:bookmarkStart w:id="2" w:name="_Toc268694973"/>
    </w:p>
    <w:p w:rsidR="00DB392A" w:rsidRPr="00B460FB" w:rsidRDefault="00DB392A" w:rsidP="00E8168F">
      <w:pPr>
        <w:spacing w:before="0" w:after="0"/>
        <w:contextualSpacing/>
        <w:jc w:val="left"/>
        <w:rPr>
          <w:rFonts w:asciiTheme="minorHAnsi" w:hAnsiTheme="minorHAnsi" w:cstheme="minorHAnsi"/>
          <w:b/>
          <w:bCs/>
          <w:color w:val="00529C"/>
          <w:kern w:val="32"/>
          <w:highlight w:val="yellow"/>
        </w:rPr>
      </w:pPr>
      <w:bookmarkStart w:id="3" w:name="_Toc296333025"/>
      <w:r w:rsidRPr="00B460FB">
        <w:rPr>
          <w:rFonts w:asciiTheme="minorHAnsi" w:hAnsiTheme="minorHAnsi" w:cstheme="minorHAnsi"/>
          <w:highlight w:val="yellow"/>
        </w:rPr>
        <w:br w:type="page"/>
      </w:r>
    </w:p>
    <w:p w:rsidR="0086377D" w:rsidRPr="00B84773" w:rsidRDefault="0086377D" w:rsidP="00B84773">
      <w:pPr>
        <w:pStyle w:val="Heading1"/>
        <w:contextualSpacing/>
        <w:rPr>
          <w:rFonts w:asciiTheme="minorHAnsi" w:hAnsiTheme="minorHAnsi" w:cstheme="minorHAnsi"/>
        </w:rPr>
      </w:pPr>
      <w:bookmarkStart w:id="4" w:name="_Toc296333026"/>
      <w:bookmarkStart w:id="5" w:name="_Toc327525220"/>
      <w:bookmarkEnd w:id="3"/>
      <w:r w:rsidRPr="00B84773">
        <w:rPr>
          <w:rFonts w:asciiTheme="minorHAnsi" w:hAnsiTheme="minorHAnsi" w:cstheme="minorHAnsi"/>
        </w:rPr>
        <w:lastRenderedPageBreak/>
        <w:t xml:space="preserve">The </w:t>
      </w:r>
      <w:bookmarkEnd w:id="4"/>
      <w:r w:rsidR="00A0578C">
        <w:rPr>
          <w:rFonts w:asciiTheme="minorHAnsi" w:hAnsiTheme="minorHAnsi" w:cstheme="minorHAnsi"/>
        </w:rPr>
        <w:t>Northern and Western Adelaide Priority</w:t>
      </w:r>
      <w:r w:rsidR="00933558">
        <w:rPr>
          <w:rFonts w:asciiTheme="minorHAnsi" w:hAnsiTheme="minorHAnsi" w:cstheme="minorHAnsi"/>
        </w:rPr>
        <w:t xml:space="preserve"> </w:t>
      </w:r>
      <w:r w:rsidR="004E7509" w:rsidRPr="00B84773">
        <w:rPr>
          <w:rFonts w:asciiTheme="minorHAnsi" w:hAnsiTheme="minorHAnsi" w:cstheme="minorHAnsi"/>
        </w:rPr>
        <w:t>Employment</w:t>
      </w:r>
      <w:r w:rsidR="008F71E7" w:rsidRPr="00B84773">
        <w:rPr>
          <w:rFonts w:asciiTheme="minorHAnsi" w:hAnsiTheme="minorHAnsi" w:cstheme="minorHAnsi"/>
        </w:rPr>
        <w:t xml:space="preserve"> </w:t>
      </w:r>
      <w:r w:rsidR="004E7509" w:rsidRPr="00B84773">
        <w:rPr>
          <w:rFonts w:asciiTheme="minorHAnsi" w:hAnsiTheme="minorHAnsi" w:cstheme="minorHAnsi"/>
        </w:rPr>
        <w:t>Area</w:t>
      </w:r>
      <w:bookmarkEnd w:id="5"/>
    </w:p>
    <w:p w:rsidR="006A6667" w:rsidRPr="001F5BCD" w:rsidRDefault="006A6667" w:rsidP="006A6667">
      <w:pPr>
        <w:pStyle w:val="ListParagraph"/>
        <w:numPr>
          <w:ilvl w:val="0"/>
          <w:numId w:val="21"/>
        </w:numPr>
        <w:spacing w:before="120" w:after="120"/>
        <w:jc w:val="both"/>
        <w:rPr>
          <w:rFonts w:ascii="Calibri" w:hAnsi="Calibri"/>
          <w:b/>
        </w:rPr>
      </w:pPr>
      <w:r>
        <w:rPr>
          <w:rFonts w:ascii="Calibri" w:hAnsi="Calibri"/>
        </w:rPr>
        <w:t xml:space="preserve">The Northern and Western Adelaide Priority Employment Area (PEA) had an adult population </w:t>
      </w:r>
      <w:r>
        <w:rPr>
          <w:rFonts w:ascii="Calibri" w:hAnsi="Calibri"/>
        </w:rPr>
        <w:br/>
        <w:t>(15 and over) of 524,100 as of 2011.</w:t>
      </w:r>
      <w:r>
        <w:rPr>
          <w:rStyle w:val="FootnoteReference"/>
          <w:rFonts w:ascii="Calibri" w:hAnsi="Calibri"/>
        </w:rPr>
        <w:footnoteReference w:id="1"/>
      </w:r>
    </w:p>
    <w:p w:rsidR="006A6667" w:rsidRPr="006364CB" w:rsidRDefault="006A6667" w:rsidP="006A6667">
      <w:pPr>
        <w:pStyle w:val="ListParagraph"/>
        <w:numPr>
          <w:ilvl w:val="0"/>
          <w:numId w:val="21"/>
        </w:numPr>
        <w:spacing w:before="120" w:after="120"/>
        <w:jc w:val="both"/>
        <w:rPr>
          <w:rFonts w:ascii="Calibri" w:hAnsi="Calibri"/>
          <w:b/>
        </w:rPr>
      </w:pPr>
      <w:r>
        <w:rPr>
          <w:rFonts w:ascii="Calibri" w:hAnsi="Calibri"/>
        </w:rPr>
        <w:t xml:space="preserve">The adult population increased by 7 per cent between 2006 and 2011, compared with </w:t>
      </w:r>
      <w:r w:rsidR="0076368D">
        <w:rPr>
          <w:rFonts w:ascii="Calibri" w:hAnsi="Calibri"/>
        </w:rPr>
        <w:br/>
      </w:r>
      <w:r>
        <w:rPr>
          <w:rFonts w:ascii="Calibri" w:hAnsi="Calibri"/>
        </w:rPr>
        <w:t>5 per cent for South Australia.</w:t>
      </w:r>
      <w:r>
        <w:rPr>
          <w:rStyle w:val="FootnoteReference"/>
          <w:rFonts w:ascii="Calibri" w:hAnsi="Calibri"/>
        </w:rPr>
        <w:footnoteReference w:id="2"/>
      </w:r>
    </w:p>
    <w:p w:rsidR="006A6667" w:rsidRPr="00A3247B" w:rsidRDefault="006A6667" w:rsidP="006A6667">
      <w:pPr>
        <w:pStyle w:val="ListParagraph"/>
        <w:numPr>
          <w:ilvl w:val="0"/>
          <w:numId w:val="21"/>
        </w:numPr>
        <w:spacing w:before="120" w:after="120"/>
        <w:jc w:val="both"/>
        <w:rPr>
          <w:rFonts w:ascii="Calibri" w:hAnsi="Calibri"/>
          <w:b/>
        </w:rPr>
      </w:pPr>
      <w:r>
        <w:rPr>
          <w:rFonts w:ascii="Calibri" w:hAnsi="Calibri"/>
        </w:rPr>
        <w:t>The major employing industries at the time of the 2006 Census were Manufacturing, Retail Trade, Health Care and Social Assistance and Public Administration and Safety.</w:t>
      </w:r>
      <w:r>
        <w:rPr>
          <w:rStyle w:val="FootnoteReference"/>
          <w:rFonts w:ascii="Calibri" w:hAnsi="Calibri"/>
        </w:rPr>
        <w:footnoteReference w:id="3"/>
      </w:r>
    </w:p>
    <w:p w:rsidR="006A6667" w:rsidRPr="00377040" w:rsidRDefault="006A6667" w:rsidP="006A6667">
      <w:pPr>
        <w:pStyle w:val="ListParagraph"/>
        <w:numPr>
          <w:ilvl w:val="0"/>
          <w:numId w:val="21"/>
        </w:numPr>
        <w:spacing w:before="120" w:after="120"/>
        <w:jc w:val="both"/>
        <w:rPr>
          <w:rFonts w:ascii="Calibri" w:hAnsi="Calibri"/>
          <w:b/>
        </w:rPr>
      </w:pPr>
      <w:r>
        <w:rPr>
          <w:rFonts w:ascii="Calibri" w:hAnsi="Calibri"/>
        </w:rPr>
        <w:t xml:space="preserve">The </w:t>
      </w:r>
      <w:proofErr w:type="spellStart"/>
      <w:r>
        <w:rPr>
          <w:rFonts w:ascii="Calibri" w:hAnsi="Calibri"/>
        </w:rPr>
        <w:t>Playford</w:t>
      </w:r>
      <w:proofErr w:type="spellEnd"/>
      <w:r>
        <w:rPr>
          <w:rFonts w:ascii="Calibri" w:hAnsi="Calibri"/>
        </w:rPr>
        <w:t xml:space="preserve"> Local Government Area (</w:t>
      </w:r>
      <w:proofErr w:type="spellStart"/>
      <w:r>
        <w:rPr>
          <w:rFonts w:ascii="Calibri" w:hAnsi="Calibri"/>
        </w:rPr>
        <w:t>LGA</w:t>
      </w:r>
      <w:proofErr w:type="spellEnd"/>
      <w:r>
        <w:rPr>
          <w:rFonts w:ascii="Calibri" w:hAnsi="Calibri"/>
        </w:rPr>
        <w:t xml:space="preserve">), located within the PEA, is one of ten </w:t>
      </w:r>
      <w:proofErr w:type="spellStart"/>
      <w:r>
        <w:rPr>
          <w:rFonts w:ascii="Calibri" w:hAnsi="Calibri"/>
        </w:rPr>
        <w:t>LGAs</w:t>
      </w:r>
      <w:proofErr w:type="spellEnd"/>
      <w:r>
        <w:rPr>
          <w:rFonts w:ascii="Calibri" w:hAnsi="Calibri"/>
        </w:rPr>
        <w:t xml:space="preserve"> identified in the 2012-2013 Budget under the </w:t>
      </w:r>
      <w:r w:rsidRPr="008E6BFE">
        <w:rPr>
          <w:rFonts w:ascii="Calibri" w:hAnsi="Calibri"/>
          <w:i/>
        </w:rPr>
        <w:t>Better Future Local Solutions</w:t>
      </w:r>
      <w:r>
        <w:rPr>
          <w:rFonts w:ascii="Calibri" w:hAnsi="Calibri"/>
        </w:rPr>
        <w:t xml:space="preserve"> initiative to receive funding for measures to address disadvantage. </w:t>
      </w:r>
    </w:p>
    <w:p w:rsidR="00160A81" w:rsidRPr="00B460FB" w:rsidRDefault="00160A81" w:rsidP="00FB257F">
      <w:pPr>
        <w:spacing w:before="0" w:after="0"/>
        <w:ind w:left="426"/>
        <w:contextualSpacing/>
        <w:rPr>
          <w:rFonts w:asciiTheme="minorHAnsi" w:hAnsiTheme="minorHAnsi" w:cstheme="minorHAnsi"/>
          <w:highlight w:val="yellow"/>
        </w:rPr>
      </w:pPr>
    </w:p>
    <w:p w:rsidR="0086377D" w:rsidRPr="0022274A" w:rsidRDefault="0086377D" w:rsidP="00FB257F">
      <w:pPr>
        <w:pStyle w:val="Heading1"/>
        <w:spacing w:before="0" w:after="0"/>
        <w:contextualSpacing/>
        <w:rPr>
          <w:rFonts w:asciiTheme="minorHAnsi" w:hAnsiTheme="minorHAnsi" w:cstheme="minorHAnsi"/>
        </w:rPr>
      </w:pPr>
      <w:bookmarkStart w:id="6" w:name="_Toc296333027"/>
      <w:bookmarkStart w:id="7" w:name="_Toc327525221"/>
      <w:r w:rsidRPr="0022274A">
        <w:rPr>
          <w:rFonts w:asciiTheme="minorHAnsi" w:hAnsiTheme="minorHAnsi" w:cstheme="minorHAnsi"/>
        </w:rPr>
        <w:t>Survey of Employers’ Recruitment Experiences</w:t>
      </w:r>
      <w:bookmarkEnd w:id="6"/>
      <w:bookmarkEnd w:id="7"/>
    </w:p>
    <w:p w:rsidR="006A6667" w:rsidRDefault="006A6667" w:rsidP="006A6667">
      <w:pPr>
        <w:pStyle w:val="ListParagraph"/>
        <w:numPr>
          <w:ilvl w:val="0"/>
          <w:numId w:val="21"/>
        </w:numPr>
        <w:spacing w:before="120" w:after="120"/>
        <w:jc w:val="both"/>
        <w:rPr>
          <w:rFonts w:ascii="Calibri" w:hAnsi="Calibri"/>
        </w:rPr>
      </w:pPr>
      <w:bookmarkStart w:id="8" w:name="_Toc327525222"/>
      <w:bookmarkStart w:id="9" w:name="_Toc296333030"/>
      <w:r w:rsidRPr="00857270">
        <w:rPr>
          <w:rFonts w:ascii="Calibri" w:hAnsi="Calibri"/>
        </w:rPr>
        <w:t xml:space="preserve">The Department conducted a </w:t>
      </w:r>
      <w:r w:rsidRPr="00857270">
        <w:rPr>
          <w:rFonts w:ascii="Calibri" w:hAnsi="Calibri"/>
          <w:i/>
        </w:rPr>
        <w:t xml:space="preserve">Survey of Employers’ Recruitment Experiences </w:t>
      </w:r>
      <w:r w:rsidRPr="00857270">
        <w:rPr>
          <w:rFonts w:ascii="Calibri" w:hAnsi="Calibri"/>
        </w:rPr>
        <w:t xml:space="preserve">in the </w:t>
      </w:r>
      <w:r>
        <w:rPr>
          <w:rFonts w:ascii="Calibri" w:hAnsi="Calibri"/>
        </w:rPr>
        <w:t>Northern and Western Adelaide PEA in August</w:t>
      </w:r>
      <w:r w:rsidRPr="00857270">
        <w:rPr>
          <w:rFonts w:ascii="Calibri" w:hAnsi="Calibri"/>
        </w:rPr>
        <w:t xml:space="preserve"> 2012.</w:t>
      </w:r>
      <w:r>
        <w:rPr>
          <w:rFonts w:ascii="Calibri" w:hAnsi="Calibri"/>
        </w:rPr>
        <w:t xml:space="preserve"> In total, 415 employers were surveyed, of whom 300 had recruited in the 12 months preceding the survey. This includes 128 employers from the </w:t>
      </w:r>
      <w:proofErr w:type="spellStart"/>
      <w:r>
        <w:rPr>
          <w:rFonts w:ascii="Calibri" w:hAnsi="Calibri"/>
        </w:rPr>
        <w:t>Playford</w:t>
      </w:r>
      <w:proofErr w:type="spellEnd"/>
      <w:r>
        <w:rPr>
          <w:rFonts w:ascii="Calibri" w:hAnsi="Calibri"/>
        </w:rPr>
        <w:t xml:space="preserve"> </w:t>
      </w:r>
      <w:proofErr w:type="spellStart"/>
      <w:r>
        <w:rPr>
          <w:rFonts w:ascii="Calibri" w:hAnsi="Calibri"/>
        </w:rPr>
        <w:t>LGA</w:t>
      </w:r>
      <w:proofErr w:type="spellEnd"/>
      <w:r>
        <w:rPr>
          <w:rFonts w:ascii="Calibri" w:hAnsi="Calibri"/>
        </w:rPr>
        <w:t>, of whom 81 had recruited.</w:t>
      </w:r>
      <w:r w:rsidRPr="00857270">
        <w:rPr>
          <w:rFonts w:ascii="Calibri" w:hAnsi="Calibri"/>
        </w:rPr>
        <w:t xml:space="preserve"> </w:t>
      </w:r>
      <w:r>
        <w:rPr>
          <w:rFonts w:ascii="Calibri" w:hAnsi="Calibri"/>
        </w:rPr>
        <w:t xml:space="preserve">The survey results for the </w:t>
      </w:r>
      <w:proofErr w:type="spellStart"/>
      <w:r>
        <w:rPr>
          <w:rFonts w:ascii="Calibri" w:hAnsi="Calibri"/>
        </w:rPr>
        <w:t>Playford</w:t>
      </w:r>
      <w:proofErr w:type="spellEnd"/>
      <w:r>
        <w:rPr>
          <w:rFonts w:ascii="Calibri" w:hAnsi="Calibri"/>
        </w:rPr>
        <w:t xml:space="preserve"> </w:t>
      </w:r>
      <w:proofErr w:type="spellStart"/>
      <w:r>
        <w:rPr>
          <w:rFonts w:ascii="Calibri" w:hAnsi="Calibri"/>
        </w:rPr>
        <w:t>LGA</w:t>
      </w:r>
      <w:proofErr w:type="spellEnd"/>
      <w:r>
        <w:rPr>
          <w:rFonts w:ascii="Calibri" w:hAnsi="Calibri"/>
        </w:rPr>
        <w:t xml:space="preserve"> are compared with those in the PEA overall.</w:t>
      </w:r>
    </w:p>
    <w:p w:rsidR="006A6667" w:rsidRPr="00B80AA5" w:rsidRDefault="006A6667" w:rsidP="006A6667">
      <w:pPr>
        <w:pStyle w:val="ListParagraph"/>
        <w:numPr>
          <w:ilvl w:val="0"/>
          <w:numId w:val="21"/>
        </w:numPr>
        <w:spacing w:before="120" w:after="120"/>
        <w:jc w:val="both"/>
        <w:rPr>
          <w:rFonts w:ascii="Calibri" w:hAnsi="Calibri"/>
          <w:b/>
        </w:rPr>
      </w:pPr>
      <w:r>
        <w:rPr>
          <w:rFonts w:ascii="Calibri" w:hAnsi="Calibri"/>
        </w:rPr>
        <w:t xml:space="preserve">Employers in the Northern and Western Adelaide PEA were also surveyed as part of the </w:t>
      </w:r>
      <w:r w:rsidRPr="00B4223A">
        <w:rPr>
          <w:rFonts w:ascii="Calibri" w:hAnsi="Calibri"/>
          <w:i/>
        </w:rPr>
        <w:t>Survey of Employers’ Recruitment Experiences in the Capital Cities</w:t>
      </w:r>
      <w:r>
        <w:rPr>
          <w:rFonts w:ascii="Calibri" w:hAnsi="Calibri"/>
        </w:rPr>
        <w:t xml:space="preserve"> in March 2010, 2011 and 2012. The results of the August 2012 survey are compared with those surveys and all regions surveyed to June 2012 where applicable.</w:t>
      </w:r>
    </w:p>
    <w:p w:rsidR="006901E9" w:rsidRPr="00EE4788" w:rsidRDefault="006901E9" w:rsidP="00EF7BEC">
      <w:pPr>
        <w:pStyle w:val="Heading2"/>
        <w:rPr>
          <w:color w:val="auto"/>
        </w:rPr>
      </w:pPr>
      <w:r w:rsidRPr="00EE4788">
        <w:t>Key Findings</w:t>
      </w:r>
      <w:bookmarkEnd w:id="8"/>
    </w:p>
    <w:p w:rsidR="006A6667" w:rsidRPr="000C7A26" w:rsidRDefault="006A6667" w:rsidP="00F914D9">
      <w:pPr>
        <w:pStyle w:val="ListParagraph"/>
        <w:numPr>
          <w:ilvl w:val="0"/>
          <w:numId w:val="21"/>
        </w:numPr>
        <w:spacing w:before="120" w:after="120"/>
        <w:jc w:val="both"/>
        <w:rPr>
          <w:rFonts w:asciiTheme="minorHAnsi" w:hAnsiTheme="minorHAnsi" w:cstheme="minorHAnsi"/>
          <w:b/>
        </w:rPr>
      </w:pPr>
      <w:bookmarkStart w:id="10" w:name="_Toc327525223"/>
      <w:r w:rsidRPr="000C7A26">
        <w:rPr>
          <w:rFonts w:asciiTheme="minorHAnsi" w:hAnsiTheme="minorHAnsi" w:cstheme="minorHAnsi"/>
        </w:rPr>
        <w:t xml:space="preserve">The unemployment rate in the Northern and Western Adelaide PEA, while decreasing from </w:t>
      </w:r>
      <w:r w:rsidR="00F914D9">
        <w:rPr>
          <w:rFonts w:asciiTheme="minorHAnsi" w:hAnsiTheme="minorHAnsi" w:cstheme="minorHAnsi"/>
        </w:rPr>
        <w:br/>
      </w:r>
      <w:r w:rsidRPr="000C7A26">
        <w:rPr>
          <w:rFonts w:asciiTheme="minorHAnsi" w:hAnsiTheme="minorHAnsi" w:cstheme="minorHAnsi"/>
        </w:rPr>
        <w:t>7.0 per cent to 6.2 per cent over the 12 months to June 2012, has consistently been higher than the state (5.4 per cent) and national rate (5.2 per cent), suggesting softness in the labour market.</w:t>
      </w:r>
      <w:r w:rsidRPr="000C7A26">
        <w:rPr>
          <w:rStyle w:val="FootnoteReference"/>
          <w:rFonts w:asciiTheme="minorHAnsi" w:hAnsiTheme="minorHAnsi" w:cstheme="minorHAnsi"/>
        </w:rPr>
        <w:footnoteReference w:id="4"/>
      </w:r>
      <w:r w:rsidRPr="000C7A26">
        <w:rPr>
          <w:rFonts w:asciiTheme="minorHAnsi" w:hAnsiTheme="minorHAnsi" w:cstheme="minorHAnsi"/>
        </w:rPr>
        <w:t xml:space="preserve"> </w:t>
      </w:r>
    </w:p>
    <w:p w:rsidR="006A6667" w:rsidRPr="000C7A26" w:rsidRDefault="006A6667" w:rsidP="006A6667">
      <w:pPr>
        <w:pStyle w:val="ListParagraph"/>
        <w:numPr>
          <w:ilvl w:val="0"/>
          <w:numId w:val="21"/>
        </w:numPr>
        <w:spacing w:before="120" w:after="120"/>
        <w:jc w:val="both"/>
        <w:rPr>
          <w:rFonts w:asciiTheme="minorHAnsi" w:hAnsiTheme="minorHAnsi" w:cstheme="minorHAnsi"/>
          <w:b/>
        </w:rPr>
      </w:pPr>
      <w:r w:rsidRPr="000C7A26">
        <w:rPr>
          <w:rFonts w:asciiTheme="minorHAnsi" w:hAnsiTheme="minorHAnsi" w:cstheme="minorHAnsi"/>
        </w:rPr>
        <w:t xml:space="preserve">Unemployment in the </w:t>
      </w:r>
      <w:proofErr w:type="spellStart"/>
      <w:r w:rsidRPr="000C7A26">
        <w:rPr>
          <w:rFonts w:asciiTheme="minorHAnsi" w:hAnsiTheme="minorHAnsi" w:cstheme="minorHAnsi"/>
        </w:rPr>
        <w:t>Playford</w:t>
      </w:r>
      <w:proofErr w:type="spellEnd"/>
      <w:r w:rsidRPr="000C7A26">
        <w:rPr>
          <w:rFonts w:asciiTheme="minorHAnsi" w:hAnsiTheme="minorHAnsi" w:cstheme="minorHAnsi"/>
        </w:rPr>
        <w:t xml:space="preserve"> </w:t>
      </w:r>
      <w:proofErr w:type="spellStart"/>
      <w:r w:rsidRPr="000C7A26">
        <w:rPr>
          <w:rFonts w:asciiTheme="minorHAnsi" w:hAnsiTheme="minorHAnsi" w:cstheme="minorHAnsi"/>
        </w:rPr>
        <w:t>LGA</w:t>
      </w:r>
      <w:proofErr w:type="spellEnd"/>
      <w:r w:rsidRPr="000C7A26">
        <w:rPr>
          <w:rFonts w:asciiTheme="minorHAnsi" w:hAnsiTheme="minorHAnsi" w:cstheme="minorHAnsi"/>
        </w:rPr>
        <w:t xml:space="preserve"> has historically been very high. Despite decreasing from </w:t>
      </w:r>
      <w:r w:rsidRPr="000C7A26">
        <w:rPr>
          <w:rFonts w:asciiTheme="minorHAnsi" w:hAnsiTheme="minorHAnsi" w:cstheme="minorHAnsi"/>
        </w:rPr>
        <w:br/>
        <w:t xml:space="preserve">14.2 per cent to 13.3 per cent over the 12 months to June 2012, the unemployment rate in the </w:t>
      </w:r>
      <w:proofErr w:type="spellStart"/>
      <w:r w:rsidRPr="000C7A26">
        <w:rPr>
          <w:rFonts w:asciiTheme="minorHAnsi" w:hAnsiTheme="minorHAnsi" w:cstheme="minorHAnsi"/>
        </w:rPr>
        <w:t>Playford</w:t>
      </w:r>
      <w:proofErr w:type="spellEnd"/>
      <w:r w:rsidRPr="000C7A26">
        <w:rPr>
          <w:rFonts w:asciiTheme="minorHAnsi" w:hAnsiTheme="minorHAnsi" w:cstheme="minorHAnsi"/>
        </w:rPr>
        <w:t xml:space="preserve"> </w:t>
      </w:r>
      <w:proofErr w:type="spellStart"/>
      <w:r w:rsidRPr="000C7A26">
        <w:rPr>
          <w:rFonts w:asciiTheme="minorHAnsi" w:hAnsiTheme="minorHAnsi" w:cstheme="minorHAnsi"/>
        </w:rPr>
        <w:t>LGA</w:t>
      </w:r>
      <w:proofErr w:type="spellEnd"/>
      <w:r w:rsidRPr="000C7A26">
        <w:rPr>
          <w:rFonts w:asciiTheme="minorHAnsi" w:hAnsiTheme="minorHAnsi" w:cstheme="minorHAnsi"/>
        </w:rPr>
        <w:t xml:space="preserve"> is the highest of any </w:t>
      </w:r>
      <w:proofErr w:type="spellStart"/>
      <w:r w:rsidRPr="000C7A26">
        <w:rPr>
          <w:rFonts w:asciiTheme="minorHAnsi" w:hAnsiTheme="minorHAnsi" w:cstheme="minorHAnsi"/>
        </w:rPr>
        <w:t>LGA</w:t>
      </w:r>
      <w:proofErr w:type="spellEnd"/>
      <w:r w:rsidRPr="000C7A26">
        <w:rPr>
          <w:rFonts w:asciiTheme="minorHAnsi" w:hAnsiTheme="minorHAnsi" w:cstheme="minorHAnsi"/>
        </w:rPr>
        <w:t xml:space="preserve"> in the PEA.</w:t>
      </w:r>
      <w:r w:rsidRPr="000C7A26">
        <w:rPr>
          <w:rStyle w:val="FootnoteReference"/>
          <w:rFonts w:asciiTheme="minorHAnsi" w:hAnsiTheme="minorHAnsi" w:cstheme="minorHAnsi"/>
        </w:rPr>
        <w:footnoteReference w:id="5"/>
      </w:r>
    </w:p>
    <w:p w:rsidR="006A6667" w:rsidRPr="000C7A26" w:rsidRDefault="006A6667" w:rsidP="006A6667">
      <w:pPr>
        <w:pStyle w:val="ListParagraph"/>
        <w:numPr>
          <w:ilvl w:val="0"/>
          <w:numId w:val="21"/>
        </w:numPr>
        <w:spacing w:before="120" w:after="120"/>
        <w:jc w:val="both"/>
        <w:rPr>
          <w:rFonts w:asciiTheme="minorHAnsi" w:hAnsiTheme="minorHAnsi" w:cstheme="minorHAnsi"/>
          <w:b/>
        </w:rPr>
      </w:pPr>
      <w:r w:rsidRPr="000C7A26">
        <w:rPr>
          <w:rFonts w:asciiTheme="minorHAnsi" w:hAnsiTheme="minorHAnsi" w:cstheme="minorHAnsi"/>
        </w:rPr>
        <w:t xml:space="preserve">By contrast, unemployment in the Tea Tree Gully </w:t>
      </w:r>
      <w:proofErr w:type="spellStart"/>
      <w:r w:rsidRPr="000C7A26">
        <w:rPr>
          <w:rFonts w:asciiTheme="minorHAnsi" w:hAnsiTheme="minorHAnsi" w:cstheme="minorHAnsi"/>
        </w:rPr>
        <w:t>LGA</w:t>
      </w:r>
      <w:proofErr w:type="spellEnd"/>
      <w:r w:rsidRPr="000C7A26">
        <w:rPr>
          <w:rFonts w:asciiTheme="minorHAnsi" w:hAnsiTheme="minorHAnsi" w:cstheme="minorHAnsi"/>
        </w:rPr>
        <w:t xml:space="preserve"> (3.2 per cent) and West Torrens </w:t>
      </w:r>
      <w:proofErr w:type="spellStart"/>
      <w:r w:rsidRPr="000C7A26">
        <w:rPr>
          <w:rFonts w:asciiTheme="minorHAnsi" w:hAnsiTheme="minorHAnsi" w:cstheme="minorHAnsi"/>
        </w:rPr>
        <w:t>LGA</w:t>
      </w:r>
      <w:proofErr w:type="spellEnd"/>
      <w:r w:rsidRPr="000C7A26">
        <w:rPr>
          <w:rFonts w:asciiTheme="minorHAnsi" w:hAnsiTheme="minorHAnsi" w:cstheme="minorHAnsi"/>
        </w:rPr>
        <w:t xml:space="preserve"> </w:t>
      </w:r>
      <w:r w:rsidRPr="000C7A26">
        <w:rPr>
          <w:rFonts w:asciiTheme="minorHAnsi" w:hAnsiTheme="minorHAnsi" w:cstheme="minorHAnsi"/>
        </w:rPr>
        <w:br/>
        <w:t>(3.2 per cent) was very low.</w:t>
      </w:r>
    </w:p>
    <w:p w:rsidR="006A6667" w:rsidRPr="000C7A26" w:rsidRDefault="006A6667" w:rsidP="006A6667">
      <w:pPr>
        <w:pStyle w:val="ListParagraph"/>
        <w:numPr>
          <w:ilvl w:val="0"/>
          <w:numId w:val="21"/>
        </w:numPr>
        <w:spacing w:before="120" w:after="120"/>
        <w:jc w:val="both"/>
        <w:rPr>
          <w:rFonts w:asciiTheme="minorHAnsi" w:hAnsiTheme="minorHAnsi" w:cstheme="minorHAnsi"/>
          <w:b/>
        </w:rPr>
      </w:pPr>
      <w:r w:rsidRPr="000C7A26">
        <w:rPr>
          <w:rFonts w:asciiTheme="minorHAnsi" w:hAnsiTheme="minorHAnsi" w:cstheme="minorHAnsi"/>
        </w:rPr>
        <w:t xml:space="preserve">The survey results suggest that recruitment activity in the region is slightly below average when compared with all regions surveyed. Despite a high proportion of employers recruiting over the </w:t>
      </w:r>
      <w:r w:rsidRPr="000C7A26">
        <w:rPr>
          <w:rFonts w:asciiTheme="minorHAnsi" w:hAnsiTheme="minorHAnsi" w:cstheme="minorHAnsi"/>
        </w:rPr>
        <w:br/>
        <w:t>12 months preceding the survey, relatively few did so to increase staff numbers. There was a lower proportion of vacancies remaining unfilled, and a lower proportion of employers who experienced recruitment difficulty.</w:t>
      </w:r>
    </w:p>
    <w:p w:rsidR="006A6667" w:rsidRPr="000C7A26" w:rsidRDefault="006A6667" w:rsidP="006A6667">
      <w:pPr>
        <w:pStyle w:val="ListParagraph"/>
        <w:numPr>
          <w:ilvl w:val="0"/>
          <w:numId w:val="21"/>
        </w:numPr>
        <w:spacing w:before="120" w:after="120"/>
        <w:jc w:val="both"/>
        <w:rPr>
          <w:rFonts w:asciiTheme="minorHAnsi" w:hAnsiTheme="minorHAnsi" w:cstheme="minorHAnsi"/>
          <w:b/>
        </w:rPr>
      </w:pPr>
      <w:r w:rsidRPr="000C7A26">
        <w:rPr>
          <w:rFonts w:asciiTheme="minorHAnsi" w:hAnsiTheme="minorHAnsi" w:cstheme="minorHAnsi"/>
        </w:rPr>
        <w:lastRenderedPageBreak/>
        <w:t>The supply of labour was high, with a high average number of applicants and suitable applicants for a limited number of vacancies.</w:t>
      </w:r>
    </w:p>
    <w:p w:rsidR="006A6667" w:rsidRPr="000C7A26" w:rsidRDefault="006A6667" w:rsidP="000C7A26">
      <w:pPr>
        <w:pStyle w:val="ListParagraph"/>
        <w:numPr>
          <w:ilvl w:val="0"/>
          <w:numId w:val="21"/>
        </w:numPr>
        <w:spacing w:after="200"/>
        <w:jc w:val="both"/>
        <w:rPr>
          <w:rFonts w:asciiTheme="minorHAnsi" w:hAnsiTheme="minorHAnsi" w:cstheme="minorHAnsi"/>
        </w:rPr>
      </w:pPr>
      <w:r w:rsidRPr="000C7A26">
        <w:rPr>
          <w:rFonts w:asciiTheme="minorHAnsi" w:hAnsiTheme="minorHAnsi" w:cstheme="minorHAnsi"/>
        </w:rPr>
        <w:t xml:space="preserve">This is in line with the results of the department’s survey of employers in Adelaide as part of the </w:t>
      </w:r>
      <w:r w:rsidRPr="000C7A26">
        <w:rPr>
          <w:rFonts w:asciiTheme="minorHAnsi" w:hAnsiTheme="minorHAnsi" w:cstheme="minorHAnsi"/>
          <w:i/>
        </w:rPr>
        <w:t>Survey of Employers’ Recruitment Experiences in Capital Cities</w:t>
      </w:r>
      <w:r w:rsidRPr="000C7A26">
        <w:rPr>
          <w:rFonts w:asciiTheme="minorHAnsi" w:hAnsiTheme="minorHAnsi" w:cstheme="minorHAnsi"/>
        </w:rPr>
        <w:t xml:space="preserve"> in March 2012, which showed some softness in the labour market, with further easing since 2011. </w:t>
      </w:r>
    </w:p>
    <w:p w:rsidR="006A6667" w:rsidRPr="000C7A26" w:rsidRDefault="006A6667" w:rsidP="000C7A26">
      <w:pPr>
        <w:pStyle w:val="ListParagraph"/>
        <w:numPr>
          <w:ilvl w:val="1"/>
          <w:numId w:val="21"/>
        </w:numPr>
        <w:spacing w:after="200"/>
        <w:jc w:val="both"/>
        <w:rPr>
          <w:rFonts w:asciiTheme="minorHAnsi" w:hAnsiTheme="minorHAnsi" w:cstheme="minorHAnsi"/>
        </w:rPr>
      </w:pPr>
      <w:r w:rsidRPr="000C7A26">
        <w:rPr>
          <w:rFonts w:asciiTheme="minorHAnsi" w:hAnsiTheme="minorHAnsi" w:cstheme="minorHAnsi"/>
        </w:rPr>
        <w:t>Among employers in the PEA (who were surveyed as part of the broader Adelaide survey), there was a decrease in the recruitment rate, proportion of vacancies remaining unfilled and employers recruiting to increase staff numbers from 2011 to 2012.</w:t>
      </w:r>
    </w:p>
    <w:p w:rsidR="006A6667" w:rsidRPr="000C7A26" w:rsidRDefault="006A6667" w:rsidP="006A6667">
      <w:pPr>
        <w:pStyle w:val="ListParagraph"/>
        <w:numPr>
          <w:ilvl w:val="0"/>
          <w:numId w:val="21"/>
        </w:numPr>
        <w:spacing w:before="120" w:after="120"/>
        <w:jc w:val="both"/>
        <w:rPr>
          <w:rFonts w:asciiTheme="minorHAnsi" w:hAnsiTheme="minorHAnsi" w:cstheme="minorHAnsi"/>
          <w:b/>
        </w:rPr>
      </w:pPr>
      <w:r w:rsidRPr="000C7A26">
        <w:rPr>
          <w:rFonts w:asciiTheme="minorHAnsi" w:hAnsiTheme="minorHAnsi" w:cstheme="minorHAnsi"/>
        </w:rPr>
        <w:t>Employers’ recruitment expectations for the 12 months following the survey were moderate, and in line with all other regions surveyed. While a high proportion expected future business challenges, relatively few employers expected recruitment difficulty.</w:t>
      </w:r>
    </w:p>
    <w:p w:rsidR="006A6667" w:rsidRPr="000C7A26" w:rsidRDefault="006A6667" w:rsidP="006A6667">
      <w:pPr>
        <w:pStyle w:val="ListParagraph"/>
        <w:numPr>
          <w:ilvl w:val="0"/>
          <w:numId w:val="21"/>
        </w:numPr>
        <w:spacing w:before="120" w:after="120"/>
        <w:jc w:val="both"/>
        <w:rPr>
          <w:rFonts w:asciiTheme="minorHAnsi" w:hAnsiTheme="minorHAnsi" w:cstheme="minorHAnsi"/>
          <w:b/>
        </w:rPr>
      </w:pPr>
      <w:r w:rsidRPr="000C7A26">
        <w:rPr>
          <w:rFonts w:asciiTheme="minorHAnsi" w:hAnsiTheme="minorHAnsi" w:cstheme="minorHAnsi"/>
        </w:rPr>
        <w:t xml:space="preserve">Among those employers in the PEA who were surveyed as part of the Capital Cities survey (March 2012), the results suggest a weakening in recruitment expectations in the six months following the survey compared with the 2010 and 2011 surveys. </w:t>
      </w:r>
    </w:p>
    <w:p w:rsidR="006A6667" w:rsidRPr="000C7A26" w:rsidRDefault="006A6667" w:rsidP="006A6667">
      <w:pPr>
        <w:pStyle w:val="ListParagraph"/>
        <w:numPr>
          <w:ilvl w:val="0"/>
          <w:numId w:val="21"/>
        </w:numPr>
        <w:spacing w:before="120" w:after="120"/>
        <w:jc w:val="both"/>
        <w:rPr>
          <w:rFonts w:asciiTheme="minorHAnsi" w:hAnsiTheme="minorHAnsi" w:cstheme="minorHAnsi"/>
          <w:b/>
          <w:noProof/>
        </w:rPr>
      </w:pPr>
      <w:r w:rsidRPr="000C7A26">
        <w:rPr>
          <w:rFonts w:asciiTheme="minorHAnsi" w:hAnsiTheme="minorHAnsi" w:cstheme="minorHAnsi"/>
        </w:rPr>
        <w:t xml:space="preserve">The survey results suggest that the demand for labour was lower among employers in the </w:t>
      </w:r>
      <w:proofErr w:type="spellStart"/>
      <w:r w:rsidRPr="000C7A26">
        <w:rPr>
          <w:rFonts w:asciiTheme="minorHAnsi" w:hAnsiTheme="minorHAnsi" w:cstheme="minorHAnsi"/>
        </w:rPr>
        <w:t>Playford</w:t>
      </w:r>
      <w:proofErr w:type="spellEnd"/>
      <w:r w:rsidRPr="000C7A26">
        <w:rPr>
          <w:rFonts w:asciiTheme="minorHAnsi" w:hAnsiTheme="minorHAnsi" w:cstheme="minorHAnsi"/>
        </w:rPr>
        <w:t xml:space="preserve"> </w:t>
      </w:r>
      <w:proofErr w:type="spellStart"/>
      <w:r w:rsidRPr="000C7A26">
        <w:rPr>
          <w:rFonts w:asciiTheme="minorHAnsi" w:hAnsiTheme="minorHAnsi" w:cstheme="minorHAnsi"/>
        </w:rPr>
        <w:t>LGA</w:t>
      </w:r>
      <w:proofErr w:type="spellEnd"/>
      <w:r w:rsidRPr="000C7A26">
        <w:rPr>
          <w:rFonts w:asciiTheme="minorHAnsi" w:hAnsiTheme="minorHAnsi" w:cstheme="minorHAnsi"/>
        </w:rPr>
        <w:t xml:space="preserve"> compared with the PEA as a whole, as indicated by the low proportion of unfilled vacancies and employers reporting recruitment difficulty.</w:t>
      </w:r>
    </w:p>
    <w:p w:rsidR="006901E9" w:rsidRPr="00EE4788" w:rsidRDefault="006901E9" w:rsidP="00EF7BEC">
      <w:pPr>
        <w:pStyle w:val="Heading2"/>
      </w:pPr>
      <w:r w:rsidRPr="00EE4788">
        <w:t>Recruitment Experiences in the 12 Months Preceding the Survey</w:t>
      </w:r>
      <w:bookmarkEnd w:id="10"/>
    </w:p>
    <w:p w:rsidR="006A6667" w:rsidRDefault="006A6667" w:rsidP="006A6667">
      <w:pPr>
        <w:pStyle w:val="ListParagraph"/>
        <w:numPr>
          <w:ilvl w:val="0"/>
          <w:numId w:val="21"/>
        </w:numPr>
        <w:spacing w:before="120" w:after="120"/>
        <w:jc w:val="both"/>
        <w:rPr>
          <w:rFonts w:ascii="Calibri" w:hAnsi="Calibri"/>
        </w:rPr>
      </w:pPr>
      <w:bookmarkStart w:id="11" w:name="_Toc327525224"/>
      <w:r>
        <w:rPr>
          <w:rFonts w:ascii="Calibri" w:hAnsi="Calibri"/>
        </w:rPr>
        <w:t xml:space="preserve">A high proportion of employers in the Northern and Western Adelaide PEA recruited in the </w:t>
      </w:r>
      <w:r w:rsidR="000C7A26">
        <w:rPr>
          <w:rFonts w:ascii="Calibri" w:hAnsi="Calibri"/>
        </w:rPr>
        <w:br/>
      </w:r>
      <w:r>
        <w:rPr>
          <w:rFonts w:ascii="Calibri" w:hAnsi="Calibri"/>
        </w:rPr>
        <w:t xml:space="preserve">12 months preceding the survey (72 per cent) compared with all regions surveyed </w:t>
      </w:r>
      <w:r w:rsidR="000C7A26">
        <w:rPr>
          <w:rFonts w:ascii="Calibri" w:hAnsi="Calibri"/>
        </w:rPr>
        <w:br/>
      </w:r>
      <w:r>
        <w:rPr>
          <w:rFonts w:ascii="Calibri" w:hAnsi="Calibri"/>
        </w:rPr>
        <w:t xml:space="preserve">(65 per cent). </w:t>
      </w:r>
    </w:p>
    <w:p w:rsidR="006A6667" w:rsidRDefault="006A6667" w:rsidP="006A6667">
      <w:pPr>
        <w:pStyle w:val="ListParagraph"/>
        <w:numPr>
          <w:ilvl w:val="1"/>
          <w:numId w:val="21"/>
        </w:numPr>
        <w:spacing w:before="120" w:after="120"/>
        <w:jc w:val="both"/>
        <w:rPr>
          <w:rFonts w:ascii="Calibri" w:hAnsi="Calibri"/>
        </w:rPr>
      </w:pPr>
      <w:r>
        <w:rPr>
          <w:rFonts w:ascii="Calibri" w:hAnsi="Calibri"/>
        </w:rPr>
        <w:t xml:space="preserve">The proportion of recruiting employers was high in the </w:t>
      </w:r>
      <w:r w:rsidR="000C7A26">
        <w:rPr>
          <w:rFonts w:ascii="Calibri" w:hAnsi="Calibri"/>
        </w:rPr>
        <w:t>Accommodation and Food Services</w:t>
      </w:r>
      <w:r>
        <w:rPr>
          <w:rFonts w:ascii="Calibri" w:hAnsi="Calibri"/>
        </w:rPr>
        <w:t xml:space="preserve"> (84 per cent), Retail Trade and Health Care and Social Assistance industries </w:t>
      </w:r>
      <w:r>
        <w:rPr>
          <w:rFonts w:ascii="Calibri" w:hAnsi="Calibri"/>
        </w:rPr>
        <w:br/>
        <w:t>(both 77 per cent).</w:t>
      </w:r>
    </w:p>
    <w:p w:rsidR="006A6667" w:rsidRPr="006C765F" w:rsidRDefault="006A6667" w:rsidP="006A6667">
      <w:pPr>
        <w:pStyle w:val="ListParagraph"/>
        <w:numPr>
          <w:ilvl w:val="1"/>
          <w:numId w:val="21"/>
        </w:numPr>
        <w:spacing w:before="120" w:after="120"/>
        <w:jc w:val="both"/>
        <w:rPr>
          <w:rFonts w:ascii="Calibri" w:hAnsi="Calibri"/>
        </w:rPr>
      </w:pPr>
      <w:r>
        <w:rPr>
          <w:rFonts w:ascii="Calibri" w:hAnsi="Calibri"/>
        </w:rPr>
        <w:t xml:space="preserve">The proportion of recruiting employers varied by </w:t>
      </w:r>
      <w:proofErr w:type="spellStart"/>
      <w:r>
        <w:rPr>
          <w:rFonts w:ascii="Calibri" w:hAnsi="Calibri"/>
        </w:rPr>
        <w:t>LGA</w:t>
      </w:r>
      <w:proofErr w:type="spellEnd"/>
      <w:r>
        <w:rPr>
          <w:rFonts w:ascii="Calibri" w:hAnsi="Calibri"/>
        </w:rPr>
        <w:t xml:space="preserve"> from a low of 63 per cent in the </w:t>
      </w:r>
      <w:proofErr w:type="spellStart"/>
      <w:r>
        <w:rPr>
          <w:rFonts w:ascii="Calibri" w:hAnsi="Calibri"/>
        </w:rPr>
        <w:t>Playford</w:t>
      </w:r>
      <w:proofErr w:type="spellEnd"/>
      <w:r>
        <w:rPr>
          <w:rFonts w:ascii="Calibri" w:hAnsi="Calibri"/>
        </w:rPr>
        <w:t xml:space="preserve"> </w:t>
      </w:r>
      <w:proofErr w:type="spellStart"/>
      <w:r>
        <w:rPr>
          <w:rFonts w:ascii="Calibri" w:hAnsi="Calibri"/>
        </w:rPr>
        <w:t>LGA</w:t>
      </w:r>
      <w:proofErr w:type="spellEnd"/>
      <w:r>
        <w:rPr>
          <w:rFonts w:ascii="Calibri" w:hAnsi="Calibri"/>
        </w:rPr>
        <w:t xml:space="preserve"> to a high of 78 per cent in the Adelaide </w:t>
      </w:r>
      <w:proofErr w:type="spellStart"/>
      <w:r>
        <w:rPr>
          <w:rFonts w:ascii="Calibri" w:hAnsi="Calibri"/>
        </w:rPr>
        <w:t>LGA</w:t>
      </w:r>
      <w:proofErr w:type="spellEnd"/>
      <w:r>
        <w:rPr>
          <w:rFonts w:ascii="Calibri" w:hAnsi="Calibri"/>
        </w:rPr>
        <w:t>.</w:t>
      </w:r>
    </w:p>
    <w:p w:rsidR="006A6667" w:rsidRDefault="006A6667" w:rsidP="006A6667">
      <w:pPr>
        <w:pStyle w:val="ListParagraph"/>
        <w:numPr>
          <w:ilvl w:val="0"/>
          <w:numId w:val="21"/>
        </w:numPr>
        <w:spacing w:before="120" w:after="120"/>
        <w:jc w:val="both"/>
        <w:rPr>
          <w:rFonts w:ascii="Calibri" w:hAnsi="Calibri"/>
        </w:rPr>
      </w:pPr>
      <w:r>
        <w:rPr>
          <w:rFonts w:ascii="Calibri" w:hAnsi="Calibri"/>
        </w:rPr>
        <w:t xml:space="preserve">Some 39 per cent of employers recruited to increase staff in the PEA compared with </w:t>
      </w:r>
      <w:r w:rsidR="000C7A26">
        <w:rPr>
          <w:rFonts w:ascii="Calibri" w:hAnsi="Calibri"/>
        </w:rPr>
        <w:br/>
      </w:r>
      <w:r>
        <w:rPr>
          <w:rFonts w:ascii="Calibri" w:hAnsi="Calibri"/>
        </w:rPr>
        <w:t>48 per cent for all regions surveyed.</w:t>
      </w:r>
    </w:p>
    <w:p w:rsidR="006A6667" w:rsidRDefault="006A6667" w:rsidP="006A6667">
      <w:pPr>
        <w:pStyle w:val="ListParagraph"/>
        <w:numPr>
          <w:ilvl w:val="0"/>
          <w:numId w:val="21"/>
        </w:numPr>
        <w:spacing w:before="120" w:after="120"/>
        <w:jc w:val="both"/>
        <w:rPr>
          <w:rFonts w:ascii="Calibri" w:hAnsi="Calibri"/>
        </w:rPr>
      </w:pPr>
      <w:r>
        <w:rPr>
          <w:rFonts w:ascii="Calibri" w:hAnsi="Calibri"/>
        </w:rPr>
        <w:t>The number of vacancies was lower in the PEA (16 vacancies per 100 staff) compared with all regions surveyed (19 vacancies).</w:t>
      </w:r>
    </w:p>
    <w:p w:rsidR="006A6667" w:rsidRDefault="006A6667" w:rsidP="006A6667">
      <w:pPr>
        <w:pStyle w:val="ListParagraph"/>
        <w:numPr>
          <w:ilvl w:val="0"/>
          <w:numId w:val="21"/>
        </w:numPr>
        <w:spacing w:before="120" w:after="120"/>
        <w:jc w:val="both"/>
        <w:rPr>
          <w:rFonts w:ascii="Calibri" w:hAnsi="Calibri"/>
        </w:rPr>
      </w:pPr>
      <w:r>
        <w:rPr>
          <w:rFonts w:ascii="Calibri" w:hAnsi="Calibri"/>
        </w:rPr>
        <w:t xml:space="preserve">The proportion of unfilled vacancies was lower in the PEA (5.2 per cent) compared with </w:t>
      </w:r>
      <w:r w:rsidR="00F914D9">
        <w:rPr>
          <w:rFonts w:ascii="Calibri" w:hAnsi="Calibri"/>
        </w:rPr>
        <w:br/>
      </w:r>
      <w:r>
        <w:rPr>
          <w:rFonts w:ascii="Calibri" w:hAnsi="Calibri"/>
        </w:rPr>
        <w:t>6.3 per cent for all regions surveyed.</w:t>
      </w:r>
    </w:p>
    <w:p w:rsidR="006A6667" w:rsidRDefault="006A6667" w:rsidP="006A6667">
      <w:pPr>
        <w:pStyle w:val="ListParagraph"/>
        <w:numPr>
          <w:ilvl w:val="0"/>
          <w:numId w:val="21"/>
        </w:numPr>
        <w:spacing w:before="120" w:after="120"/>
        <w:jc w:val="both"/>
        <w:rPr>
          <w:rFonts w:ascii="Calibri" w:hAnsi="Calibri"/>
        </w:rPr>
      </w:pPr>
      <w:r>
        <w:rPr>
          <w:rFonts w:ascii="Calibri" w:hAnsi="Calibri"/>
        </w:rPr>
        <w:t>A lower proportion of employers in the PEA (47 per cent) experienced recruitment difficulty compared with all regions surveyed (56 per cent).</w:t>
      </w:r>
    </w:p>
    <w:p w:rsidR="006A6667" w:rsidRPr="00F62170" w:rsidRDefault="006A6667" w:rsidP="006A6667">
      <w:pPr>
        <w:pStyle w:val="ListParagraph"/>
        <w:numPr>
          <w:ilvl w:val="1"/>
          <w:numId w:val="21"/>
        </w:numPr>
        <w:spacing w:before="120" w:after="120"/>
        <w:jc w:val="both"/>
        <w:rPr>
          <w:rFonts w:ascii="Calibri" w:hAnsi="Calibri"/>
          <w:i/>
        </w:rPr>
      </w:pPr>
      <w:r>
        <w:rPr>
          <w:rFonts w:ascii="Calibri" w:hAnsi="Calibri"/>
        </w:rPr>
        <w:t>A</w:t>
      </w:r>
      <w:r w:rsidRPr="00F22DEF">
        <w:rPr>
          <w:rFonts w:ascii="Calibri" w:hAnsi="Calibri"/>
        </w:rPr>
        <w:t xml:space="preserve"> high proportion of employers </w:t>
      </w:r>
      <w:r>
        <w:rPr>
          <w:rFonts w:ascii="Calibri" w:hAnsi="Calibri"/>
        </w:rPr>
        <w:t>experienced r</w:t>
      </w:r>
      <w:r w:rsidRPr="00F22DEF">
        <w:rPr>
          <w:rFonts w:ascii="Calibri" w:hAnsi="Calibri"/>
        </w:rPr>
        <w:t>ecruitment difficulty in the Other Services</w:t>
      </w:r>
      <w:r>
        <w:rPr>
          <w:rStyle w:val="FootnoteReference"/>
          <w:rFonts w:ascii="Calibri" w:hAnsi="Calibri"/>
        </w:rPr>
        <w:footnoteReference w:id="6"/>
      </w:r>
      <w:r w:rsidRPr="00F22DEF">
        <w:rPr>
          <w:rFonts w:ascii="Calibri" w:hAnsi="Calibri"/>
        </w:rPr>
        <w:t xml:space="preserve"> </w:t>
      </w:r>
      <w:r>
        <w:rPr>
          <w:rFonts w:ascii="Calibri" w:hAnsi="Calibri"/>
        </w:rPr>
        <w:t xml:space="preserve">         </w:t>
      </w:r>
      <w:r w:rsidRPr="00F22DEF">
        <w:rPr>
          <w:rFonts w:ascii="Calibri" w:hAnsi="Calibri"/>
        </w:rPr>
        <w:t xml:space="preserve">(71 per cent), Accommodation and Food Services (58 per cent) and Manufacturing </w:t>
      </w:r>
      <w:r w:rsidR="000C7A26">
        <w:rPr>
          <w:rFonts w:ascii="Calibri" w:hAnsi="Calibri"/>
        </w:rPr>
        <w:br/>
      </w:r>
      <w:r w:rsidRPr="00F22DEF">
        <w:rPr>
          <w:rFonts w:ascii="Calibri" w:hAnsi="Calibri"/>
        </w:rPr>
        <w:t>(56 per cent) industries.</w:t>
      </w:r>
    </w:p>
    <w:p w:rsidR="006A6667" w:rsidRPr="005B1E92" w:rsidRDefault="006A6667" w:rsidP="006A6667">
      <w:pPr>
        <w:pStyle w:val="ListParagraph"/>
        <w:numPr>
          <w:ilvl w:val="1"/>
          <w:numId w:val="21"/>
        </w:numPr>
        <w:spacing w:before="120" w:after="120"/>
        <w:jc w:val="both"/>
        <w:rPr>
          <w:rFonts w:ascii="Calibri" w:hAnsi="Calibri"/>
          <w:i/>
        </w:rPr>
      </w:pPr>
      <w:r>
        <w:rPr>
          <w:rFonts w:ascii="Calibri" w:hAnsi="Calibri"/>
        </w:rPr>
        <w:t xml:space="preserve">A low proportion of employers in the </w:t>
      </w:r>
      <w:proofErr w:type="spellStart"/>
      <w:r>
        <w:rPr>
          <w:rFonts w:ascii="Calibri" w:hAnsi="Calibri"/>
        </w:rPr>
        <w:t>Playford</w:t>
      </w:r>
      <w:proofErr w:type="spellEnd"/>
      <w:r>
        <w:rPr>
          <w:rFonts w:ascii="Calibri" w:hAnsi="Calibri"/>
        </w:rPr>
        <w:t xml:space="preserve"> </w:t>
      </w:r>
      <w:proofErr w:type="spellStart"/>
      <w:r>
        <w:rPr>
          <w:rFonts w:ascii="Calibri" w:hAnsi="Calibri"/>
        </w:rPr>
        <w:t>LGA</w:t>
      </w:r>
      <w:proofErr w:type="spellEnd"/>
      <w:r>
        <w:rPr>
          <w:rFonts w:ascii="Calibri" w:hAnsi="Calibri"/>
        </w:rPr>
        <w:t xml:space="preserve"> (42 per cent) experienced recruitment difficulty, compared to 49 per cent in the Adelaide </w:t>
      </w:r>
      <w:proofErr w:type="spellStart"/>
      <w:r>
        <w:rPr>
          <w:rFonts w:ascii="Calibri" w:hAnsi="Calibri"/>
        </w:rPr>
        <w:t>LGA</w:t>
      </w:r>
      <w:proofErr w:type="spellEnd"/>
      <w:r>
        <w:rPr>
          <w:rFonts w:ascii="Calibri" w:hAnsi="Calibri"/>
        </w:rPr>
        <w:t xml:space="preserve">. </w:t>
      </w:r>
    </w:p>
    <w:p w:rsidR="006A6667" w:rsidRPr="005B1E92" w:rsidRDefault="006A6667" w:rsidP="006A6667">
      <w:pPr>
        <w:pStyle w:val="ListParagraph"/>
        <w:numPr>
          <w:ilvl w:val="0"/>
          <w:numId w:val="21"/>
        </w:numPr>
        <w:spacing w:before="120" w:after="120"/>
        <w:jc w:val="both"/>
        <w:rPr>
          <w:rFonts w:ascii="Calibri" w:hAnsi="Calibri"/>
          <w:i/>
        </w:rPr>
      </w:pPr>
      <w:r>
        <w:rPr>
          <w:rFonts w:ascii="Calibri" w:hAnsi="Calibri"/>
        </w:rPr>
        <w:lastRenderedPageBreak/>
        <w:t>The PEA results from the Capital Cities survey showed a decrease in the recruitment rate (from 11 vacancies per 100 staff to 9 vacancies) and the proportion of employers recruiting to increase staff numbers (28 per cent to 22 per cent) from 2011 to 2012.</w:t>
      </w:r>
      <w:r>
        <w:rPr>
          <w:rStyle w:val="FootnoteReference"/>
          <w:rFonts w:ascii="Calibri" w:hAnsi="Calibri"/>
        </w:rPr>
        <w:footnoteReference w:id="7"/>
      </w:r>
    </w:p>
    <w:p w:rsidR="006A6667" w:rsidRDefault="006A6667" w:rsidP="006A6667">
      <w:pPr>
        <w:spacing w:before="120"/>
        <w:contextualSpacing/>
        <w:rPr>
          <w:i/>
        </w:rPr>
      </w:pPr>
    </w:p>
    <w:p w:rsidR="006A6667" w:rsidRPr="007100AF" w:rsidRDefault="006A6667" w:rsidP="006A6667">
      <w:pPr>
        <w:spacing w:before="120"/>
        <w:contextualSpacing/>
        <w:rPr>
          <w:i/>
        </w:rPr>
      </w:pPr>
      <w:proofErr w:type="gramStart"/>
      <w:r w:rsidRPr="007100AF">
        <w:rPr>
          <w:i/>
        </w:rPr>
        <w:t>Table 1.</w:t>
      </w:r>
      <w:proofErr w:type="gramEnd"/>
      <w:r w:rsidRPr="007100AF">
        <w:rPr>
          <w:i/>
        </w:rPr>
        <w:t xml:space="preserve"> </w:t>
      </w:r>
      <w:r w:rsidRPr="007100AF">
        <w:rPr>
          <w:rFonts w:cstheme="minorHAnsi"/>
          <w:i/>
        </w:rPr>
        <w:t>Recruitment experiences in the 12 months preceding the survey</w:t>
      </w:r>
    </w:p>
    <w:tbl>
      <w:tblPr>
        <w:tblStyle w:val="TableGrid"/>
        <w:tblW w:w="4901" w:type="pct"/>
        <w:tblLook w:val="04A0"/>
      </w:tblPr>
      <w:tblGrid>
        <w:gridCol w:w="3964"/>
        <w:gridCol w:w="1673"/>
        <w:gridCol w:w="1842"/>
        <w:gridCol w:w="2236"/>
      </w:tblGrid>
      <w:tr w:rsidR="006A6667" w:rsidRPr="00BB6F76" w:rsidTr="000C7A26">
        <w:trPr>
          <w:cantSplit/>
          <w:trHeight w:val="139"/>
        </w:trPr>
        <w:tc>
          <w:tcPr>
            <w:tcW w:w="2040" w:type="pct"/>
            <w:vAlign w:val="center"/>
          </w:tcPr>
          <w:p w:rsidR="006A6667" w:rsidRPr="00E843EC" w:rsidRDefault="006A6667" w:rsidP="00B943F4">
            <w:pPr>
              <w:keepNext/>
              <w:contextualSpacing/>
              <w:rPr>
                <w:rFonts w:asciiTheme="minorHAnsi" w:hAnsiTheme="minorHAnsi" w:cstheme="minorHAnsi"/>
                <w:b/>
              </w:rPr>
            </w:pPr>
          </w:p>
        </w:tc>
        <w:tc>
          <w:tcPr>
            <w:tcW w:w="861" w:type="pct"/>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b/>
              </w:rPr>
            </w:pPr>
            <w:proofErr w:type="spellStart"/>
            <w:r>
              <w:rPr>
                <w:rFonts w:asciiTheme="minorHAnsi" w:hAnsiTheme="minorHAnsi" w:cstheme="minorHAnsi"/>
                <w:b/>
              </w:rPr>
              <w:t>Playford</w:t>
            </w:r>
            <w:proofErr w:type="spellEnd"/>
            <w:r>
              <w:rPr>
                <w:rFonts w:asciiTheme="minorHAnsi" w:hAnsiTheme="minorHAnsi" w:cstheme="minorHAnsi"/>
                <w:b/>
              </w:rPr>
              <w:t xml:space="preserve"> </w:t>
            </w:r>
            <w:proofErr w:type="spellStart"/>
            <w:r>
              <w:rPr>
                <w:rFonts w:asciiTheme="minorHAnsi" w:hAnsiTheme="minorHAnsi" w:cstheme="minorHAnsi"/>
                <w:b/>
              </w:rPr>
              <w:t>LGA</w:t>
            </w:r>
            <w:proofErr w:type="spellEnd"/>
          </w:p>
        </w:tc>
        <w:tc>
          <w:tcPr>
            <w:tcW w:w="948" w:type="pct"/>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b/>
              </w:rPr>
            </w:pPr>
            <w:proofErr w:type="spellStart"/>
            <w:r>
              <w:rPr>
                <w:rFonts w:asciiTheme="minorHAnsi" w:hAnsiTheme="minorHAnsi" w:cstheme="minorHAnsi"/>
                <w:b/>
              </w:rPr>
              <w:t>NAWA</w:t>
            </w:r>
            <w:proofErr w:type="spellEnd"/>
            <w:r>
              <w:rPr>
                <w:rFonts w:asciiTheme="minorHAnsi" w:hAnsiTheme="minorHAnsi" w:cstheme="minorHAnsi"/>
                <w:b/>
              </w:rPr>
              <w:t xml:space="preserve"> PEA</w:t>
            </w:r>
            <w:r>
              <w:rPr>
                <w:rFonts w:asciiTheme="minorHAnsi" w:hAnsiTheme="minorHAnsi" w:cstheme="minorHAnsi"/>
                <w:b/>
              </w:rPr>
              <w:br/>
              <w:t>(August 2012)</w:t>
            </w:r>
          </w:p>
        </w:tc>
        <w:tc>
          <w:tcPr>
            <w:tcW w:w="1151" w:type="pct"/>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 xml:space="preserve">All regions surveyed </w:t>
            </w:r>
            <w:r>
              <w:rPr>
                <w:rFonts w:asciiTheme="minorHAnsi" w:hAnsiTheme="minorHAnsi" w:cstheme="minorHAnsi"/>
                <w:b/>
              </w:rPr>
              <w:br/>
              <w:t>(12 months to June 2012)</w:t>
            </w:r>
          </w:p>
        </w:tc>
      </w:tr>
      <w:tr w:rsidR="006A6667" w:rsidRPr="00BB6F76" w:rsidTr="000C7A26">
        <w:trPr>
          <w:cantSplit/>
          <w:trHeight w:val="87"/>
        </w:trPr>
        <w:tc>
          <w:tcPr>
            <w:tcW w:w="2040" w:type="pct"/>
            <w:tcMar>
              <w:top w:w="113" w:type="dxa"/>
              <w:bottom w:w="113" w:type="dxa"/>
            </w:tcMar>
            <w:vAlign w:val="center"/>
          </w:tcPr>
          <w:p w:rsidR="006A6667" w:rsidRPr="00E843EC" w:rsidRDefault="006A6667" w:rsidP="000C7A26">
            <w:pPr>
              <w:keepNext/>
              <w:contextualSpacing/>
              <w:jc w:val="left"/>
              <w:rPr>
                <w:rFonts w:asciiTheme="minorHAnsi" w:hAnsiTheme="minorHAnsi" w:cstheme="minorHAnsi"/>
                <w:b/>
              </w:rPr>
            </w:pPr>
            <w:r w:rsidRPr="00E843EC">
              <w:rPr>
                <w:rFonts w:asciiTheme="minorHAnsi" w:hAnsiTheme="minorHAnsi" w:cstheme="minorHAnsi"/>
                <w:b/>
              </w:rPr>
              <w:t>Proportion of employers who recruited</w:t>
            </w:r>
          </w:p>
        </w:tc>
        <w:tc>
          <w:tcPr>
            <w:tcW w:w="86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63%</w:t>
            </w:r>
          </w:p>
        </w:tc>
        <w:tc>
          <w:tcPr>
            <w:tcW w:w="948"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72%</w:t>
            </w:r>
          </w:p>
        </w:tc>
        <w:tc>
          <w:tcPr>
            <w:tcW w:w="115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65%</w:t>
            </w:r>
          </w:p>
        </w:tc>
      </w:tr>
      <w:tr w:rsidR="006A6667" w:rsidRPr="00BB6F76" w:rsidTr="000C7A26">
        <w:trPr>
          <w:cantSplit/>
          <w:trHeight w:val="87"/>
        </w:trPr>
        <w:tc>
          <w:tcPr>
            <w:tcW w:w="2040" w:type="pct"/>
            <w:tcMar>
              <w:top w:w="113" w:type="dxa"/>
              <w:bottom w:w="113" w:type="dxa"/>
            </w:tcMar>
            <w:vAlign w:val="center"/>
          </w:tcPr>
          <w:p w:rsidR="006A6667" w:rsidRPr="00E843EC" w:rsidRDefault="006A6667" w:rsidP="00B943F4">
            <w:pPr>
              <w:keepNext/>
              <w:contextualSpacing/>
              <w:rPr>
                <w:rFonts w:asciiTheme="minorHAnsi" w:hAnsiTheme="minorHAnsi" w:cstheme="minorHAnsi"/>
                <w:b/>
              </w:rPr>
            </w:pPr>
            <w:r w:rsidRPr="00E843EC">
              <w:rPr>
                <w:rFonts w:asciiTheme="minorHAnsi" w:hAnsiTheme="minorHAnsi" w:cstheme="minorHAnsi"/>
                <w:b/>
              </w:rPr>
              <w:t>- to increase staff</w:t>
            </w:r>
          </w:p>
        </w:tc>
        <w:tc>
          <w:tcPr>
            <w:tcW w:w="86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40%</w:t>
            </w:r>
          </w:p>
        </w:tc>
        <w:tc>
          <w:tcPr>
            <w:tcW w:w="948"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39%</w:t>
            </w:r>
          </w:p>
        </w:tc>
        <w:tc>
          <w:tcPr>
            <w:tcW w:w="115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48%</w:t>
            </w:r>
          </w:p>
        </w:tc>
      </w:tr>
      <w:tr w:rsidR="006A6667" w:rsidRPr="00BB6F76" w:rsidTr="000C7A26">
        <w:trPr>
          <w:cantSplit/>
          <w:trHeight w:val="87"/>
        </w:trPr>
        <w:tc>
          <w:tcPr>
            <w:tcW w:w="2040" w:type="pct"/>
            <w:tcMar>
              <w:top w:w="113" w:type="dxa"/>
              <w:bottom w:w="113" w:type="dxa"/>
            </w:tcMar>
            <w:vAlign w:val="center"/>
          </w:tcPr>
          <w:p w:rsidR="006A6667" w:rsidRPr="00E843EC" w:rsidRDefault="006A6667" w:rsidP="00B943F4">
            <w:pPr>
              <w:keepNext/>
              <w:contextualSpacing/>
              <w:rPr>
                <w:rFonts w:asciiTheme="minorHAnsi" w:hAnsiTheme="minorHAnsi" w:cstheme="minorHAnsi"/>
                <w:b/>
              </w:rPr>
            </w:pPr>
            <w:r w:rsidRPr="00E843EC">
              <w:rPr>
                <w:rFonts w:asciiTheme="minorHAnsi" w:hAnsiTheme="minorHAnsi" w:cstheme="minorHAnsi"/>
                <w:b/>
              </w:rPr>
              <w:t>- to replace staff</w:t>
            </w:r>
          </w:p>
        </w:tc>
        <w:tc>
          <w:tcPr>
            <w:tcW w:w="86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84%</w:t>
            </w:r>
          </w:p>
        </w:tc>
        <w:tc>
          <w:tcPr>
            <w:tcW w:w="948"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88%</w:t>
            </w:r>
          </w:p>
        </w:tc>
        <w:tc>
          <w:tcPr>
            <w:tcW w:w="115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85%</w:t>
            </w:r>
          </w:p>
        </w:tc>
      </w:tr>
      <w:tr w:rsidR="006A6667" w:rsidRPr="00BB6F76" w:rsidTr="000C7A26">
        <w:trPr>
          <w:cantSplit/>
          <w:trHeight w:val="87"/>
        </w:trPr>
        <w:tc>
          <w:tcPr>
            <w:tcW w:w="2040" w:type="pct"/>
            <w:tcMar>
              <w:top w:w="113" w:type="dxa"/>
              <w:bottom w:w="113" w:type="dxa"/>
            </w:tcMar>
            <w:vAlign w:val="center"/>
          </w:tcPr>
          <w:p w:rsidR="006A6667" w:rsidRPr="00E843EC" w:rsidRDefault="006A6667" w:rsidP="00B943F4">
            <w:pPr>
              <w:keepNext/>
              <w:contextualSpacing/>
              <w:rPr>
                <w:rFonts w:asciiTheme="minorHAnsi" w:hAnsiTheme="minorHAnsi" w:cstheme="minorHAnsi"/>
                <w:b/>
              </w:rPr>
            </w:pPr>
            <w:r w:rsidRPr="00E843EC">
              <w:rPr>
                <w:rFonts w:asciiTheme="minorHAnsi" w:hAnsiTheme="minorHAnsi" w:cstheme="minorHAnsi"/>
                <w:b/>
              </w:rPr>
              <w:t>Vacancies per 100 staff</w:t>
            </w:r>
          </w:p>
        </w:tc>
        <w:tc>
          <w:tcPr>
            <w:tcW w:w="86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14</w:t>
            </w:r>
          </w:p>
        </w:tc>
        <w:tc>
          <w:tcPr>
            <w:tcW w:w="948"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16</w:t>
            </w:r>
          </w:p>
        </w:tc>
        <w:tc>
          <w:tcPr>
            <w:tcW w:w="115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19</w:t>
            </w:r>
          </w:p>
        </w:tc>
      </w:tr>
      <w:tr w:rsidR="006A6667" w:rsidRPr="00BB6F76" w:rsidTr="000C7A26">
        <w:trPr>
          <w:cantSplit/>
          <w:trHeight w:val="154"/>
        </w:trPr>
        <w:tc>
          <w:tcPr>
            <w:tcW w:w="2040" w:type="pct"/>
            <w:tcMar>
              <w:top w:w="113" w:type="dxa"/>
              <w:bottom w:w="113" w:type="dxa"/>
            </w:tcMar>
            <w:vAlign w:val="center"/>
          </w:tcPr>
          <w:p w:rsidR="006A6667" w:rsidRPr="00E843EC" w:rsidRDefault="006A6667" w:rsidP="00B943F4">
            <w:pPr>
              <w:keepNext/>
              <w:contextualSpacing/>
              <w:rPr>
                <w:rFonts w:asciiTheme="minorHAnsi" w:hAnsiTheme="minorHAnsi" w:cstheme="minorHAnsi"/>
                <w:b/>
              </w:rPr>
            </w:pPr>
            <w:r w:rsidRPr="00E843EC">
              <w:rPr>
                <w:rFonts w:asciiTheme="minorHAnsi" w:hAnsiTheme="minorHAnsi" w:cstheme="minorHAnsi"/>
                <w:b/>
              </w:rPr>
              <w:t>Proportion of vacancies unfilled</w:t>
            </w:r>
          </w:p>
        </w:tc>
        <w:tc>
          <w:tcPr>
            <w:tcW w:w="86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3.4%</w:t>
            </w:r>
          </w:p>
        </w:tc>
        <w:tc>
          <w:tcPr>
            <w:tcW w:w="948"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5.2%</w:t>
            </w:r>
          </w:p>
        </w:tc>
        <w:tc>
          <w:tcPr>
            <w:tcW w:w="1151" w:type="pct"/>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6.3%</w:t>
            </w:r>
          </w:p>
        </w:tc>
      </w:tr>
      <w:tr w:rsidR="006A6667" w:rsidRPr="00BB6F76" w:rsidTr="000C7A26">
        <w:trPr>
          <w:cantSplit/>
          <w:trHeight w:val="233"/>
        </w:trPr>
        <w:tc>
          <w:tcPr>
            <w:tcW w:w="2040" w:type="pct"/>
            <w:tcBorders>
              <w:bottom w:val="single" w:sz="4" w:space="0" w:color="auto"/>
            </w:tcBorders>
            <w:tcMar>
              <w:top w:w="113" w:type="dxa"/>
              <w:bottom w:w="113" w:type="dxa"/>
            </w:tcMar>
            <w:vAlign w:val="center"/>
          </w:tcPr>
          <w:p w:rsidR="006A6667" w:rsidRPr="00E843EC" w:rsidRDefault="006A6667" w:rsidP="000C7A26">
            <w:pPr>
              <w:keepNext/>
              <w:contextualSpacing/>
              <w:jc w:val="left"/>
              <w:rPr>
                <w:rFonts w:asciiTheme="minorHAnsi" w:hAnsiTheme="minorHAnsi" w:cstheme="minorHAnsi"/>
                <w:b/>
              </w:rPr>
            </w:pPr>
            <w:r w:rsidRPr="00E843EC">
              <w:rPr>
                <w:rFonts w:asciiTheme="minorHAnsi" w:hAnsiTheme="minorHAnsi" w:cstheme="minorHAnsi"/>
                <w:b/>
              </w:rPr>
              <w:t>Proportion of recruiting employers who experienced difficulty</w:t>
            </w:r>
          </w:p>
        </w:tc>
        <w:tc>
          <w:tcPr>
            <w:tcW w:w="861" w:type="pct"/>
            <w:tcBorders>
              <w:bottom w:val="single" w:sz="4" w:space="0" w:color="auto"/>
            </w:tcBorders>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42%</w:t>
            </w:r>
          </w:p>
        </w:tc>
        <w:tc>
          <w:tcPr>
            <w:tcW w:w="948" w:type="pct"/>
            <w:tcBorders>
              <w:bottom w:val="single" w:sz="4" w:space="0" w:color="auto"/>
            </w:tcBorders>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47%</w:t>
            </w:r>
          </w:p>
        </w:tc>
        <w:tc>
          <w:tcPr>
            <w:tcW w:w="1151" w:type="pct"/>
            <w:tcBorders>
              <w:bottom w:val="single" w:sz="4" w:space="0" w:color="auto"/>
            </w:tcBorders>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56%</w:t>
            </w:r>
          </w:p>
        </w:tc>
      </w:tr>
    </w:tbl>
    <w:p w:rsidR="006A6667" w:rsidRPr="00BB6F76" w:rsidRDefault="006A6667" w:rsidP="006A6667">
      <w:pPr>
        <w:keepNext/>
        <w:spacing w:after="0"/>
        <w:contextualSpacing/>
        <w:rPr>
          <w:rFonts w:cstheme="minorHAnsi"/>
          <w:b/>
        </w:rPr>
      </w:pPr>
    </w:p>
    <w:p w:rsidR="0086377D" w:rsidRPr="003E73A8" w:rsidRDefault="0086377D" w:rsidP="00EF7BEC">
      <w:pPr>
        <w:pStyle w:val="Heading2"/>
      </w:pPr>
      <w:r w:rsidRPr="003E73A8">
        <w:t>Most Recent Recruitment Activity</w:t>
      </w:r>
      <w:bookmarkEnd w:id="9"/>
      <w:bookmarkEnd w:id="11"/>
    </w:p>
    <w:p w:rsidR="006A6667" w:rsidRPr="000C7A26" w:rsidRDefault="006A6667" w:rsidP="006A6667">
      <w:pPr>
        <w:contextualSpacing/>
        <w:rPr>
          <w:rFonts w:asciiTheme="minorHAnsi" w:hAnsiTheme="minorHAnsi" w:cstheme="minorHAnsi"/>
        </w:rPr>
      </w:pPr>
      <w:bookmarkStart w:id="12" w:name="_Toc296333031"/>
      <w:r w:rsidRPr="000C7A26">
        <w:rPr>
          <w:rFonts w:asciiTheme="minorHAnsi" w:hAnsiTheme="minorHAnsi" w:cstheme="minorHAnsi"/>
        </w:rPr>
        <w:t>Employers were asked about their most recent recruitment experience.</w:t>
      </w:r>
    </w:p>
    <w:p w:rsidR="006A6667" w:rsidRPr="000C7A26" w:rsidRDefault="006A6667" w:rsidP="006A6667">
      <w:pPr>
        <w:pStyle w:val="ListParagraph"/>
        <w:numPr>
          <w:ilvl w:val="0"/>
          <w:numId w:val="22"/>
        </w:numPr>
        <w:spacing w:after="200"/>
        <w:jc w:val="both"/>
        <w:rPr>
          <w:rFonts w:asciiTheme="minorHAnsi" w:hAnsiTheme="minorHAnsi" w:cstheme="minorHAnsi"/>
        </w:rPr>
      </w:pPr>
      <w:r w:rsidRPr="000C7A26">
        <w:rPr>
          <w:rFonts w:asciiTheme="minorHAnsi" w:hAnsiTheme="minorHAnsi" w:cstheme="minorHAnsi"/>
        </w:rPr>
        <w:t xml:space="preserve">The proportion of vacancies that remained unfilled was 5.7 per cent, slightly lower compared with the 2011 survey (6.1 per cent) and all regions surveyed (8.3 per cent). However, the proportion of unfilled vacancies in the </w:t>
      </w:r>
      <w:proofErr w:type="spellStart"/>
      <w:r w:rsidRPr="000C7A26">
        <w:rPr>
          <w:rFonts w:asciiTheme="minorHAnsi" w:hAnsiTheme="minorHAnsi" w:cstheme="minorHAnsi"/>
        </w:rPr>
        <w:t>Playford</w:t>
      </w:r>
      <w:proofErr w:type="spellEnd"/>
      <w:r w:rsidRPr="000C7A26">
        <w:rPr>
          <w:rFonts w:asciiTheme="minorHAnsi" w:hAnsiTheme="minorHAnsi" w:cstheme="minorHAnsi"/>
        </w:rPr>
        <w:t xml:space="preserve"> </w:t>
      </w:r>
      <w:proofErr w:type="spellStart"/>
      <w:r w:rsidRPr="000C7A26">
        <w:rPr>
          <w:rFonts w:asciiTheme="minorHAnsi" w:hAnsiTheme="minorHAnsi" w:cstheme="minorHAnsi"/>
        </w:rPr>
        <w:t>LGA</w:t>
      </w:r>
      <w:proofErr w:type="spellEnd"/>
      <w:r w:rsidRPr="000C7A26">
        <w:rPr>
          <w:rFonts w:asciiTheme="minorHAnsi" w:hAnsiTheme="minorHAnsi" w:cstheme="minorHAnsi"/>
        </w:rPr>
        <w:t xml:space="preserve"> was higher (9.4 per cent).</w:t>
      </w:r>
    </w:p>
    <w:p w:rsidR="006A6667" w:rsidRPr="000C7A26" w:rsidRDefault="006A6667" w:rsidP="006A6667">
      <w:pPr>
        <w:pStyle w:val="ListParagraph"/>
        <w:numPr>
          <w:ilvl w:val="1"/>
          <w:numId w:val="22"/>
        </w:numPr>
        <w:spacing w:after="200"/>
        <w:jc w:val="both"/>
        <w:rPr>
          <w:rFonts w:asciiTheme="minorHAnsi" w:hAnsiTheme="minorHAnsi" w:cstheme="minorHAnsi"/>
        </w:rPr>
      </w:pPr>
      <w:r w:rsidRPr="000C7A26">
        <w:rPr>
          <w:rFonts w:asciiTheme="minorHAnsi" w:hAnsiTheme="minorHAnsi" w:cstheme="minorHAnsi"/>
        </w:rPr>
        <w:t xml:space="preserve">There was a particularly high proportion of Community and Personal Service Worker </w:t>
      </w:r>
      <w:r w:rsidRPr="000C7A26">
        <w:rPr>
          <w:rFonts w:asciiTheme="minorHAnsi" w:hAnsiTheme="minorHAnsi" w:cstheme="minorHAnsi"/>
        </w:rPr>
        <w:br/>
        <w:t>(13.2 per cent), Machinery Operator and Driver (8.8 per cent) and Technician and Trades Worker (8.6 per cent) vacancies remaining unfilled in the Northern and Western Adelaide PEA.</w:t>
      </w:r>
    </w:p>
    <w:p w:rsidR="006A6667" w:rsidRPr="00B512C5" w:rsidRDefault="006A6667" w:rsidP="006A6667">
      <w:pPr>
        <w:contextualSpacing/>
        <w:rPr>
          <w:sz w:val="12"/>
          <w:szCs w:val="12"/>
        </w:rPr>
      </w:pPr>
    </w:p>
    <w:p w:rsidR="000C7A26" w:rsidRDefault="000C7A26">
      <w:pPr>
        <w:spacing w:before="0" w:after="0"/>
        <w:jc w:val="left"/>
        <w:rPr>
          <w:i/>
        </w:rPr>
      </w:pPr>
      <w:r>
        <w:rPr>
          <w:i/>
        </w:rPr>
        <w:br w:type="page"/>
      </w:r>
    </w:p>
    <w:p w:rsidR="006A6667" w:rsidRDefault="006A6667" w:rsidP="006A6667">
      <w:pPr>
        <w:contextualSpacing/>
        <w:rPr>
          <w:i/>
        </w:rPr>
      </w:pPr>
      <w:proofErr w:type="gramStart"/>
      <w:r>
        <w:rPr>
          <w:i/>
        </w:rPr>
        <w:lastRenderedPageBreak/>
        <w:t>Figure 1.</w:t>
      </w:r>
      <w:proofErr w:type="gramEnd"/>
      <w:r>
        <w:rPr>
          <w:i/>
        </w:rPr>
        <w:t xml:space="preserve"> Unfilled vacancies by occupation</w:t>
      </w:r>
    </w:p>
    <w:p w:rsidR="006A6667" w:rsidRDefault="006A6667" w:rsidP="006A6667">
      <w:pPr>
        <w:contextualSpacing/>
        <w:rPr>
          <w:i/>
        </w:rPr>
      </w:pPr>
      <w:r w:rsidRPr="00511511">
        <w:rPr>
          <w:i/>
          <w:noProof/>
        </w:rPr>
        <w:drawing>
          <wp:inline distT="0" distB="0" distL="0" distR="0">
            <wp:extent cx="6143625" cy="3238500"/>
            <wp:effectExtent l="19050" t="0" r="952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A6667" w:rsidRDefault="006A6667" w:rsidP="006A6667">
      <w:pPr>
        <w:contextualSpacing/>
        <w:rPr>
          <w:i/>
        </w:rPr>
      </w:pPr>
    </w:p>
    <w:p w:rsidR="006A6667" w:rsidRPr="00A30D42" w:rsidRDefault="006A6667" w:rsidP="006A6667">
      <w:pPr>
        <w:pStyle w:val="ListParagraph"/>
        <w:numPr>
          <w:ilvl w:val="0"/>
          <w:numId w:val="22"/>
        </w:numPr>
        <w:spacing w:after="200"/>
        <w:jc w:val="both"/>
        <w:rPr>
          <w:rFonts w:asciiTheme="minorHAnsi" w:hAnsiTheme="minorHAnsi" w:cstheme="minorHAnsi"/>
        </w:rPr>
      </w:pPr>
      <w:r w:rsidRPr="00A30D42">
        <w:rPr>
          <w:rFonts w:asciiTheme="minorHAnsi" w:hAnsiTheme="minorHAnsi" w:cstheme="minorHAnsi"/>
        </w:rPr>
        <w:t xml:space="preserve">The proportion of employers who had difficulty recruiting for their most recent vacancy </w:t>
      </w:r>
      <w:r w:rsidR="00A30D42">
        <w:rPr>
          <w:rFonts w:asciiTheme="minorHAnsi" w:hAnsiTheme="minorHAnsi" w:cstheme="minorHAnsi"/>
        </w:rPr>
        <w:br/>
      </w:r>
      <w:r w:rsidRPr="00A30D42">
        <w:rPr>
          <w:rFonts w:asciiTheme="minorHAnsi" w:hAnsiTheme="minorHAnsi" w:cstheme="minorHAnsi"/>
        </w:rPr>
        <w:t xml:space="preserve">(33 per cent) was lower compared with all regions surveyed (44 per cent). In the </w:t>
      </w:r>
      <w:proofErr w:type="spellStart"/>
      <w:r w:rsidRPr="00A30D42">
        <w:rPr>
          <w:rFonts w:asciiTheme="minorHAnsi" w:hAnsiTheme="minorHAnsi" w:cstheme="minorHAnsi"/>
        </w:rPr>
        <w:t>Playford</w:t>
      </w:r>
      <w:proofErr w:type="spellEnd"/>
      <w:r w:rsidRPr="00A30D42">
        <w:rPr>
          <w:rFonts w:asciiTheme="minorHAnsi" w:hAnsiTheme="minorHAnsi" w:cstheme="minorHAnsi"/>
        </w:rPr>
        <w:t xml:space="preserve"> </w:t>
      </w:r>
      <w:proofErr w:type="spellStart"/>
      <w:r w:rsidRPr="00A30D42">
        <w:rPr>
          <w:rFonts w:asciiTheme="minorHAnsi" w:hAnsiTheme="minorHAnsi" w:cstheme="minorHAnsi"/>
        </w:rPr>
        <w:t>LGA</w:t>
      </w:r>
      <w:proofErr w:type="spellEnd"/>
      <w:r w:rsidRPr="00A30D42">
        <w:rPr>
          <w:rFonts w:asciiTheme="minorHAnsi" w:hAnsiTheme="minorHAnsi" w:cstheme="minorHAnsi"/>
        </w:rPr>
        <w:t>, this (33 per cent) was on a par with the PEA.</w:t>
      </w:r>
    </w:p>
    <w:p w:rsidR="006A6667" w:rsidRPr="00A30D42" w:rsidRDefault="006A6667" w:rsidP="006A6667">
      <w:pPr>
        <w:pStyle w:val="ListParagraph"/>
        <w:numPr>
          <w:ilvl w:val="1"/>
          <w:numId w:val="22"/>
        </w:numPr>
        <w:spacing w:after="200"/>
        <w:jc w:val="both"/>
        <w:rPr>
          <w:rFonts w:asciiTheme="minorHAnsi" w:hAnsiTheme="minorHAnsi" w:cstheme="minorHAnsi"/>
        </w:rPr>
      </w:pPr>
      <w:r w:rsidRPr="00A30D42">
        <w:rPr>
          <w:rFonts w:asciiTheme="minorHAnsi" w:hAnsiTheme="minorHAnsi" w:cstheme="minorHAnsi"/>
        </w:rPr>
        <w:t>Recruitment difficulty was most commonly reported by employers who recruited for Community and Personal Service Workers (49 per cent), Technicians and Trades Workers (42 per cent) and Machinery Operators and Drivers (37 per cent).</w:t>
      </w:r>
    </w:p>
    <w:p w:rsidR="006A6667" w:rsidRPr="00A30D42" w:rsidRDefault="006A6667" w:rsidP="006A6667">
      <w:pPr>
        <w:pStyle w:val="ListParagraph"/>
        <w:numPr>
          <w:ilvl w:val="1"/>
          <w:numId w:val="22"/>
        </w:numPr>
        <w:spacing w:after="200"/>
        <w:jc w:val="both"/>
        <w:rPr>
          <w:rFonts w:asciiTheme="minorHAnsi" w:hAnsiTheme="minorHAnsi" w:cstheme="minorHAnsi"/>
        </w:rPr>
      </w:pPr>
      <w:r w:rsidRPr="00A30D42">
        <w:rPr>
          <w:rFonts w:asciiTheme="minorHAnsi" w:hAnsiTheme="minorHAnsi" w:cstheme="minorHAnsi"/>
        </w:rPr>
        <w:t xml:space="preserve">The most common reasons for recruitment difficulty were finding people with the technical skill requirements for the job (40 per cent), the nature of the work required (23 per cent), the tight labour market (21 per cent) and finding people with the necessary soft skills (20 per cent). </w:t>
      </w:r>
    </w:p>
    <w:p w:rsidR="006A6667" w:rsidRPr="00A30D42" w:rsidRDefault="006A6667" w:rsidP="006A6667">
      <w:pPr>
        <w:pStyle w:val="ListParagraph"/>
        <w:numPr>
          <w:ilvl w:val="0"/>
          <w:numId w:val="22"/>
        </w:numPr>
        <w:spacing w:after="200"/>
        <w:jc w:val="both"/>
        <w:rPr>
          <w:rFonts w:asciiTheme="minorHAnsi" w:hAnsiTheme="minorHAnsi" w:cstheme="minorHAnsi"/>
        </w:rPr>
      </w:pPr>
      <w:r w:rsidRPr="00A30D42">
        <w:rPr>
          <w:rFonts w:asciiTheme="minorHAnsi" w:hAnsiTheme="minorHAnsi" w:cstheme="minorHAnsi"/>
        </w:rPr>
        <w:t>Table 2 shows the occupations for which employers had difficulty recruiting.</w:t>
      </w:r>
    </w:p>
    <w:p w:rsidR="006A6667" w:rsidRPr="00910B5C" w:rsidRDefault="006A6667" w:rsidP="006A6667">
      <w:pPr>
        <w:contextualSpacing/>
        <w:rPr>
          <w:rFonts w:cstheme="minorHAnsi"/>
          <w:i/>
        </w:rPr>
      </w:pPr>
      <w:proofErr w:type="gramStart"/>
      <w:r>
        <w:rPr>
          <w:rFonts w:cstheme="minorHAnsi"/>
          <w:i/>
        </w:rPr>
        <w:t>Table 2.</w:t>
      </w:r>
      <w:proofErr w:type="gramEnd"/>
      <w:r>
        <w:rPr>
          <w:rFonts w:cstheme="minorHAnsi"/>
          <w:i/>
        </w:rPr>
        <w:t xml:space="preserve"> O</w:t>
      </w:r>
      <w:r w:rsidRPr="00910B5C">
        <w:rPr>
          <w:rFonts w:cstheme="minorHAnsi"/>
          <w:i/>
        </w:rPr>
        <w:t xml:space="preserve">ccupations </w:t>
      </w:r>
      <w:r>
        <w:rPr>
          <w:rFonts w:cstheme="minorHAnsi"/>
          <w:i/>
        </w:rPr>
        <w:t xml:space="preserve">difficult to fill </w:t>
      </w:r>
      <w:r w:rsidRPr="00910B5C">
        <w:rPr>
          <w:rFonts w:cstheme="minorHAnsi"/>
          <w:i/>
        </w:rPr>
        <w:t>by skill level</w:t>
      </w:r>
    </w:p>
    <w:tbl>
      <w:tblPr>
        <w:tblStyle w:val="TableGrid"/>
        <w:tblW w:w="9855" w:type="dxa"/>
        <w:tblLook w:val="04A0"/>
      </w:tblPr>
      <w:tblGrid>
        <w:gridCol w:w="5201"/>
        <w:gridCol w:w="4654"/>
      </w:tblGrid>
      <w:tr w:rsidR="006A6667" w:rsidRPr="00910B5C" w:rsidTr="00D24784">
        <w:trPr>
          <w:cantSplit/>
          <w:trHeight w:val="466"/>
        </w:trPr>
        <w:tc>
          <w:tcPr>
            <w:tcW w:w="9855" w:type="dxa"/>
            <w:gridSpan w:val="2"/>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rPr>
            </w:pPr>
            <w:r w:rsidRPr="00E843EC">
              <w:rPr>
                <w:rFonts w:asciiTheme="minorHAnsi" w:hAnsiTheme="minorHAnsi" w:cstheme="minorHAnsi"/>
                <w:b/>
              </w:rPr>
              <w:t>Bachelor Degree or Higher VET Qualifications</w:t>
            </w:r>
          </w:p>
        </w:tc>
      </w:tr>
      <w:tr w:rsidR="006A6667" w:rsidRPr="00910B5C" w:rsidTr="00D24784">
        <w:trPr>
          <w:cantSplit/>
          <w:trHeight w:val="327"/>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Chefs</w:t>
            </w:r>
          </w:p>
        </w:tc>
        <w:tc>
          <w:tcPr>
            <w:tcW w:w="4654"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Structural Steel and Welding Trades Workers</w:t>
            </w:r>
          </w:p>
        </w:tc>
      </w:tr>
      <w:tr w:rsidR="006A6667" w:rsidRPr="00910B5C" w:rsidTr="00D24784">
        <w:trPr>
          <w:cantSplit/>
          <w:trHeight w:val="327"/>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Child Carers</w:t>
            </w:r>
          </w:p>
        </w:tc>
        <w:tc>
          <w:tcPr>
            <w:tcW w:w="4654"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Metal Fitters and Machinists</w:t>
            </w:r>
          </w:p>
        </w:tc>
      </w:tr>
      <w:tr w:rsidR="006A6667" w:rsidRPr="00910B5C" w:rsidTr="00D24784">
        <w:trPr>
          <w:cantSplit/>
          <w:trHeight w:val="327"/>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Architectural, Building and Surveying Technicians</w:t>
            </w:r>
          </w:p>
        </w:tc>
        <w:tc>
          <w:tcPr>
            <w:tcW w:w="4654"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Cooks</w:t>
            </w:r>
          </w:p>
        </w:tc>
      </w:tr>
      <w:tr w:rsidR="006A6667" w:rsidRPr="00910B5C" w:rsidTr="00D24784">
        <w:trPr>
          <w:cantSplit/>
          <w:trHeight w:val="327"/>
        </w:trPr>
        <w:tc>
          <w:tcPr>
            <w:tcW w:w="5201" w:type="dxa"/>
            <w:vAlign w:val="center"/>
          </w:tcPr>
          <w:p w:rsidR="006A6667" w:rsidRDefault="006A6667" w:rsidP="00B943F4">
            <w:pPr>
              <w:keepNext/>
              <w:contextualSpacing/>
              <w:jc w:val="center"/>
              <w:rPr>
                <w:rFonts w:cstheme="minorHAnsi"/>
              </w:rPr>
            </w:pPr>
            <w:r>
              <w:rPr>
                <w:rFonts w:asciiTheme="minorHAnsi" w:hAnsiTheme="minorHAnsi" w:cstheme="minorHAnsi"/>
              </w:rPr>
              <w:t>Hairdressers</w:t>
            </w:r>
          </w:p>
        </w:tc>
        <w:tc>
          <w:tcPr>
            <w:tcW w:w="4654" w:type="dxa"/>
            <w:vAlign w:val="center"/>
          </w:tcPr>
          <w:p w:rsidR="006A6667" w:rsidRDefault="006A6667" w:rsidP="00B943F4">
            <w:pPr>
              <w:keepNext/>
              <w:contextualSpacing/>
              <w:jc w:val="center"/>
              <w:rPr>
                <w:rFonts w:cstheme="minorHAnsi"/>
              </w:rPr>
            </w:pPr>
            <w:r>
              <w:rPr>
                <w:rFonts w:asciiTheme="minorHAnsi" w:hAnsiTheme="minorHAnsi" w:cstheme="minorHAnsi"/>
              </w:rPr>
              <w:t>Human Resource Professionals</w:t>
            </w:r>
          </w:p>
        </w:tc>
      </w:tr>
      <w:tr w:rsidR="006A6667" w:rsidRPr="00910B5C" w:rsidTr="00D24784">
        <w:trPr>
          <w:cantSplit/>
          <w:trHeight w:val="327"/>
        </w:trPr>
        <w:tc>
          <w:tcPr>
            <w:tcW w:w="9855" w:type="dxa"/>
            <w:gridSpan w:val="2"/>
            <w:vAlign w:val="center"/>
          </w:tcPr>
          <w:p w:rsidR="006A6667" w:rsidRDefault="006A6667" w:rsidP="00B943F4">
            <w:pPr>
              <w:keepNext/>
              <w:contextualSpacing/>
              <w:jc w:val="center"/>
              <w:rPr>
                <w:rFonts w:cstheme="minorHAnsi"/>
              </w:rPr>
            </w:pPr>
            <w:r>
              <w:rPr>
                <w:rFonts w:asciiTheme="minorHAnsi" w:hAnsiTheme="minorHAnsi" w:cstheme="minorHAnsi"/>
              </w:rPr>
              <w:t>Motor Mechanics</w:t>
            </w:r>
          </w:p>
        </w:tc>
      </w:tr>
      <w:tr w:rsidR="006A6667" w:rsidRPr="00910B5C" w:rsidTr="00D24784">
        <w:trPr>
          <w:cantSplit/>
          <w:trHeight w:val="452"/>
        </w:trPr>
        <w:tc>
          <w:tcPr>
            <w:tcW w:w="9855" w:type="dxa"/>
            <w:gridSpan w:val="2"/>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rPr>
            </w:pPr>
            <w:r w:rsidRPr="00E843EC">
              <w:rPr>
                <w:rFonts w:asciiTheme="minorHAnsi" w:hAnsiTheme="minorHAnsi" w:cstheme="minorHAnsi"/>
                <w:b/>
              </w:rPr>
              <w:t>Other Occupations</w:t>
            </w:r>
          </w:p>
        </w:tc>
      </w:tr>
      <w:tr w:rsidR="006A6667" w:rsidRPr="00910B5C" w:rsidTr="00D24784">
        <w:trPr>
          <w:cantSplit/>
          <w:trHeight w:val="327"/>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Sales Assistants (General)</w:t>
            </w:r>
          </w:p>
        </w:tc>
        <w:tc>
          <w:tcPr>
            <w:tcW w:w="4654"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Waiters</w:t>
            </w:r>
          </w:p>
        </w:tc>
      </w:tr>
      <w:tr w:rsidR="006A6667" w:rsidRPr="00910B5C" w:rsidTr="00D24784">
        <w:trPr>
          <w:cantSplit/>
          <w:trHeight w:val="323"/>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General Clerks</w:t>
            </w:r>
          </w:p>
        </w:tc>
        <w:tc>
          <w:tcPr>
            <w:tcW w:w="4654"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Receptionists</w:t>
            </w:r>
          </w:p>
        </w:tc>
      </w:tr>
      <w:tr w:rsidR="006A6667" w:rsidRPr="00910B5C" w:rsidTr="00D24784">
        <w:trPr>
          <w:cantSplit/>
          <w:trHeight w:val="323"/>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Bar Attendants and Baristas</w:t>
            </w:r>
          </w:p>
        </w:tc>
        <w:tc>
          <w:tcPr>
            <w:tcW w:w="4654" w:type="dxa"/>
            <w:vAlign w:val="center"/>
          </w:tcPr>
          <w:p w:rsidR="006A6667" w:rsidRPr="00E843EC" w:rsidRDefault="006A6667" w:rsidP="00B943F4">
            <w:pPr>
              <w:keepNext/>
              <w:contextualSpacing/>
              <w:jc w:val="center"/>
              <w:rPr>
                <w:rFonts w:cstheme="minorHAnsi"/>
              </w:rPr>
            </w:pPr>
            <w:r>
              <w:rPr>
                <w:rFonts w:asciiTheme="minorHAnsi" w:hAnsiTheme="minorHAnsi" w:cstheme="minorHAnsi"/>
              </w:rPr>
              <w:t>Truck Drivers</w:t>
            </w:r>
          </w:p>
        </w:tc>
      </w:tr>
    </w:tbl>
    <w:p w:rsidR="006A6667" w:rsidRPr="009103B1" w:rsidRDefault="006A6667" w:rsidP="006A6667"/>
    <w:p w:rsidR="00AF0CA1" w:rsidRPr="003E73A8" w:rsidRDefault="00AF0CA1" w:rsidP="00EF7BEC">
      <w:pPr>
        <w:pStyle w:val="Heading2"/>
      </w:pPr>
      <w:r>
        <w:lastRenderedPageBreak/>
        <w:t>Applicants and Suitability</w:t>
      </w:r>
    </w:p>
    <w:p w:rsidR="006A6667" w:rsidRPr="00A30D42" w:rsidRDefault="006A6667" w:rsidP="00A30D42">
      <w:pPr>
        <w:pStyle w:val="ListParagraph"/>
        <w:numPr>
          <w:ilvl w:val="0"/>
          <w:numId w:val="23"/>
        </w:numPr>
        <w:spacing w:after="200"/>
        <w:jc w:val="both"/>
        <w:rPr>
          <w:rFonts w:asciiTheme="minorHAnsi" w:hAnsiTheme="minorHAnsi" w:cstheme="minorHAnsi"/>
          <w:b/>
        </w:rPr>
      </w:pPr>
      <w:bookmarkStart w:id="13" w:name="_Toc327525228"/>
      <w:bookmarkEnd w:id="12"/>
      <w:r w:rsidRPr="00A30D42">
        <w:rPr>
          <w:rFonts w:asciiTheme="minorHAnsi" w:hAnsiTheme="minorHAnsi" w:cstheme="minorHAnsi"/>
        </w:rPr>
        <w:t xml:space="preserve">There was an average of 11.4 applicants per vacancy, lower compared with the March 2011 survey of the region (12.8 applicants), however, higher compared with all regions surveyed </w:t>
      </w:r>
      <w:r w:rsidR="00A30D42">
        <w:rPr>
          <w:rFonts w:asciiTheme="minorHAnsi" w:hAnsiTheme="minorHAnsi" w:cstheme="minorHAnsi"/>
        </w:rPr>
        <w:br/>
      </w:r>
      <w:r w:rsidRPr="00A30D42">
        <w:rPr>
          <w:rFonts w:asciiTheme="minorHAnsi" w:hAnsiTheme="minorHAnsi" w:cstheme="minorHAnsi"/>
        </w:rPr>
        <w:t xml:space="preserve">(7.9 applicants per vacancy). The average number of suitable applicants per vacancy (2.8) was higher compared with the 2011 survey (2.1 suitable applicants) and all regions surveyed </w:t>
      </w:r>
      <w:r w:rsidR="00A30D42">
        <w:rPr>
          <w:rFonts w:asciiTheme="minorHAnsi" w:hAnsiTheme="minorHAnsi" w:cstheme="minorHAnsi"/>
        </w:rPr>
        <w:br/>
      </w:r>
      <w:r w:rsidRPr="00A30D42">
        <w:rPr>
          <w:rFonts w:asciiTheme="minorHAnsi" w:hAnsiTheme="minorHAnsi" w:cstheme="minorHAnsi"/>
        </w:rPr>
        <w:t>(2.3 suitable applicants).</w:t>
      </w:r>
    </w:p>
    <w:p w:rsidR="006A6667" w:rsidRPr="00A30D42" w:rsidRDefault="006A6667" w:rsidP="00A30D42">
      <w:pPr>
        <w:pStyle w:val="ListParagraph"/>
        <w:numPr>
          <w:ilvl w:val="1"/>
          <w:numId w:val="23"/>
        </w:numPr>
        <w:spacing w:after="200"/>
        <w:jc w:val="both"/>
        <w:rPr>
          <w:rFonts w:asciiTheme="minorHAnsi" w:hAnsiTheme="minorHAnsi" w:cstheme="minorHAnsi"/>
          <w:b/>
        </w:rPr>
      </w:pPr>
      <w:r w:rsidRPr="00A30D42">
        <w:rPr>
          <w:rFonts w:asciiTheme="minorHAnsi" w:hAnsiTheme="minorHAnsi" w:cstheme="minorHAnsi"/>
        </w:rPr>
        <w:t xml:space="preserve">Competition for Clerical and Administrative Worker vacancies was high, with an average of 25.1 applicants per vacancy, of whom only 4.6 applicants were considered suitable. </w:t>
      </w:r>
    </w:p>
    <w:p w:rsidR="006A6667" w:rsidRPr="00A30D42" w:rsidRDefault="006A6667" w:rsidP="00A30D42">
      <w:pPr>
        <w:pStyle w:val="ListParagraph"/>
        <w:numPr>
          <w:ilvl w:val="1"/>
          <w:numId w:val="23"/>
        </w:numPr>
        <w:spacing w:after="200"/>
        <w:jc w:val="both"/>
        <w:rPr>
          <w:rFonts w:asciiTheme="minorHAnsi" w:hAnsiTheme="minorHAnsi" w:cstheme="minorHAnsi"/>
          <w:b/>
        </w:rPr>
      </w:pPr>
      <w:r w:rsidRPr="00A30D42">
        <w:rPr>
          <w:rFonts w:asciiTheme="minorHAnsi" w:hAnsiTheme="minorHAnsi" w:cstheme="minorHAnsi"/>
        </w:rPr>
        <w:t>Competition for Labourer vacancies was low, with an average of 5.8 applicants per vacancy, of whom 2.4 were considered suitable.</w:t>
      </w:r>
    </w:p>
    <w:p w:rsidR="006A6667" w:rsidRPr="00A30D42" w:rsidRDefault="006A6667" w:rsidP="00A30D42">
      <w:pPr>
        <w:pStyle w:val="ListParagraph"/>
        <w:numPr>
          <w:ilvl w:val="1"/>
          <w:numId w:val="23"/>
        </w:numPr>
        <w:spacing w:after="200"/>
        <w:jc w:val="both"/>
        <w:rPr>
          <w:rFonts w:asciiTheme="minorHAnsi" w:hAnsiTheme="minorHAnsi" w:cstheme="minorHAnsi"/>
          <w:b/>
        </w:rPr>
      </w:pPr>
      <w:r w:rsidRPr="00A30D42">
        <w:rPr>
          <w:rFonts w:asciiTheme="minorHAnsi" w:hAnsiTheme="minorHAnsi" w:cstheme="minorHAnsi"/>
        </w:rPr>
        <w:t xml:space="preserve">There </w:t>
      </w:r>
      <w:proofErr w:type="gramStart"/>
      <w:r w:rsidRPr="00A30D42">
        <w:rPr>
          <w:rFonts w:asciiTheme="minorHAnsi" w:hAnsiTheme="minorHAnsi" w:cstheme="minorHAnsi"/>
        </w:rPr>
        <w:t>was</w:t>
      </w:r>
      <w:proofErr w:type="gramEnd"/>
      <w:r w:rsidRPr="00A30D42">
        <w:rPr>
          <w:rFonts w:asciiTheme="minorHAnsi" w:hAnsiTheme="minorHAnsi" w:cstheme="minorHAnsi"/>
        </w:rPr>
        <w:t xml:space="preserve"> a low average number of suitable applicants (1.7) for Technician and Trades Worker vacancies.</w:t>
      </w:r>
    </w:p>
    <w:p w:rsidR="006A6667" w:rsidRPr="00A30D42" w:rsidRDefault="006A6667" w:rsidP="00A30D42">
      <w:pPr>
        <w:pStyle w:val="ListParagraph"/>
        <w:numPr>
          <w:ilvl w:val="1"/>
          <w:numId w:val="23"/>
        </w:numPr>
        <w:spacing w:after="200"/>
        <w:jc w:val="both"/>
        <w:rPr>
          <w:rFonts w:asciiTheme="minorHAnsi" w:hAnsiTheme="minorHAnsi" w:cstheme="minorHAnsi"/>
          <w:b/>
        </w:rPr>
      </w:pPr>
      <w:r w:rsidRPr="00A30D42">
        <w:rPr>
          <w:rFonts w:asciiTheme="minorHAnsi" w:hAnsiTheme="minorHAnsi" w:cstheme="minorHAnsi"/>
        </w:rPr>
        <w:t>The most common reasons that applicants were considered unsuitable were insufficient experience (59 per cent), insufficient qualifications (35 per cent) and a lack of interest in the job (19 per cent).</w:t>
      </w:r>
    </w:p>
    <w:p w:rsidR="006A6667" w:rsidRDefault="006A6667" w:rsidP="006A6667">
      <w:pPr>
        <w:contextualSpacing/>
        <w:rPr>
          <w:i/>
        </w:rPr>
      </w:pPr>
      <w:proofErr w:type="gramStart"/>
      <w:r>
        <w:rPr>
          <w:i/>
        </w:rPr>
        <w:t>Figure 2.</w:t>
      </w:r>
      <w:proofErr w:type="gramEnd"/>
      <w:r>
        <w:rPr>
          <w:i/>
        </w:rPr>
        <w:t xml:space="preserve"> Competition for vacancies by occupation</w:t>
      </w:r>
    </w:p>
    <w:p w:rsidR="006A6667" w:rsidRDefault="006A6667" w:rsidP="006A6667">
      <w:pPr>
        <w:contextualSpacing/>
        <w:rPr>
          <w:i/>
        </w:rPr>
      </w:pPr>
      <w:r w:rsidRPr="00511511">
        <w:rPr>
          <w:i/>
          <w:noProof/>
        </w:rPr>
        <w:drawing>
          <wp:inline distT="0" distB="0" distL="0" distR="0">
            <wp:extent cx="6143625" cy="3486150"/>
            <wp:effectExtent l="19050" t="0" r="9525"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A6667" w:rsidRPr="006C711B" w:rsidRDefault="006A6667" w:rsidP="006A6667">
      <w:pPr>
        <w:contextualSpacing/>
        <w:rPr>
          <w:i/>
        </w:rPr>
      </w:pPr>
    </w:p>
    <w:p w:rsidR="0086377D" w:rsidRPr="00997B34" w:rsidRDefault="00CF44AA" w:rsidP="00EF7BEC">
      <w:pPr>
        <w:pStyle w:val="Heading2"/>
      </w:pPr>
      <w:r>
        <w:t>Apprentices and Trainees</w:t>
      </w:r>
      <w:bookmarkEnd w:id="13"/>
    </w:p>
    <w:p w:rsidR="006A6667" w:rsidRPr="00A30D42" w:rsidRDefault="006A6667" w:rsidP="006A6667">
      <w:pPr>
        <w:pStyle w:val="ListParagraph"/>
        <w:numPr>
          <w:ilvl w:val="0"/>
          <w:numId w:val="24"/>
        </w:numPr>
        <w:spacing w:after="120"/>
        <w:jc w:val="both"/>
        <w:rPr>
          <w:rFonts w:asciiTheme="minorHAnsi" w:hAnsiTheme="minorHAnsi" w:cstheme="minorHAnsi"/>
        </w:rPr>
      </w:pPr>
      <w:bookmarkStart w:id="14" w:name="_Toc327525227"/>
      <w:bookmarkStart w:id="15" w:name="_Toc296333035"/>
      <w:r w:rsidRPr="00A30D42">
        <w:rPr>
          <w:rFonts w:asciiTheme="minorHAnsi" w:hAnsiTheme="minorHAnsi" w:cstheme="minorHAnsi"/>
        </w:rPr>
        <w:t xml:space="preserve">The proportion of employers who currently employ an apprentice (32 per cent) was similar to all regions surveyed in the 12 months preceding the survey (34 per cent). </w:t>
      </w:r>
    </w:p>
    <w:p w:rsidR="006A6667" w:rsidRPr="00A30D42" w:rsidRDefault="006A6667" w:rsidP="006A6667">
      <w:pPr>
        <w:pStyle w:val="ListParagraph"/>
        <w:numPr>
          <w:ilvl w:val="1"/>
          <w:numId w:val="24"/>
        </w:numPr>
        <w:spacing w:after="120"/>
        <w:jc w:val="both"/>
        <w:rPr>
          <w:rFonts w:asciiTheme="minorHAnsi" w:hAnsiTheme="minorHAnsi" w:cstheme="minorHAnsi"/>
        </w:rPr>
      </w:pPr>
      <w:r w:rsidRPr="00A30D42">
        <w:rPr>
          <w:rFonts w:asciiTheme="minorHAnsi" w:hAnsiTheme="minorHAnsi" w:cstheme="minorHAnsi"/>
        </w:rPr>
        <w:t>Employers in the Other Services (52 per cent) and Construction (48 per cent) industries were most likely to employ an apprentice or trainee.</w:t>
      </w:r>
    </w:p>
    <w:p w:rsidR="006A6667" w:rsidRPr="00A30D42" w:rsidRDefault="006A6667" w:rsidP="006A6667">
      <w:pPr>
        <w:pStyle w:val="ListParagraph"/>
        <w:numPr>
          <w:ilvl w:val="0"/>
          <w:numId w:val="24"/>
        </w:numPr>
        <w:spacing w:after="120"/>
        <w:jc w:val="both"/>
        <w:rPr>
          <w:rFonts w:asciiTheme="minorHAnsi" w:hAnsiTheme="minorHAnsi" w:cstheme="minorHAnsi"/>
        </w:rPr>
      </w:pPr>
      <w:r w:rsidRPr="00A30D42">
        <w:rPr>
          <w:rFonts w:asciiTheme="minorHAnsi" w:hAnsiTheme="minorHAnsi" w:cstheme="minorHAnsi"/>
        </w:rPr>
        <w:t xml:space="preserve">Some 20 per cent of employers expected to recruit an apprentice or trainee in the 12 months following the survey, similar to all regions surveyed (22 per cent). The proportion of employers in the </w:t>
      </w:r>
      <w:proofErr w:type="spellStart"/>
      <w:r w:rsidRPr="00A30D42">
        <w:rPr>
          <w:rFonts w:asciiTheme="minorHAnsi" w:hAnsiTheme="minorHAnsi" w:cstheme="minorHAnsi"/>
        </w:rPr>
        <w:t>Playford</w:t>
      </w:r>
      <w:proofErr w:type="spellEnd"/>
      <w:r w:rsidRPr="00A30D42">
        <w:rPr>
          <w:rFonts w:asciiTheme="minorHAnsi" w:hAnsiTheme="minorHAnsi" w:cstheme="minorHAnsi"/>
        </w:rPr>
        <w:t xml:space="preserve"> </w:t>
      </w:r>
      <w:proofErr w:type="spellStart"/>
      <w:r w:rsidRPr="00A30D42">
        <w:rPr>
          <w:rFonts w:asciiTheme="minorHAnsi" w:hAnsiTheme="minorHAnsi" w:cstheme="minorHAnsi"/>
        </w:rPr>
        <w:t>LGA</w:t>
      </w:r>
      <w:proofErr w:type="spellEnd"/>
      <w:r w:rsidRPr="00A30D42">
        <w:rPr>
          <w:rFonts w:asciiTheme="minorHAnsi" w:hAnsiTheme="minorHAnsi" w:cstheme="minorHAnsi"/>
        </w:rPr>
        <w:t xml:space="preserve"> who expected to recruit an apprentice (20 per cent) was the same as the PEA.</w:t>
      </w:r>
    </w:p>
    <w:p w:rsidR="00A30D42" w:rsidRPr="00997B34" w:rsidRDefault="00A30D42" w:rsidP="00A30D42">
      <w:pPr>
        <w:pStyle w:val="Heading2"/>
      </w:pPr>
      <w:r>
        <w:lastRenderedPageBreak/>
        <w:t>Staff Training</w:t>
      </w:r>
    </w:p>
    <w:p w:rsidR="006A6667" w:rsidRPr="00A30D42" w:rsidRDefault="006A6667" w:rsidP="006A6667">
      <w:pPr>
        <w:pStyle w:val="ListParagraph"/>
        <w:numPr>
          <w:ilvl w:val="0"/>
          <w:numId w:val="25"/>
        </w:numPr>
        <w:ind w:left="357"/>
        <w:contextualSpacing w:val="0"/>
        <w:jc w:val="both"/>
        <w:rPr>
          <w:rFonts w:asciiTheme="minorHAnsi" w:hAnsiTheme="minorHAnsi" w:cstheme="minorHAnsi"/>
          <w:b/>
        </w:rPr>
      </w:pPr>
      <w:r w:rsidRPr="00A30D42">
        <w:rPr>
          <w:rFonts w:asciiTheme="minorHAnsi" w:hAnsiTheme="minorHAnsi" w:cstheme="minorHAnsi"/>
        </w:rPr>
        <w:t xml:space="preserve">A higher proportion of employers (49 per cent) had staff undertake nationally recognised training in the 12 months preceding the survey compared with all regions surveyed </w:t>
      </w:r>
      <w:r w:rsidR="00A30D42">
        <w:rPr>
          <w:rFonts w:asciiTheme="minorHAnsi" w:hAnsiTheme="minorHAnsi" w:cstheme="minorHAnsi"/>
        </w:rPr>
        <w:br/>
      </w:r>
      <w:r w:rsidRPr="00A30D42">
        <w:rPr>
          <w:rFonts w:asciiTheme="minorHAnsi" w:hAnsiTheme="minorHAnsi" w:cstheme="minorHAnsi"/>
        </w:rPr>
        <w:t xml:space="preserve">(44 per cent). A lower proportion (42 per cent) of employers in the </w:t>
      </w:r>
      <w:proofErr w:type="spellStart"/>
      <w:r w:rsidRPr="00A30D42">
        <w:rPr>
          <w:rFonts w:asciiTheme="minorHAnsi" w:hAnsiTheme="minorHAnsi" w:cstheme="minorHAnsi"/>
        </w:rPr>
        <w:t>Playford</w:t>
      </w:r>
      <w:proofErr w:type="spellEnd"/>
      <w:r w:rsidRPr="00A30D42">
        <w:rPr>
          <w:rFonts w:asciiTheme="minorHAnsi" w:hAnsiTheme="minorHAnsi" w:cstheme="minorHAnsi"/>
        </w:rPr>
        <w:t xml:space="preserve"> </w:t>
      </w:r>
      <w:proofErr w:type="spellStart"/>
      <w:r w:rsidRPr="00A30D42">
        <w:rPr>
          <w:rFonts w:asciiTheme="minorHAnsi" w:hAnsiTheme="minorHAnsi" w:cstheme="minorHAnsi"/>
        </w:rPr>
        <w:t>LGA</w:t>
      </w:r>
      <w:proofErr w:type="spellEnd"/>
      <w:r w:rsidRPr="00A30D42">
        <w:rPr>
          <w:rFonts w:asciiTheme="minorHAnsi" w:hAnsiTheme="minorHAnsi" w:cstheme="minorHAnsi"/>
        </w:rPr>
        <w:t xml:space="preserve"> had staff undertake nationally recognised training.</w:t>
      </w:r>
    </w:p>
    <w:p w:rsidR="006A6667" w:rsidRPr="00A30D42" w:rsidRDefault="006A6667" w:rsidP="006A6667">
      <w:pPr>
        <w:pStyle w:val="ListParagraph"/>
        <w:numPr>
          <w:ilvl w:val="0"/>
          <w:numId w:val="25"/>
        </w:numPr>
        <w:ind w:left="357" w:hanging="357"/>
        <w:contextualSpacing w:val="0"/>
        <w:jc w:val="both"/>
        <w:rPr>
          <w:rFonts w:asciiTheme="minorHAnsi" w:hAnsiTheme="minorHAnsi" w:cstheme="minorHAnsi"/>
          <w:b/>
        </w:rPr>
      </w:pPr>
      <w:r w:rsidRPr="00A30D42">
        <w:rPr>
          <w:rFonts w:asciiTheme="minorHAnsi" w:hAnsiTheme="minorHAnsi" w:cstheme="minorHAnsi"/>
        </w:rPr>
        <w:t xml:space="preserve">Some 15 per cent of employers had challenges to providing nationally recognised training, similar to all regions surveyed (16 per cent). </w:t>
      </w:r>
    </w:p>
    <w:p w:rsidR="006A6667" w:rsidRPr="00A30D42" w:rsidRDefault="006A6667" w:rsidP="006A6667">
      <w:pPr>
        <w:pStyle w:val="ListParagraph"/>
        <w:numPr>
          <w:ilvl w:val="1"/>
          <w:numId w:val="25"/>
        </w:numPr>
        <w:contextualSpacing w:val="0"/>
        <w:jc w:val="both"/>
        <w:rPr>
          <w:rFonts w:asciiTheme="minorHAnsi" w:hAnsiTheme="minorHAnsi" w:cstheme="minorHAnsi"/>
          <w:b/>
        </w:rPr>
      </w:pPr>
      <w:r w:rsidRPr="00A30D42">
        <w:rPr>
          <w:rFonts w:asciiTheme="minorHAnsi" w:hAnsiTheme="minorHAnsi" w:cstheme="minorHAnsi"/>
        </w:rPr>
        <w:t xml:space="preserve">The most common challenges reported by employers were the high cost of training </w:t>
      </w:r>
      <w:r w:rsidRPr="00A30D42">
        <w:rPr>
          <w:rFonts w:asciiTheme="minorHAnsi" w:hAnsiTheme="minorHAnsi" w:cstheme="minorHAnsi"/>
        </w:rPr>
        <w:br/>
        <w:t>(55 per cent) and the timing of training (35 per cent).</w:t>
      </w:r>
    </w:p>
    <w:p w:rsidR="002E6D43" w:rsidRPr="00997B34" w:rsidRDefault="002E6D43" w:rsidP="00EF7BEC">
      <w:pPr>
        <w:pStyle w:val="Heading2"/>
      </w:pPr>
      <w:r>
        <w:t>Job Services Australia and Recruitment Methods</w:t>
      </w:r>
      <w:bookmarkEnd w:id="14"/>
    </w:p>
    <w:p w:rsidR="006A6667" w:rsidRPr="00A30D42" w:rsidRDefault="006A6667" w:rsidP="006A6667">
      <w:pPr>
        <w:pStyle w:val="ListParagraph"/>
        <w:numPr>
          <w:ilvl w:val="0"/>
          <w:numId w:val="23"/>
        </w:numPr>
        <w:spacing w:after="120"/>
        <w:jc w:val="both"/>
        <w:rPr>
          <w:rFonts w:asciiTheme="minorHAnsi" w:hAnsiTheme="minorHAnsi" w:cstheme="minorHAnsi"/>
        </w:rPr>
      </w:pPr>
      <w:bookmarkStart w:id="16" w:name="_Toc327525230"/>
      <w:r w:rsidRPr="00A30D42">
        <w:rPr>
          <w:rFonts w:asciiTheme="minorHAnsi" w:hAnsiTheme="minorHAnsi" w:cstheme="minorHAnsi"/>
        </w:rPr>
        <w:t>Some 74 per cent of employers used formal methods in their most recent recruitment round, while 35 per cent used informal methods. Some 26 per cent of employers used informal methods only.</w:t>
      </w:r>
    </w:p>
    <w:p w:rsidR="006A6667" w:rsidRPr="00A30D42" w:rsidRDefault="006A6667" w:rsidP="006A6667">
      <w:pPr>
        <w:pStyle w:val="ListParagraph"/>
        <w:numPr>
          <w:ilvl w:val="1"/>
          <w:numId w:val="23"/>
        </w:numPr>
        <w:spacing w:after="120"/>
        <w:jc w:val="both"/>
        <w:rPr>
          <w:rFonts w:asciiTheme="minorHAnsi" w:hAnsiTheme="minorHAnsi" w:cstheme="minorHAnsi"/>
        </w:rPr>
      </w:pPr>
      <w:r w:rsidRPr="00A30D42">
        <w:rPr>
          <w:rFonts w:asciiTheme="minorHAnsi" w:hAnsiTheme="minorHAnsi" w:cstheme="minorHAnsi"/>
        </w:rPr>
        <w:t>The most common recruitment methods were the internet (40 per cent), word of mouth (26 per cent) and newspapers/magazines (19 per cent).</w:t>
      </w:r>
    </w:p>
    <w:p w:rsidR="006A6667" w:rsidRPr="00A30D42" w:rsidRDefault="006A6667" w:rsidP="006A6667">
      <w:pPr>
        <w:pStyle w:val="ListParagraph"/>
        <w:numPr>
          <w:ilvl w:val="0"/>
          <w:numId w:val="23"/>
        </w:numPr>
        <w:spacing w:after="120"/>
        <w:jc w:val="both"/>
        <w:rPr>
          <w:rFonts w:asciiTheme="minorHAnsi" w:hAnsiTheme="minorHAnsi" w:cstheme="minorHAnsi"/>
        </w:rPr>
      </w:pPr>
      <w:r w:rsidRPr="00A30D42">
        <w:rPr>
          <w:rFonts w:asciiTheme="minorHAnsi" w:hAnsiTheme="minorHAnsi" w:cstheme="minorHAnsi"/>
        </w:rPr>
        <w:t xml:space="preserve">Some 11 per cent of recruiting employers used a </w:t>
      </w:r>
      <w:proofErr w:type="spellStart"/>
      <w:r w:rsidRPr="00A30D42">
        <w:rPr>
          <w:rFonts w:asciiTheme="minorHAnsi" w:hAnsiTheme="minorHAnsi" w:cstheme="minorHAnsi"/>
        </w:rPr>
        <w:t>JSA</w:t>
      </w:r>
      <w:proofErr w:type="spellEnd"/>
      <w:r w:rsidRPr="00A30D42">
        <w:rPr>
          <w:rFonts w:asciiTheme="minorHAnsi" w:hAnsiTheme="minorHAnsi" w:cstheme="minorHAnsi"/>
        </w:rPr>
        <w:t xml:space="preserve"> provider in the 12 months preceding the survey.</w:t>
      </w:r>
    </w:p>
    <w:p w:rsidR="006A6667" w:rsidRPr="00A30D42" w:rsidRDefault="006A6667" w:rsidP="006A6667">
      <w:pPr>
        <w:pStyle w:val="ListParagraph"/>
        <w:numPr>
          <w:ilvl w:val="1"/>
          <w:numId w:val="23"/>
        </w:numPr>
        <w:spacing w:after="120"/>
        <w:jc w:val="both"/>
        <w:rPr>
          <w:rFonts w:asciiTheme="minorHAnsi" w:hAnsiTheme="minorHAnsi" w:cstheme="minorHAnsi"/>
          <w:b/>
        </w:rPr>
      </w:pPr>
      <w:r w:rsidRPr="00A30D42">
        <w:rPr>
          <w:rFonts w:asciiTheme="minorHAnsi" w:hAnsiTheme="minorHAnsi" w:cstheme="minorHAnsi"/>
        </w:rPr>
        <w:t>Of these, 78 per cent were satisfied with the service they received.</w:t>
      </w:r>
    </w:p>
    <w:p w:rsidR="00997B34" w:rsidRPr="00997B34" w:rsidRDefault="00CF44AA" w:rsidP="00EF7BEC">
      <w:pPr>
        <w:pStyle w:val="Heading2"/>
      </w:pPr>
      <w:r>
        <w:t>Future Recruitment Expectations</w:t>
      </w:r>
      <w:bookmarkEnd w:id="16"/>
    </w:p>
    <w:p w:rsidR="006A6667" w:rsidRPr="00A30D42" w:rsidRDefault="006A6667" w:rsidP="006A6667">
      <w:pPr>
        <w:pStyle w:val="ListParagraph"/>
        <w:numPr>
          <w:ilvl w:val="0"/>
          <w:numId w:val="27"/>
        </w:numPr>
        <w:spacing w:after="120"/>
        <w:jc w:val="both"/>
        <w:rPr>
          <w:rFonts w:asciiTheme="minorHAnsi" w:hAnsiTheme="minorHAnsi" w:cstheme="minorHAnsi"/>
        </w:rPr>
      </w:pPr>
      <w:bookmarkStart w:id="17" w:name="_Toc327525231"/>
      <w:bookmarkEnd w:id="15"/>
      <w:r w:rsidRPr="00A30D42">
        <w:rPr>
          <w:rFonts w:asciiTheme="minorHAnsi" w:hAnsiTheme="minorHAnsi" w:cstheme="minorHAnsi"/>
        </w:rPr>
        <w:t xml:space="preserve">The proportion of employers in the Northern and Western Adelaide PEA who expected to recruit in the 12 months following the survey (52 per cent) was similar to all regions surveyed (50 per cent). The proportion of employers in the </w:t>
      </w:r>
      <w:proofErr w:type="spellStart"/>
      <w:r w:rsidRPr="00A30D42">
        <w:rPr>
          <w:rFonts w:asciiTheme="minorHAnsi" w:hAnsiTheme="minorHAnsi" w:cstheme="minorHAnsi"/>
        </w:rPr>
        <w:t>Playford</w:t>
      </w:r>
      <w:proofErr w:type="spellEnd"/>
      <w:r w:rsidRPr="00A30D42">
        <w:rPr>
          <w:rFonts w:asciiTheme="minorHAnsi" w:hAnsiTheme="minorHAnsi" w:cstheme="minorHAnsi"/>
        </w:rPr>
        <w:t xml:space="preserve"> </w:t>
      </w:r>
      <w:proofErr w:type="spellStart"/>
      <w:r w:rsidRPr="00A30D42">
        <w:rPr>
          <w:rFonts w:asciiTheme="minorHAnsi" w:hAnsiTheme="minorHAnsi" w:cstheme="minorHAnsi"/>
        </w:rPr>
        <w:t>LGA</w:t>
      </w:r>
      <w:proofErr w:type="spellEnd"/>
      <w:r w:rsidRPr="00A30D42">
        <w:rPr>
          <w:rFonts w:asciiTheme="minorHAnsi" w:hAnsiTheme="minorHAnsi" w:cstheme="minorHAnsi"/>
        </w:rPr>
        <w:t xml:space="preserve"> who expected to recruit was slightly lower (47 per cent).</w:t>
      </w:r>
    </w:p>
    <w:p w:rsidR="006A6667" w:rsidRPr="00A30D42" w:rsidRDefault="006A6667" w:rsidP="006A6667">
      <w:pPr>
        <w:pStyle w:val="ListParagraph"/>
        <w:numPr>
          <w:ilvl w:val="1"/>
          <w:numId w:val="27"/>
        </w:numPr>
        <w:spacing w:after="120"/>
        <w:jc w:val="both"/>
        <w:rPr>
          <w:rFonts w:asciiTheme="minorHAnsi" w:hAnsiTheme="minorHAnsi" w:cstheme="minorHAnsi"/>
        </w:rPr>
      </w:pPr>
      <w:r w:rsidRPr="00A30D42">
        <w:rPr>
          <w:rFonts w:asciiTheme="minorHAnsi" w:hAnsiTheme="minorHAnsi" w:cstheme="minorHAnsi"/>
        </w:rPr>
        <w:t>A high proportion of employers in the Accommodation and Food Services (74 per cent) and Healthcare and Social Assistance (69 per cent) industries expected to recruit in the 12 months following the survey.</w:t>
      </w:r>
    </w:p>
    <w:p w:rsidR="006A6667" w:rsidRPr="00A30D42" w:rsidRDefault="006A6667" w:rsidP="006A6667">
      <w:pPr>
        <w:pStyle w:val="ListParagraph"/>
        <w:numPr>
          <w:ilvl w:val="0"/>
          <w:numId w:val="27"/>
        </w:numPr>
        <w:spacing w:after="120"/>
        <w:jc w:val="both"/>
        <w:rPr>
          <w:rFonts w:asciiTheme="minorHAnsi" w:hAnsiTheme="minorHAnsi" w:cstheme="minorHAnsi"/>
        </w:rPr>
      </w:pPr>
      <w:r w:rsidRPr="00A30D42">
        <w:rPr>
          <w:rFonts w:asciiTheme="minorHAnsi" w:hAnsiTheme="minorHAnsi" w:cstheme="minorHAnsi"/>
        </w:rPr>
        <w:t xml:space="preserve">A slightly higher proportion of employers (30 per cent) expected to increase staff numbers in the 12 months following the survey compared with all regions (27 per cent). </w:t>
      </w:r>
    </w:p>
    <w:p w:rsidR="006A6667" w:rsidRPr="00A30D42" w:rsidRDefault="006A6667" w:rsidP="00A30D42">
      <w:pPr>
        <w:pStyle w:val="ListParagraph"/>
        <w:numPr>
          <w:ilvl w:val="1"/>
          <w:numId w:val="27"/>
        </w:numPr>
        <w:spacing w:after="120"/>
        <w:jc w:val="both"/>
        <w:rPr>
          <w:rFonts w:asciiTheme="minorHAnsi" w:hAnsiTheme="minorHAnsi" w:cstheme="minorHAnsi"/>
        </w:rPr>
      </w:pPr>
      <w:r w:rsidRPr="00A30D42">
        <w:rPr>
          <w:rFonts w:asciiTheme="minorHAnsi" w:hAnsiTheme="minorHAnsi" w:cstheme="minorHAnsi"/>
        </w:rPr>
        <w:t>A high proportion of employers in the Health Care and Social Assistance (46 per cent) and the Other Services (43 per cent) industries expected to increase staff numbers in the</w:t>
      </w:r>
      <w:r w:rsidR="00A30D42">
        <w:rPr>
          <w:rFonts w:asciiTheme="minorHAnsi" w:hAnsiTheme="minorHAnsi" w:cstheme="minorHAnsi"/>
        </w:rPr>
        <w:t xml:space="preserve"> </w:t>
      </w:r>
      <w:r w:rsidRPr="00A30D42">
        <w:rPr>
          <w:rFonts w:asciiTheme="minorHAnsi" w:hAnsiTheme="minorHAnsi" w:cstheme="minorHAnsi"/>
        </w:rPr>
        <w:t>next 12 months.</w:t>
      </w:r>
    </w:p>
    <w:p w:rsidR="006A6667" w:rsidRPr="00A30D42" w:rsidRDefault="006A6667" w:rsidP="006A6667">
      <w:pPr>
        <w:pStyle w:val="ListParagraph"/>
        <w:numPr>
          <w:ilvl w:val="0"/>
          <w:numId w:val="27"/>
        </w:numPr>
        <w:spacing w:after="120"/>
        <w:jc w:val="both"/>
        <w:rPr>
          <w:rFonts w:asciiTheme="minorHAnsi" w:hAnsiTheme="minorHAnsi" w:cstheme="minorHAnsi"/>
        </w:rPr>
      </w:pPr>
      <w:r w:rsidRPr="00A30D42">
        <w:rPr>
          <w:rFonts w:asciiTheme="minorHAnsi" w:hAnsiTheme="minorHAnsi" w:cstheme="minorHAnsi"/>
        </w:rPr>
        <w:t xml:space="preserve">A low proportion of employers (36 per cent) expected recruitment difficulty compared with all regions surveyed (44 per cent). The proportion of employers in the </w:t>
      </w:r>
      <w:proofErr w:type="spellStart"/>
      <w:r w:rsidRPr="00A30D42">
        <w:rPr>
          <w:rFonts w:asciiTheme="minorHAnsi" w:hAnsiTheme="minorHAnsi" w:cstheme="minorHAnsi"/>
        </w:rPr>
        <w:t>Playford</w:t>
      </w:r>
      <w:proofErr w:type="spellEnd"/>
      <w:r w:rsidRPr="00A30D42">
        <w:rPr>
          <w:rFonts w:asciiTheme="minorHAnsi" w:hAnsiTheme="minorHAnsi" w:cstheme="minorHAnsi"/>
        </w:rPr>
        <w:t xml:space="preserve"> </w:t>
      </w:r>
      <w:proofErr w:type="spellStart"/>
      <w:r w:rsidRPr="00A30D42">
        <w:rPr>
          <w:rFonts w:asciiTheme="minorHAnsi" w:hAnsiTheme="minorHAnsi" w:cstheme="minorHAnsi"/>
        </w:rPr>
        <w:t>LGA</w:t>
      </w:r>
      <w:proofErr w:type="spellEnd"/>
      <w:r w:rsidRPr="00A30D42">
        <w:rPr>
          <w:rFonts w:asciiTheme="minorHAnsi" w:hAnsiTheme="minorHAnsi" w:cstheme="minorHAnsi"/>
        </w:rPr>
        <w:t xml:space="preserve"> who expected difficulty (33 per cent) was lower than the PEA.    </w:t>
      </w:r>
    </w:p>
    <w:p w:rsidR="006A6667" w:rsidRPr="00A30D42" w:rsidRDefault="006A6667" w:rsidP="006A6667">
      <w:pPr>
        <w:pStyle w:val="ListParagraph"/>
        <w:numPr>
          <w:ilvl w:val="0"/>
          <w:numId w:val="27"/>
        </w:numPr>
        <w:spacing w:after="240"/>
        <w:ind w:left="357" w:hanging="357"/>
        <w:jc w:val="both"/>
        <w:rPr>
          <w:rFonts w:asciiTheme="minorHAnsi" w:hAnsiTheme="minorHAnsi" w:cstheme="minorHAnsi"/>
        </w:rPr>
      </w:pPr>
      <w:r w:rsidRPr="00A30D42">
        <w:rPr>
          <w:rFonts w:asciiTheme="minorHAnsi" w:hAnsiTheme="minorHAnsi" w:cstheme="minorHAnsi"/>
        </w:rPr>
        <w:t xml:space="preserve">The survey results from employers in the PEA who were surveyed as part of the Capital Cities survey (March 2012) showed a decrease in the proportion who expected to increase staff number staff numbers in the 6 months following the survey, from 41 per cent in 2010 to </w:t>
      </w:r>
      <w:r w:rsidR="00A30D42">
        <w:rPr>
          <w:rFonts w:asciiTheme="minorHAnsi" w:hAnsiTheme="minorHAnsi" w:cstheme="minorHAnsi"/>
        </w:rPr>
        <w:br/>
      </w:r>
      <w:r w:rsidRPr="00A30D42">
        <w:rPr>
          <w:rFonts w:asciiTheme="minorHAnsi" w:hAnsiTheme="minorHAnsi" w:cstheme="minorHAnsi"/>
        </w:rPr>
        <w:t>31 per cent in 2012.</w:t>
      </w:r>
    </w:p>
    <w:p w:rsidR="00F031C1" w:rsidRDefault="00F031C1">
      <w:pPr>
        <w:spacing w:before="0" w:after="0"/>
        <w:jc w:val="left"/>
        <w:rPr>
          <w:rFonts w:cstheme="minorHAnsi"/>
          <w:i/>
        </w:rPr>
      </w:pPr>
      <w:r>
        <w:rPr>
          <w:rFonts w:cstheme="minorHAnsi"/>
          <w:i/>
        </w:rPr>
        <w:br w:type="page"/>
      </w:r>
    </w:p>
    <w:p w:rsidR="006A6667" w:rsidRDefault="006A6667" w:rsidP="006A6667">
      <w:pPr>
        <w:contextualSpacing/>
        <w:rPr>
          <w:rFonts w:cstheme="minorHAnsi"/>
          <w:i/>
        </w:rPr>
      </w:pPr>
      <w:proofErr w:type="gramStart"/>
      <w:r>
        <w:rPr>
          <w:rFonts w:cstheme="minorHAnsi"/>
          <w:i/>
        </w:rPr>
        <w:lastRenderedPageBreak/>
        <w:t>Table 3.</w:t>
      </w:r>
      <w:proofErr w:type="gramEnd"/>
      <w:r>
        <w:rPr>
          <w:rFonts w:cstheme="minorHAnsi"/>
          <w:i/>
        </w:rPr>
        <w:t xml:space="preserve"> Future recruitment expectations</w:t>
      </w:r>
    </w:p>
    <w:tbl>
      <w:tblPr>
        <w:tblStyle w:val="TableGrid"/>
        <w:tblW w:w="4925" w:type="pct"/>
        <w:tblLook w:val="04A0"/>
      </w:tblPr>
      <w:tblGrid>
        <w:gridCol w:w="3747"/>
        <w:gridCol w:w="1818"/>
        <w:gridCol w:w="1915"/>
        <w:gridCol w:w="2282"/>
      </w:tblGrid>
      <w:tr w:rsidR="006A6667" w:rsidRPr="007100AF" w:rsidTr="00F031C1">
        <w:trPr>
          <w:cantSplit/>
          <w:trHeight w:val="192"/>
        </w:trPr>
        <w:tc>
          <w:tcPr>
            <w:tcW w:w="1919" w:type="pct"/>
            <w:vAlign w:val="center"/>
          </w:tcPr>
          <w:p w:rsidR="006A6667" w:rsidRPr="00E843EC" w:rsidRDefault="006A6667" w:rsidP="00B943F4">
            <w:pPr>
              <w:keepNext/>
              <w:contextualSpacing/>
              <w:rPr>
                <w:rFonts w:cstheme="minorHAnsi"/>
                <w:b/>
              </w:rPr>
            </w:pPr>
          </w:p>
        </w:tc>
        <w:tc>
          <w:tcPr>
            <w:tcW w:w="931" w:type="pct"/>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b/>
              </w:rPr>
            </w:pPr>
            <w:proofErr w:type="spellStart"/>
            <w:r>
              <w:rPr>
                <w:rFonts w:asciiTheme="minorHAnsi" w:hAnsiTheme="minorHAnsi" w:cstheme="minorHAnsi"/>
                <w:b/>
              </w:rPr>
              <w:t>Playford</w:t>
            </w:r>
            <w:proofErr w:type="spellEnd"/>
            <w:r>
              <w:rPr>
                <w:rFonts w:asciiTheme="minorHAnsi" w:hAnsiTheme="minorHAnsi" w:cstheme="minorHAnsi"/>
                <w:b/>
              </w:rPr>
              <w:t xml:space="preserve"> </w:t>
            </w:r>
            <w:proofErr w:type="spellStart"/>
            <w:r>
              <w:rPr>
                <w:rFonts w:asciiTheme="minorHAnsi" w:hAnsiTheme="minorHAnsi" w:cstheme="minorHAnsi"/>
                <w:b/>
              </w:rPr>
              <w:t>LGA</w:t>
            </w:r>
            <w:proofErr w:type="spellEnd"/>
          </w:p>
        </w:tc>
        <w:tc>
          <w:tcPr>
            <w:tcW w:w="981" w:type="pct"/>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b/>
              </w:rPr>
            </w:pPr>
            <w:proofErr w:type="spellStart"/>
            <w:r>
              <w:rPr>
                <w:rFonts w:asciiTheme="minorHAnsi" w:hAnsiTheme="minorHAnsi" w:cstheme="minorHAnsi"/>
                <w:b/>
              </w:rPr>
              <w:t>NAWA</w:t>
            </w:r>
            <w:proofErr w:type="spellEnd"/>
            <w:r>
              <w:rPr>
                <w:rFonts w:asciiTheme="minorHAnsi" w:hAnsiTheme="minorHAnsi" w:cstheme="minorHAnsi"/>
                <w:b/>
              </w:rPr>
              <w:t xml:space="preserve"> PEA</w:t>
            </w:r>
            <w:r>
              <w:rPr>
                <w:rFonts w:asciiTheme="minorHAnsi" w:hAnsiTheme="minorHAnsi" w:cstheme="minorHAnsi"/>
                <w:b/>
              </w:rPr>
              <w:br/>
              <w:t>(August 2012)</w:t>
            </w:r>
          </w:p>
        </w:tc>
        <w:tc>
          <w:tcPr>
            <w:tcW w:w="1169" w:type="pct"/>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b/>
              </w:rPr>
            </w:pPr>
            <w:r>
              <w:rPr>
                <w:rFonts w:asciiTheme="minorHAnsi" w:hAnsiTheme="minorHAnsi" w:cstheme="minorHAnsi"/>
                <w:b/>
              </w:rPr>
              <w:t xml:space="preserve">All regions surveyed </w:t>
            </w:r>
            <w:r>
              <w:rPr>
                <w:rFonts w:asciiTheme="minorHAnsi" w:hAnsiTheme="minorHAnsi" w:cstheme="minorHAnsi"/>
                <w:b/>
              </w:rPr>
              <w:br/>
              <w:t>(12 months to June 2012)</w:t>
            </w:r>
          </w:p>
        </w:tc>
      </w:tr>
      <w:tr w:rsidR="006A6667" w:rsidRPr="007100AF" w:rsidTr="00F031C1">
        <w:trPr>
          <w:cantSplit/>
          <w:trHeight w:val="121"/>
        </w:trPr>
        <w:tc>
          <w:tcPr>
            <w:tcW w:w="1919" w:type="pct"/>
            <w:tcMar>
              <w:top w:w="113" w:type="dxa"/>
              <w:bottom w:w="113" w:type="dxa"/>
            </w:tcMar>
            <w:vAlign w:val="center"/>
          </w:tcPr>
          <w:p w:rsidR="006A6667" w:rsidRPr="00E843EC" w:rsidRDefault="006A6667" w:rsidP="00B943F4">
            <w:pPr>
              <w:pStyle w:val="NormalWeb"/>
              <w:spacing w:before="0" w:beforeAutospacing="0" w:after="0" w:afterAutospacing="0"/>
              <w:textAlignment w:val="bottom"/>
              <w:rPr>
                <w:rFonts w:ascii="Arial" w:hAnsi="Arial" w:cs="Arial"/>
                <w:b/>
                <w:sz w:val="20"/>
                <w:szCs w:val="20"/>
              </w:rPr>
            </w:pPr>
            <w:r w:rsidRPr="00E843EC">
              <w:rPr>
                <w:rFonts w:ascii="Calibri" w:hAnsi="Calibri" w:cs="Arial"/>
                <w:b/>
                <w:color w:val="000000"/>
                <w:kern w:val="24"/>
                <w:sz w:val="20"/>
                <w:szCs w:val="20"/>
              </w:rPr>
              <w:t>Will recruit</w:t>
            </w:r>
            <w:r w:rsidRPr="00E843EC">
              <w:rPr>
                <w:rFonts w:ascii="Calibri" w:hAnsi="Calibri" w:cs="Arial"/>
                <w:b/>
                <w:bCs/>
                <w:color w:val="000000"/>
                <w:kern w:val="24"/>
                <w:sz w:val="20"/>
                <w:szCs w:val="20"/>
              </w:rPr>
              <w:t xml:space="preserve"> </w:t>
            </w:r>
          </w:p>
        </w:tc>
        <w:tc>
          <w:tcPr>
            <w:tcW w:w="93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47%</w:t>
            </w:r>
          </w:p>
        </w:tc>
        <w:tc>
          <w:tcPr>
            <w:tcW w:w="98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sidRPr="00626A1A">
              <w:rPr>
                <w:rFonts w:asciiTheme="minorHAnsi" w:hAnsiTheme="minorHAnsi" w:cs="Arial"/>
                <w:sz w:val="20"/>
                <w:szCs w:val="20"/>
              </w:rPr>
              <w:t>52%</w:t>
            </w:r>
          </w:p>
        </w:tc>
        <w:tc>
          <w:tcPr>
            <w:tcW w:w="1169"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50%</w:t>
            </w:r>
          </w:p>
        </w:tc>
      </w:tr>
      <w:tr w:rsidR="006A6667" w:rsidRPr="007100AF" w:rsidTr="00F031C1">
        <w:trPr>
          <w:cantSplit/>
          <w:trHeight w:val="121"/>
        </w:trPr>
        <w:tc>
          <w:tcPr>
            <w:tcW w:w="1919" w:type="pct"/>
            <w:tcMar>
              <w:top w:w="113" w:type="dxa"/>
              <w:bottom w:w="113" w:type="dxa"/>
            </w:tcMar>
            <w:vAlign w:val="center"/>
          </w:tcPr>
          <w:p w:rsidR="006A6667" w:rsidRPr="00E843EC" w:rsidRDefault="006A6667" w:rsidP="00B943F4">
            <w:pPr>
              <w:pStyle w:val="NormalWeb"/>
              <w:spacing w:before="0" w:beforeAutospacing="0" w:after="0" w:afterAutospacing="0"/>
              <w:textAlignment w:val="bottom"/>
              <w:rPr>
                <w:rFonts w:ascii="Arial" w:hAnsi="Arial" w:cs="Arial"/>
                <w:b/>
                <w:sz w:val="20"/>
                <w:szCs w:val="20"/>
              </w:rPr>
            </w:pPr>
            <w:r w:rsidRPr="00E843EC">
              <w:rPr>
                <w:rFonts w:ascii="Calibri" w:hAnsi="Calibri" w:cs="Arial"/>
                <w:b/>
                <w:color w:val="000000"/>
                <w:kern w:val="24"/>
                <w:sz w:val="20"/>
                <w:szCs w:val="20"/>
              </w:rPr>
              <w:t>Expect to increase staff</w:t>
            </w:r>
          </w:p>
        </w:tc>
        <w:tc>
          <w:tcPr>
            <w:tcW w:w="93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29%</w:t>
            </w:r>
          </w:p>
        </w:tc>
        <w:tc>
          <w:tcPr>
            <w:tcW w:w="98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30%</w:t>
            </w:r>
          </w:p>
        </w:tc>
        <w:tc>
          <w:tcPr>
            <w:tcW w:w="1169"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27%</w:t>
            </w:r>
          </w:p>
        </w:tc>
      </w:tr>
      <w:tr w:rsidR="006A6667" w:rsidRPr="007100AF" w:rsidTr="00F031C1">
        <w:trPr>
          <w:cantSplit/>
          <w:trHeight w:val="121"/>
        </w:trPr>
        <w:tc>
          <w:tcPr>
            <w:tcW w:w="1919" w:type="pct"/>
            <w:tcMar>
              <w:top w:w="113" w:type="dxa"/>
              <w:bottom w:w="113" w:type="dxa"/>
            </w:tcMar>
            <w:vAlign w:val="center"/>
          </w:tcPr>
          <w:p w:rsidR="006A6667" w:rsidRPr="00E843EC" w:rsidRDefault="006A6667" w:rsidP="00B943F4">
            <w:pPr>
              <w:pStyle w:val="NormalWeb"/>
              <w:spacing w:before="0" w:beforeAutospacing="0" w:after="0" w:afterAutospacing="0"/>
              <w:textAlignment w:val="bottom"/>
              <w:rPr>
                <w:rFonts w:ascii="Arial" w:hAnsi="Arial" w:cs="Arial"/>
                <w:b/>
                <w:sz w:val="20"/>
                <w:szCs w:val="20"/>
              </w:rPr>
            </w:pPr>
            <w:r w:rsidRPr="00E843EC">
              <w:rPr>
                <w:rFonts w:ascii="Calibri" w:hAnsi="Calibri" w:cs="Arial"/>
                <w:b/>
                <w:color w:val="000000"/>
                <w:kern w:val="24"/>
                <w:sz w:val="20"/>
                <w:szCs w:val="20"/>
              </w:rPr>
              <w:t>Expect to reduce staff</w:t>
            </w:r>
          </w:p>
        </w:tc>
        <w:tc>
          <w:tcPr>
            <w:tcW w:w="93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3%</w:t>
            </w:r>
          </w:p>
        </w:tc>
        <w:tc>
          <w:tcPr>
            <w:tcW w:w="98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5%</w:t>
            </w:r>
          </w:p>
        </w:tc>
        <w:tc>
          <w:tcPr>
            <w:tcW w:w="1169"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5%</w:t>
            </w:r>
          </w:p>
        </w:tc>
      </w:tr>
      <w:tr w:rsidR="006A6667" w:rsidRPr="007100AF" w:rsidTr="00F031C1">
        <w:trPr>
          <w:cantSplit/>
          <w:trHeight w:val="121"/>
        </w:trPr>
        <w:tc>
          <w:tcPr>
            <w:tcW w:w="1919" w:type="pct"/>
            <w:tcMar>
              <w:top w:w="113" w:type="dxa"/>
              <w:bottom w:w="113" w:type="dxa"/>
            </w:tcMar>
            <w:vAlign w:val="center"/>
          </w:tcPr>
          <w:p w:rsidR="006A6667" w:rsidRPr="00E843EC" w:rsidRDefault="006A6667" w:rsidP="00B943F4">
            <w:pPr>
              <w:pStyle w:val="NormalWeb"/>
              <w:spacing w:before="0" w:beforeAutospacing="0" w:after="0" w:afterAutospacing="0"/>
              <w:textAlignment w:val="bottom"/>
              <w:rPr>
                <w:rFonts w:ascii="Arial" w:hAnsi="Arial" w:cs="Arial"/>
                <w:b/>
                <w:sz w:val="20"/>
                <w:szCs w:val="20"/>
              </w:rPr>
            </w:pPr>
            <w:r w:rsidRPr="00E843EC">
              <w:rPr>
                <w:rFonts w:ascii="Calibri" w:hAnsi="Calibri" w:cs="Arial"/>
                <w:b/>
                <w:color w:val="000000"/>
                <w:kern w:val="24"/>
                <w:sz w:val="20"/>
                <w:szCs w:val="20"/>
              </w:rPr>
              <w:t>Will recruit an apprentice or trainee</w:t>
            </w:r>
          </w:p>
        </w:tc>
        <w:tc>
          <w:tcPr>
            <w:tcW w:w="93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20%</w:t>
            </w:r>
          </w:p>
        </w:tc>
        <w:tc>
          <w:tcPr>
            <w:tcW w:w="98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20%</w:t>
            </w:r>
          </w:p>
        </w:tc>
        <w:tc>
          <w:tcPr>
            <w:tcW w:w="1169"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22%</w:t>
            </w:r>
          </w:p>
        </w:tc>
      </w:tr>
      <w:tr w:rsidR="006A6667" w:rsidRPr="007100AF" w:rsidTr="00F031C1">
        <w:trPr>
          <w:cantSplit/>
          <w:trHeight w:val="212"/>
        </w:trPr>
        <w:tc>
          <w:tcPr>
            <w:tcW w:w="1919" w:type="pct"/>
            <w:tcMar>
              <w:top w:w="113" w:type="dxa"/>
              <w:bottom w:w="113" w:type="dxa"/>
            </w:tcMar>
            <w:vAlign w:val="center"/>
          </w:tcPr>
          <w:p w:rsidR="006A6667" w:rsidRPr="00E843EC" w:rsidRDefault="006A6667" w:rsidP="00B943F4">
            <w:pPr>
              <w:pStyle w:val="NormalWeb"/>
              <w:spacing w:before="0" w:beforeAutospacing="0" w:after="0" w:afterAutospacing="0"/>
              <w:textAlignment w:val="bottom"/>
              <w:rPr>
                <w:rFonts w:ascii="Arial" w:hAnsi="Arial" w:cs="Arial"/>
                <w:b/>
                <w:sz w:val="20"/>
                <w:szCs w:val="20"/>
              </w:rPr>
            </w:pPr>
            <w:r w:rsidRPr="00E843EC">
              <w:rPr>
                <w:rFonts w:ascii="Calibri" w:hAnsi="Calibri" w:cs="Arial"/>
                <w:b/>
                <w:color w:val="000000"/>
                <w:kern w:val="24"/>
                <w:sz w:val="20"/>
                <w:szCs w:val="20"/>
              </w:rPr>
              <w:t>Expect difficulty</w:t>
            </w:r>
          </w:p>
        </w:tc>
        <w:tc>
          <w:tcPr>
            <w:tcW w:w="93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33%</w:t>
            </w:r>
          </w:p>
        </w:tc>
        <w:tc>
          <w:tcPr>
            <w:tcW w:w="98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36%</w:t>
            </w:r>
          </w:p>
        </w:tc>
        <w:tc>
          <w:tcPr>
            <w:tcW w:w="1169"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sz w:val="20"/>
                <w:szCs w:val="20"/>
              </w:rPr>
            </w:pPr>
            <w:r>
              <w:rPr>
                <w:rFonts w:asciiTheme="minorHAnsi" w:hAnsiTheme="minorHAnsi" w:cs="Arial"/>
                <w:sz w:val="20"/>
                <w:szCs w:val="20"/>
              </w:rPr>
              <w:t>44%</w:t>
            </w:r>
          </w:p>
        </w:tc>
      </w:tr>
      <w:tr w:rsidR="006A6667" w:rsidRPr="007100AF" w:rsidTr="00F031C1">
        <w:trPr>
          <w:cantSplit/>
          <w:trHeight w:val="22"/>
        </w:trPr>
        <w:tc>
          <w:tcPr>
            <w:tcW w:w="1919" w:type="pct"/>
            <w:tcMar>
              <w:top w:w="113" w:type="dxa"/>
              <w:bottom w:w="113" w:type="dxa"/>
            </w:tcMar>
            <w:vAlign w:val="center"/>
          </w:tcPr>
          <w:p w:rsidR="006A6667" w:rsidRPr="00E843EC" w:rsidRDefault="006A6667" w:rsidP="00B943F4">
            <w:pPr>
              <w:pStyle w:val="NormalWeb"/>
              <w:spacing w:before="0" w:beforeAutospacing="0" w:after="0" w:afterAutospacing="0"/>
              <w:textAlignment w:val="bottom"/>
              <w:rPr>
                <w:rFonts w:ascii="Calibri" w:hAnsi="Calibri" w:cs="Arial"/>
                <w:b/>
                <w:color w:val="000000"/>
                <w:kern w:val="24"/>
                <w:sz w:val="20"/>
                <w:szCs w:val="20"/>
              </w:rPr>
            </w:pPr>
            <w:r w:rsidRPr="00E843EC">
              <w:rPr>
                <w:rFonts w:ascii="Calibri" w:hAnsi="Calibri" w:cs="Arial"/>
                <w:b/>
                <w:color w:val="000000"/>
                <w:kern w:val="24"/>
                <w:sz w:val="20"/>
                <w:szCs w:val="20"/>
              </w:rPr>
              <w:t>Expect challenges</w:t>
            </w:r>
          </w:p>
        </w:tc>
        <w:tc>
          <w:tcPr>
            <w:tcW w:w="93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color w:val="000000"/>
                <w:kern w:val="24"/>
                <w:sz w:val="20"/>
                <w:szCs w:val="20"/>
              </w:rPr>
            </w:pPr>
            <w:r>
              <w:rPr>
                <w:rFonts w:asciiTheme="minorHAnsi" w:hAnsiTheme="minorHAnsi" w:cs="Arial"/>
                <w:color w:val="000000"/>
                <w:kern w:val="24"/>
                <w:sz w:val="20"/>
                <w:szCs w:val="20"/>
              </w:rPr>
              <w:t>58%</w:t>
            </w:r>
          </w:p>
        </w:tc>
        <w:tc>
          <w:tcPr>
            <w:tcW w:w="981"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color w:val="000000"/>
                <w:kern w:val="24"/>
                <w:sz w:val="20"/>
                <w:szCs w:val="20"/>
              </w:rPr>
            </w:pPr>
            <w:r>
              <w:rPr>
                <w:rFonts w:asciiTheme="minorHAnsi" w:hAnsiTheme="minorHAnsi" w:cs="Arial"/>
                <w:color w:val="000000"/>
                <w:kern w:val="24"/>
                <w:sz w:val="20"/>
                <w:szCs w:val="20"/>
              </w:rPr>
              <w:t>65%</w:t>
            </w:r>
          </w:p>
        </w:tc>
        <w:tc>
          <w:tcPr>
            <w:tcW w:w="1169" w:type="pct"/>
            <w:vAlign w:val="center"/>
          </w:tcPr>
          <w:p w:rsidR="006A6667" w:rsidRPr="00626A1A" w:rsidRDefault="006A6667" w:rsidP="00B943F4">
            <w:pPr>
              <w:pStyle w:val="NormalWeb"/>
              <w:spacing w:before="0" w:beforeAutospacing="0" w:after="0" w:afterAutospacing="0"/>
              <w:jc w:val="center"/>
              <w:textAlignment w:val="bottom"/>
              <w:rPr>
                <w:rFonts w:asciiTheme="minorHAnsi" w:hAnsiTheme="minorHAnsi" w:cs="Arial"/>
                <w:color w:val="000000"/>
                <w:kern w:val="24"/>
                <w:sz w:val="20"/>
                <w:szCs w:val="20"/>
              </w:rPr>
            </w:pPr>
            <w:r>
              <w:rPr>
                <w:rFonts w:asciiTheme="minorHAnsi" w:hAnsiTheme="minorHAnsi" w:cs="Arial"/>
                <w:color w:val="000000"/>
                <w:kern w:val="24"/>
                <w:sz w:val="20"/>
                <w:szCs w:val="20"/>
              </w:rPr>
              <w:t>58%</w:t>
            </w:r>
          </w:p>
        </w:tc>
      </w:tr>
    </w:tbl>
    <w:p w:rsidR="006A6667" w:rsidRDefault="006A6667" w:rsidP="006A6667">
      <w:pPr>
        <w:contextualSpacing/>
        <w:rPr>
          <w:rFonts w:cstheme="minorHAnsi"/>
          <w:i/>
        </w:rPr>
      </w:pPr>
    </w:p>
    <w:p w:rsidR="006A6667" w:rsidRPr="00F031C1" w:rsidRDefault="006A6667" w:rsidP="006A6667">
      <w:pPr>
        <w:pStyle w:val="ListParagraph"/>
        <w:numPr>
          <w:ilvl w:val="0"/>
          <w:numId w:val="26"/>
        </w:numPr>
        <w:spacing w:after="240"/>
        <w:ind w:left="357" w:hanging="357"/>
        <w:jc w:val="both"/>
        <w:rPr>
          <w:rFonts w:asciiTheme="minorHAnsi" w:hAnsiTheme="minorHAnsi" w:cstheme="minorHAnsi"/>
          <w:i/>
        </w:rPr>
      </w:pPr>
      <w:r w:rsidRPr="00F031C1">
        <w:rPr>
          <w:rFonts w:asciiTheme="minorHAnsi" w:hAnsiTheme="minorHAnsi" w:cstheme="minorHAnsi"/>
        </w:rPr>
        <w:t>Table 4 shows the occupations for which employers expected to recruit in the 12 months following the survey.</w:t>
      </w:r>
    </w:p>
    <w:p w:rsidR="006A6667" w:rsidRPr="00910B5C" w:rsidRDefault="006A6667" w:rsidP="006A6667">
      <w:pPr>
        <w:contextualSpacing/>
        <w:rPr>
          <w:rFonts w:cstheme="minorHAnsi"/>
          <w:i/>
        </w:rPr>
      </w:pPr>
      <w:proofErr w:type="gramStart"/>
      <w:r w:rsidRPr="00910B5C">
        <w:rPr>
          <w:rFonts w:cstheme="minorHAnsi"/>
          <w:i/>
        </w:rPr>
        <w:t>Table 4</w:t>
      </w:r>
      <w:r>
        <w:rPr>
          <w:rFonts w:cstheme="minorHAnsi"/>
          <w:i/>
        </w:rPr>
        <w:t>.</w:t>
      </w:r>
      <w:proofErr w:type="gramEnd"/>
      <w:r>
        <w:rPr>
          <w:rFonts w:cstheme="minorHAnsi"/>
          <w:i/>
        </w:rPr>
        <w:t xml:space="preserve"> Occupations for which employers expect to recruit in the 12 months following the survey</w:t>
      </w:r>
      <w:r w:rsidRPr="00910B5C">
        <w:rPr>
          <w:rFonts w:cstheme="minorHAnsi"/>
          <w:i/>
        </w:rPr>
        <w:t xml:space="preserve"> </w:t>
      </w:r>
    </w:p>
    <w:tbl>
      <w:tblPr>
        <w:tblStyle w:val="TableGrid"/>
        <w:tblW w:w="9854" w:type="dxa"/>
        <w:tblLook w:val="04A0"/>
      </w:tblPr>
      <w:tblGrid>
        <w:gridCol w:w="5201"/>
        <w:gridCol w:w="4653"/>
      </w:tblGrid>
      <w:tr w:rsidR="006A6667" w:rsidRPr="00910B5C" w:rsidTr="00D24784">
        <w:trPr>
          <w:cantSplit/>
          <w:trHeight w:val="457"/>
        </w:trPr>
        <w:tc>
          <w:tcPr>
            <w:tcW w:w="9854" w:type="dxa"/>
            <w:gridSpan w:val="2"/>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rPr>
            </w:pPr>
            <w:r w:rsidRPr="00E843EC">
              <w:rPr>
                <w:rFonts w:asciiTheme="minorHAnsi" w:hAnsiTheme="minorHAnsi" w:cstheme="minorHAnsi"/>
                <w:b/>
              </w:rPr>
              <w:t>Bachelor Degree or Higher VET Qualifications</w:t>
            </w:r>
          </w:p>
        </w:tc>
      </w:tr>
      <w:tr w:rsidR="006A6667" w:rsidRPr="00910B5C" w:rsidTr="00D24784">
        <w:trPr>
          <w:cantSplit/>
          <w:trHeight w:val="323"/>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Metal Fitters and Machinists</w:t>
            </w:r>
          </w:p>
        </w:tc>
        <w:tc>
          <w:tcPr>
            <w:tcW w:w="4653"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Motor Mechanics</w:t>
            </w:r>
          </w:p>
        </w:tc>
      </w:tr>
      <w:tr w:rsidR="006A6667" w:rsidRPr="00910B5C" w:rsidTr="00D24784">
        <w:trPr>
          <w:cantSplit/>
          <w:trHeight w:val="323"/>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Structural Steel and Welding Trades Workers</w:t>
            </w:r>
          </w:p>
        </w:tc>
        <w:tc>
          <w:tcPr>
            <w:tcW w:w="4653"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Butchers and Smallgoods Makers</w:t>
            </w:r>
          </w:p>
        </w:tc>
      </w:tr>
      <w:tr w:rsidR="006A6667" w:rsidRPr="00910B5C" w:rsidTr="00D24784">
        <w:trPr>
          <w:cantSplit/>
          <w:trHeight w:val="444"/>
        </w:trPr>
        <w:tc>
          <w:tcPr>
            <w:tcW w:w="9854" w:type="dxa"/>
            <w:gridSpan w:val="2"/>
            <w:shd w:val="clear" w:color="auto" w:fill="8DB3E2" w:themeFill="text2" w:themeFillTint="66"/>
            <w:vAlign w:val="center"/>
          </w:tcPr>
          <w:p w:rsidR="006A6667" w:rsidRPr="00E843EC" w:rsidRDefault="006A6667" w:rsidP="00B943F4">
            <w:pPr>
              <w:keepNext/>
              <w:contextualSpacing/>
              <w:jc w:val="center"/>
              <w:rPr>
                <w:rFonts w:asciiTheme="minorHAnsi" w:hAnsiTheme="minorHAnsi" w:cstheme="minorHAnsi"/>
              </w:rPr>
            </w:pPr>
            <w:r w:rsidRPr="00E843EC">
              <w:rPr>
                <w:rFonts w:asciiTheme="minorHAnsi" w:hAnsiTheme="minorHAnsi" w:cstheme="minorHAnsi"/>
                <w:b/>
              </w:rPr>
              <w:t>Other Occupations</w:t>
            </w:r>
          </w:p>
        </w:tc>
      </w:tr>
      <w:tr w:rsidR="006A6667" w:rsidRPr="00910B5C" w:rsidTr="00D24784">
        <w:trPr>
          <w:cantSplit/>
          <w:trHeight w:val="323"/>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Sales Assistant (General)</w:t>
            </w:r>
          </w:p>
        </w:tc>
        <w:tc>
          <w:tcPr>
            <w:tcW w:w="4653"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General Clerks</w:t>
            </w:r>
          </w:p>
        </w:tc>
      </w:tr>
      <w:tr w:rsidR="006A6667" w:rsidRPr="00910B5C" w:rsidTr="00D24784">
        <w:trPr>
          <w:cantSplit/>
          <w:trHeight w:val="317"/>
        </w:trPr>
        <w:tc>
          <w:tcPr>
            <w:tcW w:w="5201" w:type="dxa"/>
            <w:vAlign w:val="center"/>
          </w:tcPr>
          <w:p w:rsidR="006A6667" w:rsidRPr="00E843EC" w:rsidRDefault="006A6667" w:rsidP="00B943F4">
            <w:pPr>
              <w:keepNext/>
              <w:contextualSpacing/>
              <w:jc w:val="center"/>
              <w:rPr>
                <w:rFonts w:asciiTheme="minorHAnsi" w:hAnsiTheme="minorHAnsi" w:cstheme="minorHAnsi"/>
              </w:rPr>
            </w:pPr>
            <w:proofErr w:type="spellStart"/>
            <w:r>
              <w:rPr>
                <w:rFonts w:asciiTheme="minorHAnsi" w:hAnsiTheme="minorHAnsi" w:cstheme="minorHAnsi"/>
              </w:rPr>
              <w:t>Storepersons</w:t>
            </w:r>
            <w:proofErr w:type="spellEnd"/>
          </w:p>
        </w:tc>
        <w:tc>
          <w:tcPr>
            <w:tcW w:w="4653"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Bar Attendants and Baristas</w:t>
            </w:r>
          </w:p>
        </w:tc>
      </w:tr>
      <w:tr w:rsidR="006A6667" w:rsidRPr="00910B5C" w:rsidTr="00D24784">
        <w:trPr>
          <w:cantSplit/>
          <w:trHeight w:val="317"/>
        </w:trPr>
        <w:tc>
          <w:tcPr>
            <w:tcW w:w="5201"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Call or Contact Centre Workers</w:t>
            </w:r>
          </w:p>
        </w:tc>
        <w:tc>
          <w:tcPr>
            <w:tcW w:w="4653" w:type="dxa"/>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Truck Drivers</w:t>
            </w:r>
          </w:p>
        </w:tc>
      </w:tr>
      <w:tr w:rsidR="006A6667" w:rsidRPr="00910B5C" w:rsidTr="00D24784">
        <w:trPr>
          <w:cantSplit/>
          <w:trHeight w:val="317"/>
        </w:trPr>
        <w:tc>
          <w:tcPr>
            <w:tcW w:w="9854" w:type="dxa"/>
            <w:gridSpan w:val="2"/>
            <w:vAlign w:val="center"/>
          </w:tcPr>
          <w:p w:rsidR="006A6667" w:rsidRPr="00E843EC" w:rsidRDefault="006A6667" w:rsidP="00B943F4">
            <w:pPr>
              <w:keepNext/>
              <w:contextualSpacing/>
              <w:jc w:val="center"/>
              <w:rPr>
                <w:rFonts w:asciiTheme="minorHAnsi" w:hAnsiTheme="minorHAnsi" w:cstheme="minorHAnsi"/>
              </w:rPr>
            </w:pPr>
            <w:r>
              <w:rPr>
                <w:rFonts w:asciiTheme="minorHAnsi" w:hAnsiTheme="minorHAnsi" w:cstheme="minorHAnsi"/>
              </w:rPr>
              <w:t>Waiters</w:t>
            </w:r>
          </w:p>
        </w:tc>
      </w:tr>
    </w:tbl>
    <w:p w:rsidR="006A6667" w:rsidRPr="00910B5C" w:rsidRDefault="006A6667" w:rsidP="006A6667">
      <w:pPr>
        <w:contextualSpacing/>
        <w:rPr>
          <w:b/>
        </w:rPr>
      </w:pPr>
    </w:p>
    <w:p w:rsidR="0086377D" w:rsidRPr="00D27484" w:rsidRDefault="00E665FC" w:rsidP="00E8168F">
      <w:pPr>
        <w:pStyle w:val="Heading1"/>
        <w:spacing w:before="0" w:after="0"/>
        <w:contextualSpacing/>
        <w:rPr>
          <w:rFonts w:asciiTheme="minorHAnsi" w:hAnsiTheme="minorHAnsi" w:cstheme="minorHAnsi"/>
        </w:rPr>
      </w:pPr>
      <w:r w:rsidRPr="00D27484">
        <w:rPr>
          <w:rFonts w:asciiTheme="minorHAnsi" w:hAnsiTheme="minorHAnsi" w:cstheme="minorHAnsi"/>
        </w:rPr>
        <w:t>Opportunities for Job Seekers</w:t>
      </w:r>
      <w:bookmarkEnd w:id="17"/>
    </w:p>
    <w:bookmarkEnd w:id="0"/>
    <w:bookmarkEnd w:id="1"/>
    <w:bookmarkEnd w:id="2"/>
    <w:p w:rsidR="006A6667" w:rsidRPr="00F031C1" w:rsidRDefault="006A6667" w:rsidP="006A6667">
      <w:pPr>
        <w:pStyle w:val="ListParagraph"/>
        <w:numPr>
          <w:ilvl w:val="0"/>
          <w:numId w:val="25"/>
        </w:numPr>
        <w:spacing w:after="120"/>
        <w:jc w:val="both"/>
        <w:rPr>
          <w:rFonts w:asciiTheme="minorHAnsi" w:hAnsiTheme="minorHAnsi" w:cstheme="minorHAnsi"/>
        </w:rPr>
      </w:pPr>
      <w:r w:rsidRPr="00F031C1">
        <w:rPr>
          <w:rFonts w:asciiTheme="minorHAnsi" w:hAnsiTheme="minorHAnsi" w:cstheme="minorHAnsi"/>
        </w:rPr>
        <w:t xml:space="preserve">The survey results indicate that opportunities for job seekers exist for occupations with high </w:t>
      </w:r>
      <w:proofErr w:type="spellStart"/>
      <w:r w:rsidRPr="00F031C1">
        <w:rPr>
          <w:rFonts w:asciiTheme="minorHAnsi" w:hAnsiTheme="minorHAnsi" w:cstheme="minorHAnsi"/>
        </w:rPr>
        <w:t>unfill</w:t>
      </w:r>
      <w:proofErr w:type="spellEnd"/>
      <w:r w:rsidRPr="00F031C1">
        <w:rPr>
          <w:rFonts w:asciiTheme="minorHAnsi" w:hAnsiTheme="minorHAnsi" w:cstheme="minorHAnsi"/>
        </w:rPr>
        <w:t xml:space="preserve"> rates, high recruitment difficulty and low numbers of suitable applicants, particularly Community and Personal Service Workers (such as Waiters, Child Carers and Bar Attendants and Baristas) and Technicians and Trades Workers (such as Chefs and Structural Steel and Welding Workers).</w:t>
      </w:r>
    </w:p>
    <w:p w:rsidR="006A6667" w:rsidRPr="00F031C1" w:rsidRDefault="006A6667" w:rsidP="006A6667">
      <w:pPr>
        <w:pStyle w:val="ListParagraph"/>
        <w:numPr>
          <w:ilvl w:val="0"/>
          <w:numId w:val="25"/>
        </w:numPr>
        <w:spacing w:after="120"/>
        <w:jc w:val="both"/>
        <w:rPr>
          <w:rFonts w:asciiTheme="minorHAnsi" w:hAnsiTheme="minorHAnsi" w:cstheme="minorHAnsi"/>
        </w:rPr>
      </w:pPr>
      <w:r w:rsidRPr="00F031C1">
        <w:rPr>
          <w:rFonts w:asciiTheme="minorHAnsi" w:hAnsiTheme="minorHAnsi" w:cstheme="minorHAnsi"/>
        </w:rPr>
        <w:t>There may be opportunities for higher skilled workers, where employers expected to recruit for a range of occupations including Metal Fitters and Machinists and Motor Mechanics.</w:t>
      </w:r>
    </w:p>
    <w:p w:rsidR="006A6667" w:rsidRPr="00F031C1" w:rsidRDefault="006A6667" w:rsidP="006A6667">
      <w:pPr>
        <w:pStyle w:val="ListParagraph"/>
        <w:numPr>
          <w:ilvl w:val="0"/>
          <w:numId w:val="25"/>
        </w:numPr>
        <w:spacing w:after="120"/>
        <w:jc w:val="both"/>
        <w:rPr>
          <w:rFonts w:asciiTheme="minorHAnsi" w:hAnsiTheme="minorHAnsi" w:cstheme="minorHAnsi"/>
        </w:rPr>
      </w:pPr>
      <w:r w:rsidRPr="00F031C1">
        <w:rPr>
          <w:rFonts w:asciiTheme="minorHAnsi" w:hAnsiTheme="minorHAnsi" w:cstheme="minorHAnsi"/>
        </w:rPr>
        <w:t>There may also be opportunities for job seekers in the Accommodation and Food Services and Health Care and Social Assistance industries, where a high proportion of employers expected to recruit.</w:t>
      </w:r>
    </w:p>
    <w:p w:rsidR="006A6667" w:rsidRPr="00F031C1" w:rsidRDefault="006A6667" w:rsidP="006A6667">
      <w:pPr>
        <w:pStyle w:val="ListParagraph"/>
        <w:numPr>
          <w:ilvl w:val="0"/>
          <w:numId w:val="25"/>
        </w:numPr>
        <w:jc w:val="both"/>
        <w:rPr>
          <w:rFonts w:asciiTheme="minorHAnsi" w:hAnsiTheme="minorHAnsi" w:cstheme="minorHAnsi"/>
        </w:rPr>
      </w:pPr>
      <w:r w:rsidRPr="00F031C1">
        <w:rPr>
          <w:rFonts w:asciiTheme="minorHAnsi" w:hAnsiTheme="minorHAnsi" w:cstheme="minorHAnsi"/>
        </w:rPr>
        <w:t>One of the main reason</w:t>
      </w:r>
      <w:r w:rsidR="005345AA">
        <w:rPr>
          <w:rFonts w:asciiTheme="minorHAnsi" w:hAnsiTheme="minorHAnsi" w:cstheme="minorHAnsi"/>
        </w:rPr>
        <w:t>s</w:t>
      </w:r>
      <w:r w:rsidRPr="00F031C1">
        <w:rPr>
          <w:rFonts w:asciiTheme="minorHAnsi" w:hAnsiTheme="minorHAnsi" w:cstheme="minorHAnsi"/>
        </w:rPr>
        <w:t xml:space="preserve"> applicants were considered unsuitable for vacancies was a lack of experience. Support for work experience and work readiness programs could assist job seekers. </w:t>
      </w:r>
    </w:p>
    <w:p w:rsidR="00525BF3" w:rsidRPr="00B460FB" w:rsidRDefault="00525BF3" w:rsidP="00E8168F">
      <w:pPr>
        <w:spacing w:before="0" w:after="0"/>
        <w:contextualSpacing/>
        <w:rPr>
          <w:rFonts w:asciiTheme="minorHAnsi" w:hAnsiTheme="minorHAnsi" w:cstheme="minorHAnsi"/>
          <w:highlight w:val="yellow"/>
        </w:rPr>
        <w:sectPr w:rsidR="00525BF3" w:rsidRPr="00B460FB" w:rsidSect="00CA203E">
          <w:headerReference w:type="default" r:id="rId28"/>
          <w:footerReference w:type="default" r:id="rId29"/>
          <w:type w:val="continuous"/>
          <w:pgSz w:w="11906" w:h="16838" w:code="9"/>
          <w:pgMar w:top="539" w:right="1134" w:bottom="1418" w:left="1077" w:header="567" w:footer="68" w:gutter="0"/>
          <w:pgNumType w:start="0"/>
          <w:cols w:space="708"/>
          <w:docGrid w:linePitch="360"/>
        </w:sectPr>
      </w:pPr>
    </w:p>
    <w:p w:rsidR="00937255" w:rsidRPr="00B460FB" w:rsidRDefault="00A950F3" w:rsidP="00E8168F">
      <w:pPr>
        <w:spacing w:before="0" w:after="0"/>
        <w:contextualSpacing/>
        <w:rPr>
          <w:rFonts w:asciiTheme="minorHAnsi" w:hAnsiTheme="minorHAnsi" w:cstheme="minorHAnsi"/>
          <w:highlight w:val="yellow"/>
        </w:rPr>
      </w:pPr>
      <w:r w:rsidRPr="00A950F3">
        <w:rPr>
          <w:rFonts w:asciiTheme="minorHAnsi" w:hAnsiTheme="minorHAnsi" w:cstheme="minorHAnsi"/>
          <w:noProof/>
          <w:highlight w:val="yellow"/>
        </w:rPr>
        <w:lastRenderedPageBreak/>
        <w:pict>
          <v:shapetype id="_x0000_t202" coordsize="21600,21600" o:spt="202" path="m,l,21600r21600,l21600,xe">
            <v:stroke joinstyle="miter"/>
            <v:path gradientshapeok="t" o:connecttype="rect"/>
          </v:shapetype>
          <v:shape id="_x0000_s1060" type="#_x0000_t202" style="position:absolute;left:0;text-align:left;margin-left:495pt;margin-top:568.05pt;width:27pt;height:35pt;z-index:251657728" filled="f" stroked="f">
            <v:textbox style="mso-next-textbox:#_x0000_s1060">
              <w:txbxContent>
                <w:p w:rsidR="00C07421" w:rsidRDefault="00C07421" w:rsidP="00117BDE">
                  <w:r>
                    <w:t>9</w:t>
                  </w:r>
                </w:p>
              </w:txbxContent>
            </v:textbox>
          </v:shape>
        </w:pict>
      </w:r>
      <w:r w:rsidRPr="00A950F3">
        <w:rPr>
          <w:rFonts w:asciiTheme="minorHAnsi" w:hAnsiTheme="minorHAnsi" w:cstheme="minorHAnsi"/>
          <w:noProof/>
          <w:highlight w:val="yellow"/>
        </w:rPr>
        <w:pict>
          <v:shape id="_x0000_s1039" type="#_x0000_t202" style="position:absolute;left:0;text-align:left;margin-left:495pt;margin-top:506.45pt;width:27pt;height:27pt;z-index:251655680" filled="f" stroked="f">
            <v:textbox style="mso-next-textbox:#_x0000_s1039">
              <w:txbxContent>
                <w:p w:rsidR="00C07421" w:rsidRPr="006B6A3C" w:rsidRDefault="00C07421" w:rsidP="006B6A3C"/>
              </w:txbxContent>
            </v:textbox>
          </v:shape>
        </w:pict>
      </w:r>
      <w:r w:rsidRPr="00A950F3">
        <w:rPr>
          <w:rFonts w:asciiTheme="minorHAnsi" w:hAnsiTheme="minorHAnsi" w:cstheme="minorHAnsi"/>
          <w:noProof/>
          <w:highlight w:val="yellow"/>
        </w:rPr>
        <w:pict>
          <v:shape id="_x0000_s1040" type="#_x0000_t202" style="position:absolute;left:0;text-align:left;margin-left:495pt;margin-top:612pt;width:27pt;height:36pt;z-index:251656704" filled="f" stroked="f">
            <v:textbox style="mso-next-textbox:#_x0000_s1040">
              <w:txbxContent>
                <w:p w:rsidR="00C07421" w:rsidRDefault="00C07421" w:rsidP="006B6A3C">
                  <w:r>
                    <w:t>9</w:t>
                  </w:r>
                </w:p>
                <w:p w:rsidR="00C07421" w:rsidRDefault="00C07421"/>
              </w:txbxContent>
            </v:textbox>
          </v:shape>
        </w:pict>
      </w:r>
    </w:p>
    <w:p w:rsidR="007F7B99" w:rsidRPr="00456E8F" w:rsidRDefault="007F7B99" w:rsidP="007F7B99">
      <w:pPr>
        <w:contextualSpacing/>
        <w:rPr>
          <w:rFonts w:asciiTheme="minorHAnsi" w:hAnsiTheme="minorHAnsi" w:cstheme="minorHAnsi"/>
          <w:b/>
          <w:color w:val="00529C"/>
        </w:rPr>
      </w:pPr>
      <w:r w:rsidRPr="00456E8F">
        <w:rPr>
          <w:rFonts w:asciiTheme="minorHAnsi" w:hAnsiTheme="minorHAnsi" w:cstheme="minorHAnsi"/>
          <w:b/>
          <w:color w:val="00529C"/>
        </w:rPr>
        <w:t>For more information:</w:t>
      </w:r>
    </w:p>
    <w:p w:rsidR="007F7B99" w:rsidRPr="00456E8F" w:rsidRDefault="007F7B99" w:rsidP="007F7B99">
      <w:pPr>
        <w:contextualSpacing/>
        <w:rPr>
          <w:rFonts w:asciiTheme="minorHAnsi" w:hAnsiTheme="minorHAnsi" w:cstheme="minorHAnsi"/>
          <w:b/>
          <w:color w:val="00529C"/>
        </w:rPr>
      </w:pPr>
    </w:p>
    <w:p w:rsidR="007F7B99" w:rsidRPr="00456E8F" w:rsidRDefault="007F7B99" w:rsidP="007F7B99">
      <w:pPr>
        <w:contextualSpacing/>
        <w:rPr>
          <w:rFonts w:asciiTheme="minorHAnsi" w:hAnsiTheme="minorHAnsi" w:cstheme="minorHAnsi"/>
          <w:b/>
          <w:color w:val="00529C"/>
        </w:rPr>
      </w:pPr>
    </w:p>
    <w:p w:rsidR="007F7B99" w:rsidRPr="00456E8F" w:rsidRDefault="007F7B99" w:rsidP="007F7B99">
      <w:pPr>
        <w:numPr>
          <w:ilvl w:val="0"/>
          <w:numId w:val="1"/>
        </w:numPr>
        <w:ind w:left="0" w:firstLine="0"/>
        <w:contextualSpacing/>
        <w:rPr>
          <w:rFonts w:asciiTheme="minorHAnsi" w:hAnsiTheme="minorHAnsi" w:cstheme="minorHAnsi"/>
          <w:b/>
          <w:color w:val="00529C"/>
        </w:rPr>
      </w:pPr>
      <w:r w:rsidRPr="00456E8F">
        <w:rPr>
          <w:rFonts w:asciiTheme="minorHAnsi" w:hAnsiTheme="minorHAnsi" w:cstheme="minorHAnsi"/>
          <w:b/>
          <w:color w:val="00529C"/>
        </w:rPr>
        <w:t>L</w:t>
      </w:r>
      <w:r>
        <w:rPr>
          <w:rFonts w:asciiTheme="minorHAnsi" w:hAnsiTheme="minorHAnsi" w:cstheme="minorHAnsi"/>
          <w:b/>
          <w:color w:val="00529C"/>
        </w:rPr>
        <w:t>abour Market Information Portal</w:t>
      </w:r>
    </w:p>
    <w:p w:rsidR="007F7B99" w:rsidRPr="00456E8F" w:rsidRDefault="00A950F3" w:rsidP="007F7B99">
      <w:pPr>
        <w:tabs>
          <w:tab w:val="left" w:pos="720"/>
        </w:tabs>
        <w:contextualSpacing/>
        <w:rPr>
          <w:rStyle w:val="Hyperlink"/>
          <w:rFonts w:asciiTheme="minorHAnsi" w:hAnsiTheme="minorHAnsi" w:cstheme="minorHAnsi"/>
          <w:color w:val="00529C"/>
        </w:rPr>
      </w:pPr>
      <w:hyperlink r:id="rId30" w:history="1">
        <w:r w:rsidR="007F7B99" w:rsidRPr="00456E8F">
          <w:rPr>
            <w:rStyle w:val="Hyperlink"/>
            <w:rFonts w:asciiTheme="minorHAnsi" w:hAnsiTheme="minorHAnsi" w:cstheme="minorHAnsi"/>
            <w:b/>
            <w:color w:val="00529C"/>
          </w:rPr>
          <w:t>www.deewr.gov.au/lmip</w:t>
        </w:r>
      </w:hyperlink>
    </w:p>
    <w:p w:rsidR="007F7B99" w:rsidRPr="00456E8F" w:rsidRDefault="007F7B99" w:rsidP="007F7B99">
      <w:pPr>
        <w:tabs>
          <w:tab w:val="left" w:pos="720"/>
        </w:tabs>
        <w:contextualSpacing/>
        <w:rPr>
          <w:rFonts w:asciiTheme="minorHAnsi" w:hAnsiTheme="minorHAnsi" w:cstheme="minorHAnsi"/>
          <w:b/>
          <w:color w:val="00529C"/>
        </w:rPr>
      </w:pPr>
    </w:p>
    <w:p w:rsidR="007F7B99" w:rsidRPr="00456E8F" w:rsidRDefault="007F7B99" w:rsidP="007F7B99">
      <w:pPr>
        <w:tabs>
          <w:tab w:val="left" w:pos="720"/>
        </w:tabs>
        <w:contextualSpacing/>
        <w:rPr>
          <w:rFonts w:asciiTheme="minorHAnsi" w:hAnsiTheme="minorHAnsi" w:cstheme="minorHAnsi"/>
          <w:b/>
          <w:color w:val="00529C"/>
        </w:rPr>
      </w:pPr>
    </w:p>
    <w:p w:rsidR="007F7B99" w:rsidRPr="00456E8F" w:rsidRDefault="007F7B99" w:rsidP="007F7B99">
      <w:pPr>
        <w:numPr>
          <w:ilvl w:val="0"/>
          <w:numId w:val="1"/>
        </w:numPr>
        <w:ind w:left="0" w:firstLine="0"/>
        <w:contextualSpacing/>
        <w:rPr>
          <w:rFonts w:asciiTheme="minorHAnsi" w:hAnsiTheme="minorHAnsi" w:cstheme="minorHAnsi"/>
          <w:b/>
          <w:color w:val="00529C"/>
        </w:rPr>
      </w:pPr>
      <w:r w:rsidRPr="00456E8F">
        <w:rPr>
          <w:rFonts w:asciiTheme="minorHAnsi" w:hAnsiTheme="minorHAnsi" w:cstheme="minorHAnsi"/>
          <w:b/>
          <w:color w:val="00529C"/>
        </w:rPr>
        <w:t>Skill Shortages</w:t>
      </w:r>
      <w:r>
        <w:rPr>
          <w:rFonts w:asciiTheme="minorHAnsi" w:hAnsiTheme="minorHAnsi" w:cstheme="minorHAnsi"/>
          <w:b/>
          <w:color w:val="00529C"/>
        </w:rPr>
        <w:t xml:space="preserve"> </w:t>
      </w:r>
      <w:r w:rsidRPr="00582D8C">
        <w:rPr>
          <w:rFonts w:asciiTheme="minorHAnsi" w:hAnsiTheme="minorHAnsi" w:cstheme="minorHAnsi"/>
          <w:b/>
          <w:i/>
          <w:color w:val="00529C"/>
        </w:rPr>
        <w:t>including new publication</w:t>
      </w:r>
      <w:r>
        <w:rPr>
          <w:rFonts w:asciiTheme="minorHAnsi" w:hAnsiTheme="minorHAnsi" w:cstheme="minorHAnsi"/>
          <w:b/>
          <w:color w:val="00529C"/>
        </w:rPr>
        <w:t xml:space="preserve"> Skill Shortages Australia</w:t>
      </w:r>
    </w:p>
    <w:p w:rsidR="007F7B99" w:rsidRPr="00456E8F" w:rsidRDefault="007F7B99" w:rsidP="007F7B99">
      <w:pPr>
        <w:tabs>
          <w:tab w:val="left" w:pos="720"/>
        </w:tabs>
        <w:contextualSpacing/>
        <w:rPr>
          <w:rStyle w:val="Hyperlink"/>
          <w:rFonts w:asciiTheme="minorHAnsi" w:hAnsiTheme="minorHAnsi" w:cstheme="minorHAnsi"/>
          <w:b/>
          <w:color w:val="00529C"/>
        </w:rPr>
      </w:pPr>
      <w:r w:rsidRPr="00456E8F">
        <w:rPr>
          <w:rStyle w:val="Hyperlink"/>
          <w:rFonts w:asciiTheme="minorHAnsi" w:hAnsiTheme="minorHAnsi" w:cstheme="minorHAnsi"/>
          <w:b/>
          <w:color w:val="00529C"/>
        </w:rPr>
        <w:t>www.deewr.gov.au/skillshortages</w:t>
      </w:r>
    </w:p>
    <w:p w:rsidR="007F7B99" w:rsidRPr="00456E8F" w:rsidRDefault="007F7B99" w:rsidP="007F7B99">
      <w:pPr>
        <w:tabs>
          <w:tab w:val="left" w:pos="720"/>
        </w:tabs>
        <w:contextualSpacing/>
        <w:rPr>
          <w:rFonts w:asciiTheme="minorHAnsi" w:hAnsiTheme="minorHAnsi" w:cstheme="minorHAnsi"/>
          <w:b/>
          <w:color w:val="00529C"/>
        </w:rPr>
      </w:pPr>
    </w:p>
    <w:p w:rsidR="007F7B99" w:rsidRPr="00456E8F" w:rsidRDefault="007F7B99" w:rsidP="007F7B99">
      <w:pPr>
        <w:tabs>
          <w:tab w:val="left" w:pos="720"/>
        </w:tabs>
        <w:contextualSpacing/>
        <w:rPr>
          <w:rFonts w:asciiTheme="minorHAnsi" w:hAnsiTheme="minorHAnsi" w:cstheme="minorHAnsi"/>
          <w:b/>
          <w:color w:val="00529C"/>
        </w:rPr>
      </w:pPr>
    </w:p>
    <w:p w:rsidR="007F7B99" w:rsidRPr="00456E8F" w:rsidRDefault="007F7B99" w:rsidP="007F7B99">
      <w:pPr>
        <w:numPr>
          <w:ilvl w:val="0"/>
          <w:numId w:val="1"/>
        </w:numPr>
        <w:ind w:left="0" w:firstLine="0"/>
        <w:contextualSpacing/>
        <w:rPr>
          <w:rFonts w:asciiTheme="minorHAnsi" w:hAnsiTheme="minorHAnsi" w:cstheme="minorHAnsi"/>
          <w:b/>
          <w:color w:val="00529C"/>
        </w:rPr>
      </w:pPr>
      <w:r w:rsidRPr="00456E8F">
        <w:rPr>
          <w:rFonts w:asciiTheme="minorHAnsi" w:hAnsiTheme="minorHAnsi" w:cstheme="minorHAnsi"/>
          <w:b/>
          <w:color w:val="00529C"/>
        </w:rPr>
        <w:t>Survey of Employers’ Recruitment Experiences</w:t>
      </w:r>
    </w:p>
    <w:p w:rsidR="007F7B99" w:rsidRPr="00456E8F" w:rsidRDefault="00A950F3" w:rsidP="007F7B99">
      <w:pPr>
        <w:tabs>
          <w:tab w:val="left" w:pos="720"/>
        </w:tabs>
        <w:contextualSpacing/>
        <w:rPr>
          <w:rStyle w:val="Hyperlink"/>
          <w:rFonts w:asciiTheme="minorHAnsi" w:hAnsiTheme="minorHAnsi" w:cstheme="minorHAnsi"/>
          <w:color w:val="00529C"/>
        </w:rPr>
      </w:pPr>
      <w:hyperlink r:id="rId31" w:history="1">
        <w:r w:rsidR="007F7B99" w:rsidRPr="00456E8F">
          <w:rPr>
            <w:rStyle w:val="Hyperlink"/>
            <w:rFonts w:asciiTheme="minorHAnsi" w:hAnsiTheme="minorHAnsi" w:cstheme="minorHAnsi"/>
            <w:b/>
            <w:color w:val="00529C"/>
          </w:rPr>
          <w:t>www.deewr.gov.au/regionalreports</w:t>
        </w:r>
      </w:hyperlink>
    </w:p>
    <w:p w:rsidR="007F7B99" w:rsidRDefault="007F7B99" w:rsidP="007F7B99">
      <w:pPr>
        <w:tabs>
          <w:tab w:val="left" w:pos="720"/>
        </w:tabs>
        <w:contextualSpacing/>
        <w:rPr>
          <w:rFonts w:asciiTheme="minorHAnsi" w:hAnsiTheme="minorHAnsi" w:cstheme="minorHAnsi"/>
          <w:b/>
          <w:color w:val="00529C"/>
        </w:rPr>
      </w:pPr>
    </w:p>
    <w:p w:rsidR="00F575B2" w:rsidRPr="00456E8F" w:rsidRDefault="00F575B2" w:rsidP="00F575B2">
      <w:pPr>
        <w:tabs>
          <w:tab w:val="left" w:pos="720"/>
        </w:tabs>
        <w:contextualSpacing/>
        <w:rPr>
          <w:rFonts w:asciiTheme="minorHAnsi" w:hAnsiTheme="minorHAnsi" w:cstheme="minorHAnsi"/>
          <w:b/>
          <w:color w:val="00529C"/>
        </w:rPr>
      </w:pPr>
    </w:p>
    <w:p w:rsidR="00F575B2" w:rsidRPr="00456E8F" w:rsidRDefault="00F575B2" w:rsidP="00F575B2">
      <w:pPr>
        <w:numPr>
          <w:ilvl w:val="0"/>
          <w:numId w:val="1"/>
        </w:numPr>
        <w:ind w:left="0" w:firstLine="0"/>
        <w:contextualSpacing/>
        <w:rPr>
          <w:rFonts w:asciiTheme="minorHAnsi" w:hAnsiTheme="minorHAnsi" w:cstheme="minorHAnsi"/>
          <w:b/>
          <w:color w:val="00529C"/>
        </w:rPr>
      </w:pPr>
      <w:r>
        <w:rPr>
          <w:rFonts w:asciiTheme="minorHAnsi" w:hAnsiTheme="minorHAnsi" w:cstheme="minorHAnsi"/>
          <w:b/>
          <w:color w:val="00529C"/>
        </w:rPr>
        <w:t>Australian Jobs 2012</w:t>
      </w:r>
    </w:p>
    <w:p w:rsidR="00F575B2" w:rsidRPr="00EB073B" w:rsidRDefault="00EB073B" w:rsidP="007F7B99">
      <w:pPr>
        <w:tabs>
          <w:tab w:val="left" w:pos="720"/>
        </w:tabs>
        <w:contextualSpacing/>
        <w:rPr>
          <w:rFonts w:asciiTheme="minorHAnsi" w:hAnsiTheme="minorHAnsi" w:cstheme="minorHAnsi"/>
          <w:b/>
          <w:color w:val="365F91" w:themeColor="accent1" w:themeShade="BF"/>
          <w:u w:val="single"/>
        </w:rPr>
      </w:pPr>
      <w:r w:rsidRPr="00EB073B">
        <w:rPr>
          <w:b/>
          <w:color w:val="365F91" w:themeColor="accent1" w:themeShade="BF"/>
          <w:u w:val="single"/>
        </w:rPr>
        <w:t xml:space="preserve">www.deewr.gov.au/AustralianJobs </w:t>
      </w:r>
    </w:p>
    <w:p w:rsidR="007F7B99" w:rsidRDefault="007F7B99" w:rsidP="007F7B99">
      <w:pPr>
        <w:tabs>
          <w:tab w:val="left" w:pos="720"/>
        </w:tabs>
        <w:contextualSpacing/>
        <w:rPr>
          <w:rFonts w:asciiTheme="minorHAnsi" w:hAnsiTheme="minorHAnsi" w:cstheme="minorHAnsi"/>
          <w:b/>
          <w:color w:val="00529C"/>
        </w:rPr>
      </w:pPr>
    </w:p>
    <w:p w:rsidR="00EB073B" w:rsidRPr="00456E8F" w:rsidRDefault="00EB073B" w:rsidP="007F7B99">
      <w:pPr>
        <w:tabs>
          <w:tab w:val="left" w:pos="720"/>
        </w:tabs>
        <w:contextualSpacing/>
        <w:rPr>
          <w:rFonts w:asciiTheme="minorHAnsi" w:hAnsiTheme="minorHAnsi" w:cstheme="minorHAnsi"/>
          <w:b/>
          <w:color w:val="00529C"/>
        </w:rPr>
      </w:pPr>
    </w:p>
    <w:p w:rsidR="007F7B99" w:rsidRPr="00456E8F" w:rsidRDefault="007F7B99" w:rsidP="007F7B99">
      <w:pPr>
        <w:numPr>
          <w:ilvl w:val="0"/>
          <w:numId w:val="1"/>
        </w:numPr>
        <w:ind w:left="0" w:firstLine="0"/>
        <w:contextualSpacing/>
        <w:rPr>
          <w:rFonts w:asciiTheme="minorHAnsi" w:hAnsiTheme="minorHAnsi" w:cstheme="minorHAnsi"/>
          <w:b/>
          <w:color w:val="00529C"/>
        </w:rPr>
      </w:pPr>
      <w:r w:rsidRPr="00456E8F">
        <w:rPr>
          <w:rFonts w:asciiTheme="minorHAnsi" w:hAnsiTheme="minorHAnsi" w:cstheme="minorHAnsi"/>
          <w:b/>
          <w:color w:val="00529C"/>
        </w:rPr>
        <w:t>Job Outlook</w:t>
      </w:r>
    </w:p>
    <w:p w:rsidR="007F7B99" w:rsidRPr="00057B1A" w:rsidRDefault="00A950F3" w:rsidP="007F7B99">
      <w:pPr>
        <w:tabs>
          <w:tab w:val="left" w:pos="720"/>
        </w:tabs>
        <w:rPr>
          <w:rStyle w:val="Hyperlink"/>
          <w:rFonts w:asciiTheme="minorHAnsi" w:hAnsiTheme="minorHAnsi" w:cstheme="minorHAnsi"/>
          <w:color w:val="365F91" w:themeColor="accent1" w:themeShade="BF"/>
        </w:rPr>
      </w:pPr>
      <w:hyperlink r:id="rId32" w:history="1">
        <w:r w:rsidR="007F7B99" w:rsidRPr="00057B1A">
          <w:rPr>
            <w:rStyle w:val="Hyperlink"/>
            <w:rFonts w:asciiTheme="minorHAnsi" w:hAnsiTheme="minorHAnsi" w:cstheme="minorHAnsi"/>
            <w:b/>
            <w:color w:val="365F91" w:themeColor="accent1" w:themeShade="BF"/>
          </w:rPr>
          <w:t>www.joboutlook.gov.au</w:t>
        </w:r>
      </w:hyperlink>
    </w:p>
    <w:p w:rsidR="007F7B99" w:rsidRPr="00456E8F" w:rsidRDefault="007F7B99" w:rsidP="007F7B99">
      <w:pPr>
        <w:tabs>
          <w:tab w:val="left" w:pos="720"/>
        </w:tabs>
        <w:contextualSpacing/>
        <w:rPr>
          <w:rStyle w:val="Hyperlink"/>
          <w:rFonts w:asciiTheme="minorHAnsi" w:hAnsiTheme="minorHAnsi"/>
          <w:color w:val="00529C"/>
        </w:rPr>
      </w:pPr>
    </w:p>
    <w:p w:rsidR="007F7B99" w:rsidRPr="00456E8F" w:rsidRDefault="007F7B99" w:rsidP="007F7B99">
      <w:pPr>
        <w:tabs>
          <w:tab w:val="left" w:pos="720"/>
        </w:tabs>
        <w:contextualSpacing/>
        <w:rPr>
          <w:rStyle w:val="Hyperlink"/>
          <w:rFonts w:asciiTheme="minorHAnsi" w:hAnsiTheme="minorHAnsi"/>
          <w:color w:val="00529C"/>
        </w:rPr>
      </w:pPr>
    </w:p>
    <w:p w:rsidR="007F7B99" w:rsidRPr="00456E8F" w:rsidRDefault="007F7B99" w:rsidP="007F7B99">
      <w:pPr>
        <w:numPr>
          <w:ilvl w:val="0"/>
          <w:numId w:val="1"/>
        </w:numPr>
        <w:ind w:left="0" w:firstLine="0"/>
        <w:contextualSpacing/>
        <w:rPr>
          <w:rFonts w:asciiTheme="minorHAnsi" w:hAnsiTheme="minorHAnsi" w:cstheme="minorHAnsi"/>
          <w:b/>
          <w:color w:val="00529C"/>
        </w:rPr>
      </w:pPr>
      <w:proofErr w:type="spellStart"/>
      <w:r w:rsidRPr="00456E8F">
        <w:rPr>
          <w:rFonts w:asciiTheme="minorHAnsi" w:hAnsiTheme="minorHAnsi" w:cstheme="minorHAnsi"/>
          <w:b/>
          <w:color w:val="00529C"/>
        </w:rPr>
        <w:t>SkillsInfo</w:t>
      </w:r>
      <w:proofErr w:type="spellEnd"/>
    </w:p>
    <w:p w:rsidR="007F7B99" w:rsidRPr="0032080D" w:rsidRDefault="00A950F3" w:rsidP="007F7B99">
      <w:pPr>
        <w:tabs>
          <w:tab w:val="left" w:pos="720"/>
        </w:tabs>
        <w:contextualSpacing/>
        <w:rPr>
          <w:rFonts w:asciiTheme="minorHAnsi" w:hAnsiTheme="minorHAnsi" w:cstheme="minorHAnsi"/>
          <w:color w:val="00529C"/>
        </w:rPr>
        <w:sectPr w:rsidR="007F7B99" w:rsidRPr="0032080D" w:rsidSect="000E137D">
          <w:headerReference w:type="default" r:id="rId33"/>
          <w:footerReference w:type="default" r:id="rId34"/>
          <w:pgSz w:w="11906" w:h="16838" w:code="9"/>
          <w:pgMar w:top="6469" w:right="1134" w:bottom="1418" w:left="1080" w:header="567" w:footer="302" w:gutter="0"/>
          <w:cols w:space="708"/>
          <w:docGrid w:linePitch="360"/>
        </w:sectPr>
      </w:pPr>
      <w:hyperlink r:id="rId35" w:history="1">
        <w:r w:rsidR="007F7B99" w:rsidRPr="00456E8F">
          <w:rPr>
            <w:rStyle w:val="Hyperlink"/>
            <w:rFonts w:asciiTheme="minorHAnsi" w:hAnsiTheme="minorHAnsi" w:cstheme="minorHAnsi"/>
            <w:b/>
            <w:color w:val="00529C"/>
          </w:rPr>
          <w:t>www.skillsinfo.gov.au</w:t>
        </w:r>
      </w:hyperlink>
    </w:p>
    <w:p w:rsidR="00211311" w:rsidRPr="0032080D" w:rsidRDefault="00211311" w:rsidP="00E8168F">
      <w:pPr>
        <w:contextualSpacing/>
        <w:rPr>
          <w:rFonts w:asciiTheme="minorHAnsi" w:hAnsiTheme="minorHAnsi" w:cstheme="minorHAnsi"/>
        </w:rPr>
      </w:pPr>
    </w:p>
    <w:p w:rsidR="005C2DA8" w:rsidRPr="0032080D" w:rsidRDefault="005C2DA8" w:rsidP="00E8168F">
      <w:pPr>
        <w:contextualSpacing/>
        <w:rPr>
          <w:rFonts w:asciiTheme="minorHAnsi" w:hAnsiTheme="minorHAnsi" w:cstheme="minorHAnsi"/>
        </w:rPr>
      </w:pPr>
    </w:p>
    <w:sectPr w:rsidR="005C2DA8" w:rsidRPr="0032080D" w:rsidSect="000E137D">
      <w:headerReference w:type="default" r:id="rId36"/>
      <w:footerReference w:type="default" r:id="rId37"/>
      <w:type w:val="continuous"/>
      <w:pgSz w:w="11906" w:h="16838" w:code="9"/>
      <w:pgMar w:top="6469" w:right="1134" w:bottom="1418" w:left="1080" w:header="567" w:footer="302" w:gutter="0"/>
      <w:cols w:num="2" w:space="708" w:equalWidth="0">
        <w:col w:w="4323" w:space="708"/>
        <w:col w:w="432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421" w:rsidRDefault="00C07421">
      <w:r>
        <w:separator/>
      </w:r>
    </w:p>
  </w:endnote>
  <w:endnote w:type="continuationSeparator" w:id="0">
    <w:p w:rsidR="00C07421" w:rsidRDefault="00C074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Pr="001563C0" w:rsidRDefault="00C07421" w:rsidP="00B40EFC">
    <w:pPr>
      <w:spacing w:before="0" w:after="180"/>
      <w:ind w:left="-540" w:right="2514"/>
      <w:rPr>
        <w:rFonts w:cs="Arial"/>
        <w:sz w:val="22"/>
        <w:szCs w:val="22"/>
      </w:rPr>
    </w:pPr>
    <w:r w:rsidRPr="001563C0">
      <w:rPr>
        <w:rFonts w:cs="Arial"/>
        <w:sz w:val="22"/>
        <w:szCs w:val="22"/>
      </w:rPr>
      <w:t>This report was prepared by the Labour</w:t>
    </w:r>
    <w:r>
      <w:rPr>
        <w:rFonts w:cs="Arial"/>
        <w:sz w:val="22"/>
        <w:szCs w:val="22"/>
      </w:rPr>
      <w:t xml:space="preserve"> Market</w:t>
    </w:r>
    <w:r w:rsidRPr="001563C0">
      <w:rPr>
        <w:rFonts w:cs="Arial"/>
        <w:sz w:val="22"/>
        <w:szCs w:val="22"/>
      </w:rPr>
      <w:t xml:space="preserve"> </w:t>
    </w:r>
    <w:r>
      <w:rPr>
        <w:rFonts w:cs="Arial"/>
        <w:sz w:val="22"/>
        <w:szCs w:val="22"/>
      </w:rPr>
      <w:t>Research and Analysis</w:t>
    </w:r>
    <w:r w:rsidRPr="001563C0">
      <w:rPr>
        <w:rFonts w:cs="Arial"/>
        <w:sz w:val="22"/>
        <w:szCs w:val="22"/>
      </w:rPr>
      <w:t xml:space="preserve"> Branch and is base</w:t>
    </w:r>
    <w:r>
      <w:rPr>
        <w:rFonts w:cs="Arial"/>
        <w:sz w:val="22"/>
        <w:szCs w:val="22"/>
      </w:rPr>
      <w:t>d on research conducted by the B</w:t>
    </w:r>
    <w:r w:rsidRPr="001563C0">
      <w:rPr>
        <w:rFonts w:cs="Arial"/>
        <w:sz w:val="22"/>
        <w:szCs w:val="22"/>
      </w:rPr>
      <w:t>ranch.</w:t>
    </w:r>
  </w:p>
  <w:p w:rsidR="00C07421" w:rsidRPr="00B40EFC" w:rsidRDefault="00C07421" w:rsidP="00B40EFC">
    <w:pPr>
      <w:tabs>
        <w:tab w:val="left" w:pos="7200"/>
      </w:tabs>
      <w:spacing w:before="0" w:after="180"/>
      <w:ind w:left="-540" w:right="4854"/>
      <w:rPr>
        <w:rFonts w:cs="Arial"/>
        <w:sz w:val="22"/>
        <w:szCs w:val="22"/>
      </w:rPr>
    </w:pPr>
    <w:r w:rsidRPr="00B40EFC">
      <w:rPr>
        <w:rFonts w:cs="Arial"/>
        <w:sz w:val="22"/>
        <w:szCs w:val="22"/>
      </w:rPr>
      <w:t>For further information:</w:t>
    </w:r>
    <w:r w:rsidRPr="00B40EFC">
      <w:rPr>
        <w:rFonts w:cs="Arial"/>
        <w:sz w:val="22"/>
        <w:szCs w:val="22"/>
      </w:rPr>
      <w:tab/>
    </w:r>
    <w:r w:rsidRPr="00B40EFC">
      <w:rPr>
        <w:rFonts w:cs="Arial"/>
        <w:sz w:val="22"/>
        <w:szCs w:val="22"/>
      </w:rPr>
      <w:tab/>
      <w:t>www.deewr.gov.au</w:t>
    </w:r>
    <w:r w:rsidRPr="00B40EFC">
      <w:rPr>
        <w:rFonts w:cs="Arial"/>
        <w:sz w:val="22"/>
        <w:szCs w:val="22"/>
      </w:rPr>
      <w:br/>
      <w:t xml:space="preserve">Ph: 1800 059 439 | </w:t>
    </w:r>
    <w:hyperlink r:id="rId1" w:history="1">
      <w:r w:rsidRPr="00B40EFC">
        <w:rPr>
          <w:rFonts w:cs="Arial"/>
          <w:sz w:val="22"/>
          <w:szCs w:val="22"/>
        </w:rPr>
        <w:t>recruitmentsurveys@deewr.gov.au</w:t>
      </w:r>
    </w:hyperlink>
    <w:r w:rsidRPr="00B40EFC">
      <w:rPr>
        <w:rFonts w:cs="Arial"/>
        <w:sz w:val="22"/>
        <w:szCs w:val="22"/>
      </w:rPr>
      <w:tab/>
    </w:r>
    <w:r>
      <w:rPr>
        <w:rFonts w:cs="Arial"/>
        <w:sz w:val="22"/>
        <w:szCs w:val="22"/>
      </w:rPr>
      <w:tab/>
    </w:r>
    <w:r w:rsidRPr="00B40EFC">
      <w:rPr>
        <w:rFonts w:cs="Arial"/>
        <w:sz w:val="22"/>
        <w:szCs w:val="22"/>
      </w:rPr>
      <w:t>ABN: 63 578 775 294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Pr="00036DB5" w:rsidRDefault="00C07421" w:rsidP="00036DB5">
    <w:pPr>
      <w:pStyle w:val="Foo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A950F3" w:rsidP="005C12C7">
    <w:pPr>
      <w:pStyle w:val="Footer"/>
      <w:framePr w:wrap="around" w:vAnchor="text" w:hAnchor="margin" w:xAlign="right" w:y="1"/>
      <w:rPr>
        <w:rStyle w:val="PageNumber"/>
      </w:rPr>
    </w:pPr>
    <w:r>
      <w:rPr>
        <w:rStyle w:val="PageNumber"/>
      </w:rPr>
      <w:fldChar w:fldCharType="begin"/>
    </w:r>
    <w:r w:rsidR="00C07421">
      <w:rPr>
        <w:rStyle w:val="PageNumber"/>
      </w:rPr>
      <w:instrText xml:space="preserve">PAGE  </w:instrText>
    </w:r>
    <w:r>
      <w:rPr>
        <w:rStyle w:val="PageNumber"/>
      </w:rPr>
      <w:fldChar w:fldCharType="end"/>
    </w:r>
  </w:p>
  <w:p w:rsidR="00C07421" w:rsidRDefault="00C07421" w:rsidP="007F5A47">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Pr="001563C0" w:rsidRDefault="00C07421" w:rsidP="00AB2D4B">
    <w:pPr>
      <w:spacing w:before="0" w:after="180"/>
      <w:ind w:left="-540" w:right="4854"/>
      <w:rPr>
        <w:rFonts w:cs="Arial"/>
        <w:sz w:val="22"/>
        <w:szCs w:val="22"/>
      </w:rPr>
    </w:pPr>
    <w:r w:rsidRPr="001563C0">
      <w:rPr>
        <w:rFonts w:cs="Arial"/>
        <w:sz w:val="22"/>
        <w:szCs w:val="22"/>
      </w:rPr>
      <w:t xml:space="preserve">This report was prepared by the Labour </w:t>
    </w:r>
    <w:r>
      <w:rPr>
        <w:rFonts w:cs="Arial"/>
        <w:sz w:val="22"/>
        <w:szCs w:val="22"/>
      </w:rPr>
      <w:t>Market Research and Analysis</w:t>
    </w:r>
    <w:r w:rsidRPr="001563C0">
      <w:rPr>
        <w:rFonts w:cs="Arial"/>
        <w:sz w:val="22"/>
        <w:szCs w:val="22"/>
      </w:rPr>
      <w:t xml:space="preserve"> Branch and is based on research conducted by the branch.</w:t>
    </w:r>
  </w:p>
  <w:p w:rsidR="00C07421" w:rsidRDefault="00C07421" w:rsidP="00AB2D4B">
    <w:pPr>
      <w:tabs>
        <w:tab w:val="right" w:pos="9360"/>
      </w:tabs>
      <w:spacing w:before="0" w:after="180"/>
      <w:ind w:left="-540"/>
      <w:rPr>
        <w:rFonts w:cs="Arial"/>
        <w:sz w:val="22"/>
        <w:szCs w:val="22"/>
      </w:rPr>
    </w:pPr>
    <w:r w:rsidRPr="00AB2D4B">
      <w:rPr>
        <w:rFonts w:cs="Arial"/>
        <w:sz w:val="22"/>
        <w:szCs w:val="22"/>
      </w:rPr>
      <w:t>For further information:</w:t>
    </w:r>
    <w:r>
      <w:rPr>
        <w:rFonts w:cs="Arial"/>
        <w:sz w:val="22"/>
        <w:szCs w:val="22"/>
      </w:rPr>
      <w:tab/>
    </w:r>
    <w:r>
      <w:rPr>
        <w:rFonts w:cs="Arial"/>
        <w:sz w:val="22"/>
        <w:szCs w:val="22"/>
      </w:rPr>
      <w:tab/>
    </w:r>
    <w:r w:rsidRPr="00AB2D4B">
      <w:rPr>
        <w:rFonts w:cs="Arial"/>
        <w:sz w:val="22"/>
        <w:szCs w:val="22"/>
      </w:rPr>
      <w:t>www.deewr.gov.au</w:t>
    </w:r>
    <w:r w:rsidRPr="00AB2D4B">
      <w:rPr>
        <w:rFonts w:cs="Arial"/>
        <w:sz w:val="22"/>
        <w:szCs w:val="22"/>
      </w:rPr>
      <w:br/>
      <w:t xml:space="preserve">Ph: 1800 059 439 | </w:t>
    </w:r>
    <w:hyperlink r:id="rId1" w:history="1">
      <w:r w:rsidRPr="00AB2D4B">
        <w:t>recruitmentsurveys@deewr.gov.au</w:t>
      </w:r>
    </w:hyperlink>
    <w:r w:rsidRPr="00AB2D4B">
      <w:rPr>
        <w:rFonts w:cs="Arial"/>
        <w:sz w:val="22"/>
        <w:szCs w:val="22"/>
      </w:rPr>
      <w:tab/>
      <w:t>ABN: 63 578 775 294</w:t>
    </w:r>
  </w:p>
  <w:p w:rsidR="00C07421" w:rsidRPr="00AB2D4B" w:rsidRDefault="00C07421" w:rsidP="00AB2D4B">
    <w:pPr>
      <w:tabs>
        <w:tab w:val="right" w:pos="9360"/>
      </w:tabs>
      <w:spacing w:before="0" w:after="180"/>
      <w:ind w:left="-540"/>
      <w:rPr>
        <w:rFonts w:cs="Arial"/>
        <w:sz w:val="22"/>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rsidP="00FC2F33">
    <w:pPr>
      <w:tabs>
        <w:tab w:val="left" w:pos="3119"/>
      </w:tabs>
      <w:ind w:left="3119" w:right="-28" w:firstLine="283"/>
      <w:jc w:val="left"/>
      <w:rPr>
        <w:sz w:val="22"/>
        <w:szCs w:val="22"/>
      </w:rPr>
    </w:pPr>
    <w:r>
      <w:rPr>
        <w:noProof/>
      </w:rPr>
      <w:drawing>
        <wp:anchor distT="0" distB="0" distL="114300" distR="114300" simplePos="0" relativeHeight="251655168" behindDoc="1" locked="0" layoutInCell="1" allowOverlap="1">
          <wp:simplePos x="0" y="0"/>
          <wp:positionH relativeFrom="column">
            <wp:posOffset>-711200</wp:posOffset>
          </wp:positionH>
          <wp:positionV relativeFrom="paragraph">
            <wp:posOffset>-379095</wp:posOffset>
          </wp:positionV>
          <wp:extent cx="7569200" cy="984250"/>
          <wp:effectExtent l="19050" t="0" r="0" b="0"/>
          <wp:wrapNone/>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7569200" cy="984250"/>
                  </a:xfrm>
                  <a:prstGeom prst="rect">
                    <a:avLst/>
                  </a:prstGeom>
                  <a:noFill/>
                  <a:ln w="9525">
                    <a:noFill/>
                    <a:miter lim="800000"/>
                    <a:headEnd/>
                    <a:tailEnd/>
                  </a:ln>
                </pic:spPr>
              </pic:pic>
            </a:graphicData>
          </a:graphic>
        </wp:anchor>
      </w:drawing>
    </w:r>
    <w:r>
      <w:rPr>
        <w:sz w:val="22"/>
        <w:szCs w:val="22"/>
      </w:rPr>
      <w:t xml:space="preserve">Labour Market </w:t>
    </w:r>
    <w:r w:rsidR="00EA250C">
      <w:rPr>
        <w:sz w:val="22"/>
        <w:szCs w:val="22"/>
      </w:rPr>
      <w:t xml:space="preserve">Research and </w:t>
    </w:r>
    <w:r>
      <w:rPr>
        <w:sz w:val="22"/>
        <w:szCs w:val="22"/>
      </w:rPr>
      <w:t>Analysis Branch</w:t>
    </w:r>
  </w:p>
  <w:p w:rsidR="00C07421" w:rsidRPr="00B25002" w:rsidRDefault="00C07421" w:rsidP="00FC2F33">
    <w:pPr>
      <w:tabs>
        <w:tab w:val="left" w:pos="3119"/>
      </w:tabs>
      <w:ind w:left="3119" w:right="-28" w:firstLine="283"/>
      <w:jc w:val="left"/>
      <w:rPr>
        <w:sz w:val="22"/>
        <w:szCs w:val="22"/>
      </w:rPr>
    </w:pPr>
    <w:r w:rsidRPr="00B25002">
      <w:rPr>
        <w:sz w:val="22"/>
        <w:szCs w:val="22"/>
      </w:rPr>
      <w:t>Department of Education, Employment and Workplace Relations</w:t>
    </w:r>
    <w:r w:rsidRPr="00B25002">
      <w:rPr>
        <w:sz w:val="22"/>
        <w:szCs w:val="22"/>
      </w:rPr>
      <w:tab/>
    </w:r>
    <w:r w:rsidR="00A950F3">
      <w:rPr>
        <w:rStyle w:val="PageNumber"/>
      </w:rPr>
      <w:fldChar w:fldCharType="begin"/>
    </w:r>
    <w:r>
      <w:rPr>
        <w:rStyle w:val="PageNumber"/>
      </w:rPr>
      <w:instrText xml:space="preserve"> PAGE </w:instrText>
    </w:r>
    <w:r w:rsidR="00A950F3">
      <w:rPr>
        <w:rStyle w:val="PageNumber"/>
      </w:rPr>
      <w:fldChar w:fldCharType="separate"/>
    </w:r>
    <w:r w:rsidR="0076368D">
      <w:rPr>
        <w:rStyle w:val="PageNumber"/>
        <w:noProof/>
      </w:rPr>
      <w:t>ii</w:t>
    </w:r>
    <w:r w:rsidR="00A950F3">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rsidP="00FC2F33">
    <w:pPr>
      <w:tabs>
        <w:tab w:val="left" w:pos="3119"/>
      </w:tabs>
      <w:ind w:left="3119" w:right="-28" w:firstLine="283"/>
      <w:jc w:val="left"/>
      <w:rPr>
        <w:sz w:val="22"/>
        <w:szCs w:val="22"/>
      </w:rPr>
    </w:pPr>
    <w:r>
      <w:rPr>
        <w:noProof/>
        <w:sz w:val="22"/>
        <w:szCs w:val="22"/>
      </w:rPr>
      <w:drawing>
        <wp:anchor distT="0" distB="0" distL="114300" distR="114300" simplePos="0" relativeHeight="251660288" behindDoc="1" locked="0" layoutInCell="1" allowOverlap="1">
          <wp:simplePos x="0" y="0"/>
          <wp:positionH relativeFrom="column">
            <wp:posOffset>-683895</wp:posOffset>
          </wp:positionH>
          <wp:positionV relativeFrom="paragraph">
            <wp:posOffset>153670</wp:posOffset>
          </wp:positionV>
          <wp:extent cx="7543800" cy="1199515"/>
          <wp:effectExtent l="19050" t="0" r="0" b="0"/>
          <wp:wrapNone/>
          <wp:docPr id="16" name="Picture 16"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er"/>
                  <pic:cNvPicPr>
                    <a:picLocks noChangeAspect="1" noChangeArrowheads="1"/>
                  </pic:cNvPicPr>
                </pic:nvPicPr>
                <pic:blipFill>
                  <a:blip r:embed="rId1"/>
                  <a:srcRect/>
                  <a:stretch>
                    <a:fillRect/>
                  </a:stretch>
                </pic:blipFill>
                <pic:spPr bwMode="auto">
                  <a:xfrm>
                    <a:off x="0" y="0"/>
                    <a:ext cx="7543800" cy="1199515"/>
                  </a:xfrm>
                  <a:prstGeom prst="rect">
                    <a:avLst/>
                  </a:prstGeom>
                  <a:noFill/>
                  <a:ln w="9525">
                    <a:noFill/>
                    <a:miter lim="800000"/>
                    <a:headEnd/>
                    <a:tailEnd/>
                  </a:ln>
                </pic:spPr>
              </pic:pic>
            </a:graphicData>
          </a:graphic>
        </wp:anchor>
      </w:drawing>
    </w:r>
  </w:p>
  <w:p w:rsidR="00C07421" w:rsidRDefault="00C07421" w:rsidP="00FC2F33">
    <w:pPr>
      <w:tabs>
        <w:tab w:val="left" w:pos="3119"/>
      </w:tabs>
      <w:ind w:left="3119" w:right="-28" w:firstLine="283"/>
      <w:jc w:val="left"/>
      <w:rPr>
        <w:sz w:val="22"/>
        <w:szCs w:val="22"/>
      </w:rPr>
    </w:pPr>
  </w:p>
  <w:p w:rsidR="00C07421" w:rsidRDefault="00C07421" w:rsidP="00FC2F33">
    <w:pPr>
      <w:tabs>
        <w:tab w:val="left" w:pos="3119"/>
      </w:tabs>
      <w:ind w:left="3119" w:right="-28" w:firstLine="283"/>
      <w:jc w:val="left"/>
      <w:rPr>
        <w:sz w:val="22"/>
        <w:szCs w:val="22"/>
      </w:rPr>
    </w:pPr>
    <w:r>
      <w:rPr>
        <w:noProof/>
      </w:rPr>
      <w:drawing>
        <wp:anchor distT="0" distB="0" distL="114300" distR="114300" simplePos="0" relativeHeight="251667456" behindDoc="1" locked="0" layoutInCell="1" allowOverlap="1">
          <wp:simplePos x="0" y="0"/>
          <wp:positionH relativeFrom="column">
            <wp:posOffset>-711200</wp:posOffset>
          </wp:positionH>
          <wp:positionV relativeFrom="paragraph">
            <wp:posOffset>-379095</wp:posOffset>
          </wp:positionV>
          <wp:extent cx="7569200" cy="984250"/>
          <wp:effectExtent l="19050" t="0" r="0" b="0"/>
          <wp:wrapNone/>
          <wp:docPr id="10"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7569200" cy="984250"/>
                  </a:xfrm>
                  <a:prstGeom prst="rect">
                    <a:avLst/>
                  </a:prstGeom>
                  <a:noFill/>
                  <a:ln w="9525">
                    <a:noFill/>
                    <a:miter lim="800000"/>
                    <a:headEnd/>
                    <a:tailEnd/>
                  </a:ln>
                </pic:spPr>
              </pic:pic>
            </a:graphicData>
          </a:graphic>
        </wp:anchor>
      </w:drawing>
    </w:r>
    <w:r>
      <w:rPr>
        <w:sz w:val="22"/>
        <w:szCs w:val="22"/>
      </w:rPr>
      <w:t xml:space="preserve">Labour Market </w:t>
    </w:r>
    <w:r w:rsidR="00EA250C">
      <w:rPr>
        <w:sz w:val="22"/>
        <w:szCs w:val="22"/>
      </w:rPr>
      <w:t xml:space="preserve">Research and Analysis </w:t>
    </w:r>
    <w:r>
      <w:rPr>
        <w:sz w:val="22"/>
        <w:szCs w:val="22"/>
      </w:rPr>
      <w:t>Branch</w:t>
    </w:r>
  </w:p>
  <w:p w:rsidR="00C07421" w:rsidRPr="00B25002" w:rsidRDefault="00C07421" w:rsidP="00B041FC">
    <w:pPr>
      <w:ind w:left="2160" w:right="-28" w:firstLine="1260"/>
      <w:jc w:val="left"/>
      <w:rPr>
        <w:sz w:val="22"/>
        <w:szCs w:val="22"/>
      </w:rPr>
    </w:pPr>
    <w:r w:rsidRPr="00B25002">
      <w:rPr>
        <w:sz w:val="22"/>
        <w:szCs w:val="22"/>
      </w:rPr>
      <w:t>Department of Education, Employment and Workplace Relations</w:t>
    </w:r>
    <w:r w:rsidRPr="00B25002">
      <w:rPr>
        <w:sz w:val="22"/>
        <w:szCs w:val="22"/>
      </w:rPr>
      <w:tab/>
    </w:r>
    <w:r w:rsidR="00A950F3">
      <w:rPr>
        <w:rStyle w:val="PageNumber"/>
      </w:rPr>
      <w:fldChar w:fldCharType="begin"/>
    </w:r>
    <w:r>
      <w:rPr>
        <w:rStyle w:val="PageNumber"/>
      </w:rPr>
      <w:instrText xml:space="preserve"> PAGE </w:instrText>
    </w:r>
    <w:r w:rsidR="00A950F3">
      <w:rPr>
        <w:rStyle w:val="PageNumber"/>
      </w:rPr>
      <w:fldChar w:fldCharType="separate"/>
    </w:r>
    <w:r w:rsidR="0076368D">
      <w:rPr>
        <w:rStyle w:val="PageNumber"/>
        <w:noProof/>
      </w:rPr>
      <w:t>1</w:t>
    </w:r>
    <w:r w:rsidR="00A950F3">
      <w:rPr>
        <w:rStyle w:val="PageNumber"/>
      </w:rPr>
      <w:fldChar w:fldCharType="end"/>
    </w:r>
    <w:r w:rsidRPr="00B25002">
      <w:rPr>
        <w:sz w:val="22"/>
        <w:szCs w:val="22"/>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Pr="001563C0" w:rsidRDefault="00C07421" w:rsidP="00B40EFC">
    <w:pPr>
      <w:spacing w:before="0" w:after="180"/>
      <w:ind w:left="-540" w:right="2514"/>
      <w:rPr>
        <w:rFonts w:cs="Arial"/>
        <w:sz w:val="22"/>
        <w:szCs w:val="22"/>
      </w:rPr>
    </w:pPr>
    <w:r w:rsidRPr="001563C0">
      <w:rPr>
        <w:rFonts w:cs="Arial"/>
        <w:sz w:val="22"/>
        <w:szCs w:val="22"/>
      </w:rPr>
      <w:t>This report was prepared by the Labour</w:t>
    </w:r>
    <w:r>
      <w:rPr>
        <w:rFonts w:cs="Arial"/>
        <w:sz w:val="22"/>
        <w:szCs w:val="22"/>
      </w:rPr>
      <w:t xml:space="preserve"> Market</w:t>
    </w:r>
    <w:r w:rsidRPr="001563C0">
      <w:rPr>
        <w:rFonts w:cs="Arial"/>
        <w:sz w:val="22"/>
        <w:szCs w:val="22"/>
      </w:rPr>
      <w:t xml:space="preserve"> </w:t>
    </w:r>
    <w:r>
      <w:rPr>
        <w:rFonts w:cs="Arial"/>
        <w:sz w:val="22"/>
        <w:szCs w:val="22"/>
      </w:rPr>
      <w:t>Research and Analysis</w:t>
    </w:r>
    <w:r w:rsidRPr="001563C0">
      <w:rPr>
        <w:rFonts w:cs="Arial"/>
        <w:sz w:val="22"/>
        <w:szCs w:val="22"/>
      </w:rPr>
      <w:t xml:space="preserve"> Branch and is base</w:t>
    </w:r>
    <w:r>
      <w:rPr>
        <w:rFonts w:cs="Arial"/>
        <w:sz w:val="22"/>
        <w:szCs w:val="22"/>
      </w:rPr>
      <w:t>d on research conducted by the B</w:t>
    </w:r>
    <w:r w:rsidRPr="001563C0">
      <w:rPr>
        <w:rFonts w:cs="Arial"/>
        <w:sz w:val="22"/>
        <w:szCs w:val="22"/>
      </w:rPr>
      <w:t>ranch.</w:t>
    </w:r>
  </w:p>
  <w:p w:rsidR="00C07421" w:rsidRPr="00B40EFC" w:rsidRDefault="00C07421" w:rsidP="00E621B6">
    <w:pPr>
      <w:tabs>
        <w:tab w:val="left" w:pos="7200"/>
      </w:tabs>
      <w:spacing w:before="0" w:after="180"/>
      <w:ind w:left="-540" w:right="4854"/>
      <w:jc w:val="left"/>
      <w:rPr>
        <w:rFonts w:cs="Arial"/>
        <w:sz w:val="22"/>
        <w:szCs w:val="22"/>
      </w:rPr>
    </w:pPr>
    <w:r w:rsidRPr="00B40EFC">
      <w:rPr>
        <w:rFonts w:cs="Arial"/>
        <w:sz w:val="22"/>
        <w:szCs w:val="22"/>
      </w:rPr>
      <w:t>For further information:</w:t>
    </w:r>
    <w:r w:rsidRPr="00B40EFC">
      <w:rPr>
        <w:rFonts w:cs="Arial"/>
        <w:sz w:val="22"/>
        <w:szCs w:val="22"/>
      </w:rPr>
      <w:tab/>
    </w:r>
    <w:r w:rsidRPr="00B40EFC">
      <w:rPr>
        <w:rFonts w:cs="Arial"/>
        <w:sz w:val="22"/>
        <w:szCs w:val="22"/>
      </w:rPr>
      <w:tab/>
      <w:t>ww</w:t>
    </w:r>
    <w:r>
      <w:rPr>
        <w:rFonts w:cs="Arial"/>
        <w:sz w:val="22"/>
        <w:szCs w:val="22"/>
      </w:rPr>
      <w:t>w.deewr.gov.au</w:t>
    </w:r>
    <w:r>
      <w:rPr>
        <w:rFonts w:cs="Arial"/>
        <w:sz w:val="22"/>
        <w:szCs w:val="22"/>
      </w:rPr>
      <w:br/>
    </w:r>
    <w:r w:rsidRPr="00AB2D4B">
      <w:rPr>
        <w:rFonts w:cs="Arial"/>
        <w:sz w:val="22"/>
        <w:szCs w:val="22"/>
      </w:rPr>
      <w:t xml:space="preserve">Ph: 1800 059 439 | </w:t>
    </w:r>
    <w:hyperlink r:id="rId1" w:history="1">
      <w:r w:rsidRPr="00AB2D4B">
        <w:t>recruitmentsurveys@deewr.gov.au</w:t>
      </w:r>
    </w:hyperlink>
    <w:r w:rsidRPr="00AB2D4B">
      <w:rPr>
        <w:rFonts w:cs="Arial"/>
        <w:sz w:val="22"/>
        <w:szCs w:val="22"/>
      </w:rPr>
      <w:tab/>
    </w:r>
    <w:r>
      <w:rPr>
        <w:rFonts w:cs="Arial"/>
        <w:sz w:val="22"/>
        <w:szCs w:val="22"/>
      </w:rPr>
      <w:tab/>
    </w:r>
    <w:r w:rsidRPr="00AB2D4B">
      <w:rPr>
        <w:rFonts w:cs="Arial"/>
        <w:sz w:val="22"/>
        <w:szCs w:val="22"/>
      </w:rPr>
      <w:t>ABN: 63 578 775 294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421" w:rsidRDefault="00C07421">
      <w:r>
        <w:separator/>
      </w:r>
    </w:p>
  </w:footnote>
  <w:footnote w:type="continuationSeparator" w:id="0">
    <w:p w:rsidR="00C07421" w:rsidRDefault="00C07421">
      <w:r>
        <w:continuationSeparator/>
      </w:r>
    </w:p>
  </w:footnote>
  <w:footnote w:id="1">
    <w:p w:rsidR="006A6667" w:rsidRPr="000C7A26" w:rsidRDefault="006A6667" w:rsidP="006A6667">
      <w:pPr>
        <w:pStyle w:val="FootnoteText"/>
        <w:contextualSpacing/>
        <w:rPr>
          <w:rFonts w:asciiTheme="minorHAnsi" w:hAnsiTheme="minorHAnsi" w:cstheme="minorHAnsi"/>
          <w:sz w:val="20"/>
          <w:lang w:val="en-AU"/>
        </w:rPr>
      </w:pPr>
      <w:r w:rsidRPr="000C7A26">
        <w:rPr>
          <w:rStyle w:val="FootnoteReference"/>
          <w:rFonts w:asciiTheme="minorHAnsi" w:hAnsiTheme="minorHAnsi" w:cstheme="minorHAnsi"/>
          <w:sz w:val="20"/>
        </w:rPr>
        <w:footnoteRef/>
      </w:r>
      <w:r w:rsidRPr="000C7A26">
        <w:rPr>
          <w:rFonts w:asciiTheme="minorHAnsi" w:hAnsiTheme="minorHAnsi" w:cstheme="minorHAnsi"/>
          <w:sz w:val="20"/>
        </w:rPr>
        <w:t xml:space="preserve"> </w:t>
      </w:r>
      <w:r w:rsidRPr="000C7A26">
        <w:rPr>
          <w:rFonts w:asciiTheme="minorHAnsi" w:hAnsiTheme="minorHAnsi" w:cstheme="minorHAnsi"/>
          <w:sz w:val="20"/>
          <w:lang w:val="en-AU"/>
        </w:rPr>
        <w:t>ABS Estimated Resident Population, 2011.</w:t>
      </w:r>
    </w:p>
  </w:footnote>
  <w:footnote w:id="2">
    <w:p w:rsidR="006A6667" w:rsidRPr="000C7A26" w:rsidRDefault="006A6667" w:rsidP="006A6667">
      <w:pPr>
        <w:pStyle w:val="FootnoteText"/>
        <w:contextualSpacing/>
        <w:rPr>
          <w:rFonts w:asciiTheme="minorHAnsi" w:hAnsiTheme="minorHAnsi" w:cstheme="minorHAnsi"/>
          <w:sz w:val="20"/>
          <w:lang w:val="en-AU"/>
        </w:rPr>
      </w:pPr>
      <w:r w:rsidRPr="000C7A26">
        <w:rPr>
          <w:rStyle w:val="FootnoteReference"/>
          <w:rFonts w:asciiTheme="minorHAnsi" w:hAnsiTheme="minorHAnsi" w:cstheme="minorHAnsi"/>
          <w:sz w:val="20"/>
        </w:rPr>
        <w:footnoteRef/>
      </w:r>
      <w:r w:rsidRPr="000C7A26">
        <w:rPr>
          <w:rFonts w:asciiTheme="minorHAnsi" w:hAnsiTheme="minorHAnsi" w:cstheme="minorHAnsi"/>
          <w:sz w:val="20"/>
        </w:rPr>
        <w:t xml:space="preserve"> </w:t>
      </w:r>
      <w:r w:rsidRPr="000C7A26">
        <w:rPr>
          <w:rFonts w:asciiTheme="minorHAnsi" w:hAnsiTheme="minorHAnsi" w:cstheme="minorHAnsi"/>
          <w:sz w:val="20"/>
          <w:lang w:val="en-AU"/>
        </w:rPr>
        <w:t>Ibid.</w:t>
      </w:r>
    </w:p>
  </w:footnote>
  <w:footnote w:id="3">
    <w:p w:rsidR="006A6667" w:rsidRPr="000C7A26" w:rsidRDefault="006A6667" w:rsidP="006A6667">
      <w:pPr>
        <w:pStyle w:val="FootnoteText"/>
        <w:contextualSpacing/>
        <w:rPr>
          <w:rFonts w:asciiTheme="minorHAnsi" w:hAnsiTheme="minorHAnsi" w:cstheme="minorHAnsi"/>
          <w:sz w:val="20"/>
          <w:lang w:val="en-AU"/>
        </w:rPr>
      </w:pPr>
      <w:r w:rsidRPr="000C7A26">
        <w:rPr>
          <w:rStyle w:val="FootnoteReference"/>
          <w:rFonts w:asciiTheme="minorHAnsi" w:hAnsiTheme="minorHAnsi" w:cstheme="minorHAnsi"/>
          <w:sz w:val="20"/>
        </w:rPr>
        <w:footnoteRef/>
      </w:r>
      <w:r w:rsidRPr="000C7A26">
        <w:rPr>
          <w:rFonts w:asciiTheme="minorHAnsi" w:hAnsiTheme="minorHAnsi" w:cstheme="minorHAnsi"/>
          <w:sz w:val="20"/>
        </w:rPr>
        <w:t xml:space="preserve"> </w:t>
      </w:r>
      <w:proofErr w:type="gramStart"/>
      <w:r w:rsidRPr="000C7A26">
        <w:rPr>
          <w:rFonts w:asciiTheme="minorHAnsi" w:hAnsiTheme="minorHAnsi" w:cstheme="minorHAnsi"/>
          <w:sz w:val="20"/>
          <w:lang w:val="en-AU"/>
        </w:rPr>
        <w:t>ABS Census of Population and Housing 2006.</w:t>
      </w:r>
      <w:proofErr w:type="gramEnd"/>
    </w:p>
  </w:footnote>
  <w:footnote w:id="4">
    <w:p w:rsidR="006A6667" w:rsidRPr="000C7A26" w:rsidRDefault="006A6667" w:rsidP="006A6667">
      <w:pPr>
        <w:pStyle w:val="FootnoteText"/>
        <w:contextualSpacing/>
        <w:rPr>
          <w:rFonts w:asciiTheme="minorHAnsi" w:hAnsiTheme="minorHAnsi" w:cstheme="minorHAnsi"/>
          <w:sz w:val="20"/>
          <w:lang w:val="en-AU"/>
        </w:rPr>
      </w:pPr>
      <w:r w:rsidRPr="000C7A26">
        <w:rPr>
          <w:rStyle w:val="FootnoteReference"/>
          <w:rFonts w:asciiTheme="minorHAnsi" w:hAnsiTheme="minorHAnsi" w:cstheme="minorHAnsi"/>
          <w:sz w:val="20"/>
        </w:rPr>
        <w:footnoteRef/>
      </w:r>
      <w:r w:rsidRPr="000C7A26">
        <w:rPr>
          <w:rFonts w:asciiTheme="minorHAnsi" w:hAnsiTheme="minorHAnsi" w:cstheme="minorHAnsi"/>
          <w:sz w:val="20"/>
        </w:rPr>
        <w:t xml:space="preserve"> </w:t>
      </w:r>
      <w:r w:rsidRPr="000C7A26">
        <w:rPr>
          <w:rFonts w:asciiTheme="minorHAnsi" w:hAnsiTheme="minorHAnsi" w:cstheme="minorHAnsi"/>
          <w:sz w:val="20"/>
          <w:lang w:val="en-AU"/>
        </w:rPr>
        <w:t>DEEWR, Small Area Labour Markets June 2012</w:t>
      </w:r>
    </w:p>
  </w:footnote>
  <w:footnote w:id="5">
    <w:p w:rsidR="006A6667" w:rsidRPr="000C7A26" w:rsidRDefault="006A6667" w:rsidP="006A6667">
      <w:pPr>
        <w:pStyle w:val="FootnoteText"/>
        <w:contextualSpacing/>
        <w:rPr>
          <w:rFonts w:asciiTheme="minorHAnsi" w:hAnsiTheme="minorHAnsi" w:cstheme="minorHAnsi"/>
          <w:sz w:val="20"/>
          <w:lang w:val="en-AU"/>
        </w:rPr>
      </w:pPr>
      <w:r w:rsidRPr="000C7A26">
        <w:rPr>
          <w:rStyle w:val="FootnoteReference"/>
          <w:rFonts w:asciiTheme="minorHAnsi" w:hAnsiTheme="minorHAnsi" w:cstheme="minorHAnsi"/>
          <w:sz w:val="20"/>
        </w:rPr>
        <w:footnoteRef/>
      </w:r>
      <w:r w:rsidRPr="000C7A26">
        <w:rPr>
          <w:rFonts w:asciiTheme="minorHAnsi" w:hAnsiTheme="minorHAnsi" w:cstheme="minorHAnsi"/>
          <w:sz w:val="20"/>
        </w:rPr>
        <w:t xml:space="preserve"> </w:t>
      </w:r>
      <w:r w:rsidRPr="000C7A26">
        <w:rPr>
          <w:rFonts w:asciiTheme="minorHAnsi" w:hAnsiTheme="minorHAnsi" w:cstheme="minorHAnsi"/>
          <w:sz w:val="20"/>
          <w:lang w:val="en-AU"/>
        </w:rPr>
        <w:t>Ibid.</w:t>
      </w:r>
    </w:p>
  </w:footnote>
  <w:footnote w:id="6">
    <w:p w:rsidR="006A6667" w:rsidRPr="000C7A26" w:rsidRDefault="006A6667" w:rsidP="006A6667">
      <w:pPr>
        <w:pStyle w:val="FootnoteText"/>
        <w:contextualSpacing/>
        <w:rPr>
          <w:rFonts w:asciiTheme="minorHAnsi" w:hAnsiTheme="minorHAnsi" w:cstheme="minorHAnsi"/>
          <w:sz w:val="20"/>
          <w:lang w:val="en-AU"/>
        </w:rPr>
      </w:pPr>
      <w:r w:rsidRPr="00600557">
        <w:rPr>
          <w:rStyle w:val="FootnoteReference"/>
          <w:rFonts w:asciiTheme="minorHAnsi" w:hAnsiTheme="minorHAnsi" w:cstheme="minorHAnsi"/>
          <w:sz w:val="20"/>
        </w:rPr>
        <w:footnoteRef/>
      </w:r>
      <w:r>
        <w:t xml:space="preserve"> </w:t>
      </w:r>
      <w:r w:rsidRPr="000C7A26">
        <w:rPr>
          <w:rFonts w:asciiTheme="minorHAnsi" w:hAnsiTheme="minorHAnsi" w:cstheme="minorHAnsi"/>
          <w:sz w:val="20"/>
        </w:rPr>
        <w:t>The Other Services industry includes a broad range of personal services, such as hairdressing; religious, civil, professional and other interest groups; and selected repair and maintenance activities, including automotive repair.</w:t>
      </w:r>
    </w:p>
  </w:footnote>
  <w:footnote w:id="7">
    <w:p w:rsidR="006A6667" w:rsidRPr="000C7A26" w:rsidRDefault="006A6667" w:rsidP="006A6667">
      <w:pPr>
        <w:pStyle w:val="FootnoteText"/>
        <w:rPr>
          <w:rFonts w:asciiTheme="minorHAnsi" w:hAnsiTheme="minorHAnsi" w:cstheme="minorHAnsi"/>
          <w:sz w:val="20"/>
          <w:lang w:val="en-AU"/>
        </w:rPr>
      </w:pPr>
      <w:r w:rsidRPr="000C7A26">
        <w:rPr>
          <w:rStyle w:val="FootnoteReference"/>
          <w:rFonts w:asciiTheme="minorHAnsi" w:hAnsiTheme="minorHAnsi" w:cstheme="minorHAnsi"/>
          <w:sz w:val="20"/>
        </w:rPr>
        <w:footnoteRef/>
      </w:r>
      <w:r w:rsidRPr="000C7A26">
        <w:rPr>
          <w:rFonts w:asciiTheme="minorHAnsi" w:hAnsiTheme="minorHAnsi" w:cstheme="minorHAnsi"/>
          <w:sz w:val="20"/>
        </w:rPr>
        <w:t xml:space="preserve"> </w:t>
      </w:r>
      <w:proofErr w:type="gramStart"/>
      <w:r w:rsidRPr="000C7A26">
        <w:rPr>
          <w:rFonts w:asciiTheme="minorHAnsi" w:hAnsiTheme="minorHAnsi" w:cstheme="minorHAnsi"/>
          <w:sz w:val="20"/>
          <w:lang w:val="en-AU"/>
        </w:rPr>
        <w:t>Based on employers recruitment experiences in the six months preceding the survey in March 2012.</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Header"/>
    </w:pPr>
    <w:r>
      <w:rPr>
        <w:noProof/>
      </w:rPr>
      <w:drawing>
        <wp:anchor distT="0" distB="0" distL="114300" distR="114300" simplePos="0" relativeHeight="251657216" behindDoc="1" locked="0" layoutInCell="1" allowOverlap="1">
          <wp:simplePos x="0" y="0"/>
          <wp:positionH relativeFrom="column">
            <wp:posOffset>-368300</wp:posOffset>
          </wp:positionH>
          <wp:positionV relativeFrom="paragraph">
            <wp:posOffset>1386840</wp:posOffset>
          </wp:positionV>
          <wp:extent cx="5177155" cy="2223770"/>
          <wp:effectExtent l="19050" t="0" r="4445" b="0"/>
          <wp:wrapNone/>
          <wp:docPr id="4" name="Picture 4" descr="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s"/>
                  <pic:cNvPicPr>
                    <a:picLocks noChangeAspect="1" noChangeArrowheads="1"/>
                  </pic:cNvPicPr>
                </pic:nvPicPr>
                <pic:blipFill>
                  <a:blip r:embed="rId1"/>
                  <a:srcRect/>
                  <a:stretch>
                    <a:fillRect/>
                  </a:stretch>
                </pic:blipFill>
                <pic:spPr bwMode="auto">
                  <a:xfrm>
                    <a:off x="0" y="0"/>
                    <a:ext cx="5177155" cy="222377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A950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21" type="#_x0000_t75" style="position:absolute;left:0;text-align:left;margin-left:-1in;margin-top:-20.15pt;width:595.45pt;height:90.4pt;z-index:-251654144">
          <v:imagedata r:id="rId1" o:title="header_crest"/>
        </v:shape>
      </w:pict>
    </w:r>
    <w:r>
      <w:rPr>
        <w:noProof/>
      </w:rPr>
      <w:pict>
        <v:shape id="_x0000_s107522" type="#_x0000_t75" style="position:absolute;left:0;text-align:left;margin-left:-1in;margin-top:389.7pt;width:596pt;height:199.55pt;z-index:-251653120">
          <v:imagedata r:id="rId2" o:title="PP_Background"/>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Header"/>
    </w:pPr>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-370205</wp:posOffset>
          </wp:positionV>
          <wp:extent cx="7562215" cy="1148080"/>
          <wp:effectExtent l="19050" t="0" r="635" b="0"/>
          <wp:wrapNone/>
          <wp:docPr id="5" name="Picture 5" descr="heade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_crest"/>
                  <pic:cNvPicPr>
                    <a:picLocks noChangeAspect="1" noChangeArrowheads="1"/>
                  </pic:cNvPicPr>
                </pic:nvPicPr>
                <pic:blipFill>
                  <a:blip r:embed="rId1"/>
                  <a:srcRect/>
                  <a:stretch>
                    <a:fillRect/>
                  </a:stretch>
                </pic:blipFill>
                <pic:spPr bwMode="auto">
                  <a:xfrm>
                    <a:off x="0" y="0"/>
                    <a:ext cx="7562215" cy="114808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4887595</wp:posOffset>
          </wp:positionV>
          <wp:extent cx="7569200" cy="2534285"/>
          <wp:effectExtent l="19050" t="0" r="0" b="0"/>
          <wp:wrapNone/>
          <wp:docPr id="6" name="Picture 6" descr="PP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_Background"/>
                  <pic:cNvPicPr>
                    <a:picLocks noChangeAspect="1" noChangeArrowheads="1"/>
                  </pic:cNvPicPr>
                </pic:nvPicPr>
                <pic:blipFill>
                  <a:blip r:embed="rId2"/>
                  <a:srcRect/>
                  <a:stretch>
                    <a:fillRect/>
                  </a:stretch>
                </pic:blipFill>
                <pic:spPr bwMode="auto">
                  <a:xfrm>
                    <a:off x="0" y="0"/>
                    <a:ext cx="7569200" cy="2534285"/>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Header"/>
    </w:pPr>
    <w:r>
      <w:rPr>
        <w:noProof/>
      </w:rPr>
      <w:drawing>
        <wp:anchor distT="0" distB="0" distL="114300" distR="114300" simplePos="0" relativeHeight="251656192" behindDoc="1" locked="0" layoutInCell="1" allowOverlap="1">
          <wp:simplePos x="0" y="0"/>
          <wp:positionH relativeFrom="column">
            <wp:posOffset>-203200</wp:posOffset>
          </wp:positionH>
          <wp:positionV relativeFrom="paragraph">
            <wp:posOffset>494030</wp:posOffset>
          </wp:positionV>
          <wp:extent cx="2467610" cy="635000"/>
          <wp:effectExtent l="0" t="0" r="0" b="0"/>
          <wp:wrapNone/>
          <wp:docPr id="3" name="Picture 3" descr="background_foo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ground_footer3"/>
                  <pic:cNvPicPr>
                    <a:picLocks noChangeAspect="1" noChangeArrowheads="1"/>
                  </pic:cNvPicPr>
                </pic:nvPicPr>
                <pic:blipFill>
                  <a:blip r:embed="rId1"/>
                  <a:srcRect/>
                  <a:stretch>
                    <a:fillRect/>
                  </a:stretch>
                </pic:blipFill>
                <pic:spPr bwMode="auto">
                  <a:xfrm>
                    <a:off x="0" y="0"/>
                    <a:ext cx="2467610" cy="635000"/>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Pr="00EC6D8F" w:rsidRDefault="00C07421" w:rsidP="00EC6D8F">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421" w:rsidRDefault="00C07421">
    <w:pPr>
      <w:pStyle w:val="Header"/>
    </w:pPr>
    <w:r>
      <w:rPr>
        <w:noProof/>
      </w:rPr>
      <w:drawing>
        <wp:anchor distT="0" distB="0" distL="114300" distR="114300" simplePos="0" relativeHeight="251665408" behindDoc="1" locked="0" layoutInCell="1" allowOverlap="1">
          <wp:simplePos x="0" y="0"/>
          <wp:positionH relativeFrom="column">
            <wp:posOffset>-368300</wp:posOffset>
          </wp:positionH>
          <wp:positionV relativeFrom="paragraph">
            <wp:posOffset>1386840</wp:posOffset>
          </wp:positionV>
          <wp:extent cx="5177155" cy="2223770"/>
          <wp:effectExtent l="19050" t="0" r="4445" b="0"/>
          <wp:wrapNone/>
          <wp:docPr id="7" name="Picture 4" descr="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s"/>
                  <pic:cNvPicPr>
                    <a:picLocks noChangeAspect="1" noChangeArrowheads="1"/>
                  </pic:cNvPicPr>
                </pic:nvPicPr>
                <pic:blipFill>
                  <a:blip r:embed="rId1"/>
                  <a:srcRect/>
                  <a:stretch>
                    <a:fillRect/>
                  </a:stretch>
                </pic:blipFill>
                <pic:spPr bwMode="auto">
                  <a:xfrm>
                    <a:off x="0" y="0"/>
                    <a:ext cx="5177155" cy="22237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140A"/>
    <w:multiLevelType w:val="hybridMultilevel"/>
    <w:tmpl w:val="F15E2B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0E13BEC"/>
    <w:multiLevelType w:val="hybridMultilevel"/>
    <w:tmpl w:val="379E2660"/>
    <w:lvl w:ilvl="0" w:tplc="783AD48C">
      <w:start w:val="1"/>
      <w:numFmt w:val="bullet"/>
      <w:pStyle w:val="Style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1DC4A4B"/>
    <w:multiLevelType w:val="hybridMultilevel"/>
    <w:tmpl w:val="BCA45B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22E1586E"/>
    <w:multiLevelType w:val="hybridMultilevel"/>
    <w:tmpl w:val="85661A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770023"/>
    <w:multiLevelType w:val="hybridMultilevel"/>
    <w:tmpl w:val="931C0D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8B60560"/>
    <w:multiLevelType w:val="hybridMultilevel"/>
    <w:tmpl w:val="E07C875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9030037"/>
    <w:multiLevelType w:val="hybridMultilevel"/>
    <w:tmpl w:val="BC189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877EDD"/>
    <w:multiLevelType w:val="hybridMultilevel"/>
    <w:tmpl w:val="BF244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D5313A9"/>
    <w:multiLevelType w:val="hybridMultilevel"/>
    <w:tmpl w:val="F75C2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3312D49"/>
    <w:multiLevelType w:val="hybridMultilevel"/>
    <w:tmpl w:val="A43E54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711084"/>
    <w:multiLevelType w:val="hybridMultilevel"/>
    <w:tmpl w:val="50846D7E"/>
    <w:lvl w:ilvl="0" w:tplc="F0488102">
      <w:start w:val="1"/>
      <w:numFmt w:val="bullet"/>
      <w:pStyle w:val="Figure"/>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nsid w:val="409D1668"/>
    <w:multiLevelType w:val="hybridMultilevel"/>
    <w:tmpl w:val="9CAA92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85E7CEA"/>
    <w:multiLevelType w:val="hybridMultilevel"/>
    <w:tmpl w:val="E2160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872129C"/>
    <w:multiLevelType w:val="hybridMultilevel"/>
    <w:tmpl w:val="32CC1B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F4B3E44"/>
    <w:multiLevelType w:val="hybridMultilevel"/>
    <w:tmpl w:val="F69691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937DCC"/>
    <w:multiLevelType w:val="hybridMultilevel"/>
    <w:tmpl w:val="9124AEA2"/>
    <w:lvl w:ilvl="0" w:tplc="E1285C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15126C"/>
    <w:multiLevelType w:val="hybridMultilevel"/>
    <w:tmpl w:val="D00286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3F22D90"/>
    <w:multiLevelType w:val="hybridMultilevel"/>
    <w:tmpl w:val="D3D2DF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BCF57E2"/>
    <w:multiLevelType w:val="hybridMultilevel"/>
    <w:tmpl w:val="62249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633696"/>
    <w:multiLevelType w:val="hybridMultilevel"/>
    <w:tmpl w:val="9224F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9A4CD4"/>
    <w:multiLevelType w:val="hybridMultilevel"/>
    <w:tmpl w:val="303E26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7DE0B5D"/>
    <w:multiLevelType w:val="hybridMultilevel"/>
    <w:tmpl w:val="39AA7E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5017975"/>
    <w:multiLevelType w:val="multilevel"/>
    <w:tmpl w:val="18200138"/>
    <w:styleLink w:val="StyleBulleted"/>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7B6420F"/>
    <w:multiLevelType w:val="hybridMultilevel"/>
    <w:tmpl w:val="F9DC33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1"/>
  </w:num>
  <w:num w:numId="4">
    <w:abstractNumId w:val="25"/>
  </w:num>
  <w:num w:numId="5">
    <w:abstractNumId w:val="11"/>
  </w:num>
  <w:num w:numId="6">
    <w:abstractNumId w:val="22"/>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9"/>
  </w:num>
  <w:num w:numId="12">
    <w:abstractNumId w:val="6"/>
  </w:num>
  <w:num w:numId="13">
    <w:abstractNumId w:val="0"/>
  </w:num>
  <w:num w:numId="14">
    <w:abstractNumId w:val="12"/>
  </w:num>
  <w:num w:numId="15">
    <w:abstractNumId w:val="13"/>
  </w:num>
  <w:num w:numId="16">
    <w:abstractNumId w:val="7"/>
  </w:num>
  <w:num w:numId="17">
    <w:abstractNumId w:val="15"/>
  </w:num>
  <w:num w:numId="18">
    <w:abstractNumId w:val="3"/>
  </w:num>
  <w:num w:numId="19">
    <w:abstractNumId w:val="20"/>
  </w:num>
  <w:num w:numId="20">
    <w:abstractNumId w:val="4"/>
  </w:num>
  <w:num w:numId="21">
    <w:abstractNumId w:val="5"/>
  </w:num>
  <w:num w:numId="22">
    <w:abstractNumId w:val="9"/>
  </w:num>
  <w:num w:numId="23">
    <w:abstractNumId w:val="18"/>
  </w:num>
  <w:num w:numId="24">
    <w:abstractNumId w:val="21"/>
  </w:num>
  <w:num w:numId="25">
    <w:abstractNumId w:val="17"/>
  </w:num>
  <w:num w:numId="26">
    <w:abstractNumId w:val="14"/>
  </w:num>
  <w:num w:numId="2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001"/>
  <w:defaultTabStop w:val="720"/>
  <w:noPunctuationKerning/>
  <w:characterSpacingControl w:val="doNotCompress"/>
  <w:hdrShapeDefaults>
    <o:shapedefaults v:ext="edit" spidmax="107523"/>
    <o:shapelayout v:ext="edit">
      <o:idmap v:ext="edit" data="105"/>
    </o:shapelayout>
  </w:hdrShapeDefaults>
  <w:footnotePr>
    <w:footnote w:id="-1"/>
    <w:footnote w:id="0"/>
  </w:footnotePr>
  <w:endnotePr>
    <w:endnote w:id="-1"/>
    <w:endnote w:id="0"/>
  </w:endnotePr>
  <w:compat/>
  <w:docVars>
    <w:docVar w:name="_AMO_XmlVersion" w:val="Empty"/>
  </w:docVars>
  <w:rsids>
    <w:rsidRoot w:val="00CD1E41"/>
    <w:rsid w:val="00000522"/>
    <w:rsid w:val="00001CC2"/>
    <w:rsid w:val="00004E40"/>
    <w:rsid w:val="0000598E"/>
    <w:rsid w:val="00005FF6"/>
    <w:rsid w:val="000063D1"/>
    <w:rsid w:val="00006BDD"/>
    <w:rsid w:val="000079F1"/>
    <w:rsid w:val="00007D1F"/>
    <w:rsid w:val="00010297"/>
    <w:rsid w:val="00011E39"/>
    <w:rsid w:val="0001202C"/>
    <w:rsid w:val="0001222C"/>
    <w:rsid w:val="00012617"/>
    <w:rsid w:val="000127D7"/>
    <w:rsid w:val="00012B2E"/>
    <w:rsid w:val="00013235"/>
    <w:rsid w:val="00013496"/>
    <w:rsid w:val="00013523"/>
    <w:rsid w:val="00013619"/>
    <w:rsid w:val="000150C7"/>
    <w:rsid w:val="000150CE"/>
    <w:rsid w:val="00015228"/>
    <w:rsid w:val="00015910"/>
    <w:rsid w:val="00015B0C"/>
    <w:rsid w:val="00015C8B"/>
    <w:rsid w:val="00015EAA"/>
    <w:rsid w:val="000160FA"/>
    <w:rsid w:val="0001613D"/>
    <w:rsid w:val="0001658B"/>
    <w:rsid w:val="0001785A"/>
    <w:rsid w:val="00020493"/>
    <w:rsid w:val="00021101"/>
    <w:rsid w:val="0002129C"/>
    <w:rsid w:val="00021C82"/>
    <w:rsid w:val="0002281C"/>
    <w:rsid w:val="00022B1E"/>
    <w:rsid w:val="00022DBF"/>
    <w:rsid w:val="00023B4F"/>
    <w:rsid w:val="000242FB"/>
    <w:rsid w:val="00024854"/>
    <w:rsid w:val="00025826"/>
    <w:rsid w:val="00026057"/>
    <w:rsid w:val="00026C14"/>
    <w:rsid w:val="0002763C"/>
    <w:rsid w:val="000302EB"/>
    <w:rsid w:val="00030905"/>
    <w:rsid w:val="00031158"/>
    <w:rsid w:val="000314BD"/>
    <w:rsid w:val="000315FA"/>
    <w:rsid w:val="0003256C"/>
    <w:rsid w:val="00032911"/>
    <w:rsid w:val="00032FB2"/>
    <w:rsid w:val="00033B97"/>
    <w:rsid w:val="00036DB5"/>
    <w:rsid w:val="00036F26"/>
    <w:rsid w:val="00037BEB"/>
    <w:rsid w:val="00037F11"/>
    <w:rsid w:val="00040560"/>
    <w:rsid w:val="00040BD2"/>
    <w:rsid w:val="00041211"/>
    <w:rsid w:val="000421CF"/>
    <w:rsid w:val="00042934"/>
    <w:rsid w:val="00042F50"/>
    <w:rsid w:val="00043122"/>
    <w:rsid w:val="00043768"/>
    <w:rsid w:val="00044193"/>
    <w:rsid w:val="000443BE"/>
    <w:rsid w:val="00044CB0"/>
    <w:rsid w:val="00044DBC"/>
    <w:rsid w:val="0004613C"/>
    <w:rsid w:val="000467CF"/>
    <w:rsid w:val="00047B36"/>
    <w:rsid w:val="000508FF"/>
    <w:rsid w:val="00050C04"/>
    <w:rsid w:val="00051AD8"/>
    <w:rsid w:val="00052150"/>
    <w:rsid w:val="000521E8"/>
    <w:rsid w:val="00053656"/>
    <w:rsid w:val="00054033"/>
    <w:rsid w:val="000542C6"/>
    <w:rsid w:val="00054700"/>
    <w:rsid w:val="000550DE"/>
    <w:rsid w:val="000555B1"/>
    <w:rsid w:val="00057B1A"/>
    <w:rsid w:val="00057E47"/>
    <w:rsid w:val="00060FA2"/>
    <w:rsid w:val="00061277"/>
    <w:rsid w:val="00061696"/>
    <w:rsid w:val="00061944"/>
    <w:rsid w:val="00061CAE"/>
    <w:rsid w:val="000621B9"/>
    <w:rsid w:val="00062404"/>
    <w:rsid w:val="00062795"/>
    <w:rsid w:val="000627F6"/>
    <w:rsid w:val="000629BD"/>
    <w:rsid w:val="00062D19"/>
    <w:rsid w:val="000630CC"/>
    <w:rsid w:val="00063153"/>
    <w:rsid w:val="000642AF"/>
    <w:rsid w:val="00064554"/>
    <w:rsid w:val="00064779"/>
    <w:rsid w:val="0006560F"/>
    <w:rsid w:val="0006582D"/>
    <w:rsid w:val="00065E59"/>
    <w:rsid w:val="0006610B"/>
    <w:rsid w:val="000672AB"/>
    <w:rsid w:val="000673A7"/>
    <w:rsid w:val="00067F2A"/>
    <w:rsid w:val="00067FE5"/>
    <w:rsid w:val="00070F29"/>
    <w:rsid w:val="00071420"/>
    <w:rsid w:val="000718D1"/>
    <w:rsid w:val="0007234A"/>
    <w:rsid w:val="00073897"/>
    <w:rsid w:val="00073914"/>
    <w:rsid w:val="00075018"/>
    <w:rsid w:val="000760EE"/>
    <w:rsid w:val="00076826"/>
    <w:rsid w:val="00080284"/>
    <w:rsid w:val="000805E5"/>
    <w:rsid w:val="00080ADB"/>
    <w:rsid w:val="00080F73"/>
    <w:rsid w:val="00082799"/>
    <w:rsid w:val="00084F0E"/>
    <w:rsid w:val="00085A98"/>
    <w:rsid w:val="00085B8D"/>
    <w:rsid w:val="00085E46"/>
    <w:rsid w:val="00085E5F"/>
    <w:rsid w:val="000865F3"/>
    <w:rsid w:val="0008715E"/>
    <w:rsid w:val="000873FD"/>
    <w:rsid w:val="00087D38"/>
    <w:rsid w:val="00090260"/>
    <w:rsid w:val="00090898"/>
    <w:rsid w:val="000911EB"/>
    <w:rsid w:val="00091F7A"/>
    <w:rsid w:val="000921D8"/>
    <w:rsid w:val="0009266F"/>
    <w:rsid w:val="00093C87"/>
    <w:rsid w:val="00093E8F"/>
    <w:rsid w:val="000941A1"/>
    <w:rsid w:val="00094A6A"/>
    <w:rsid w:val="00094B4C"/>
    <w:rsid w:val="00097480"/>
    <w:rsid w:val="000A0024"/>
    <w:rsid w:val="000A044E"/>
    <w:rsid w:val="000A0BDB"/>
    <w:rsid w:val="000A1645"/>
    <w:rsid w:val="000A2962"/>
    <w:rsid w:val="000A30EA"/>
    <w:rsid w:val="000A327C"/>
    <w:rsid w:val="000A3790"/>
    <w:rsid w:val="000A3C27"/>
    <w:rsid w:val="000A41BA"/>
    <w:rsid w:val="000A48A2"/>
    <w:rsid w:val="000A5CDF"/>
    <w:rsid w:val="000A6E75"/>
    <w:rsid w:val="000A749B"/>
    <w:rsid w:val="000A7C78"/>
    <w:rsid w:val="000B153A"/>
    <w:rsid w:val="000B1A1E"/>
    <w:rsid w:val="000B274A"/>
    <w:rsid w:val="000B6690"/>
    <w:rsid w:val="000B7B37"/>
    <w:rsid w:val="000C080F"/>
    <w:rsid w:val="000C134F"/>
    <w:rsid w:val="000C3634"/>
    <w:rsid w:val="000C5142"/>
    <w:rsid w:val="000C5498"/>
    <w:rsid w:val="000C60D7"/>
    <w:rsid w:val="000C665D"/>
    <w:rsid w:val="000C7A26"/>
    <w:rsid w:val="000C7BAF"/>
    <w:rsid w:val="000C7E5D"/>
    <w:rsid w:val="000D010D"/>
    <w:rsid w:val="000D113D"/>
    <w:rsid w:val="000D1495"/>
    <w:rsid w:val="000D22EF"/>
    <w:rsid w:val="000D24AD"/>
    <w:rsid w:val="000D2D1F"/>
    <w:rsid w:val="000D4510"/>
    <w:rsid w:val="000D472D"/>
    <w:rsid w:val="000D4E01"/>
    <w:rsid w:val="000D51F3"/>
    <w:rsid w:val="000D5C18"/>
    <w:rsid w:val="000D5DB6"/>
    <w:rsid w:val="000D7354"/>
    <w:rsid w:val="000D7558"/>
    <w:rsid w:val="000E0253"/>
    <w:rsid w:val="000E137D"/>
    <w:rsid w:val="000E15F9"/>
    <w:rsid w:val="000E22F6"/>
    <w:rsid w:val="000E2577"/>
    <w:rsid w:val="000E30B2"/>
    <w:rsid w:val="000E3293"/>
    <w:rsid w:val="000E3D25"/>
    <w:rsid w:val="000E47C4"/>
    <w:rsid w:val="000E56A2"/>
    <w:rsid w:val="000E64AC"/>
    <w:rsid w:val="000E7807"/>
    <w:rsid w:val="000F0F3F"/>
    <w:rsid w:val="000F1106"/>
    <w:rsid w:val="000F12A2"/>
    <w:rsid w:val="000F2164"/>
    <w:rsid w:val="000F62D5"/>
    <w:rsid w:val="000F66BD"/>
    <w:rsid w:val="000F7187"/>
    <w:rsid w:val="00100C8F"/>
    <w:rsid w:val="0010126F"/>
    <w:rsid w:val="001017E1"/>
    <w:rsid w:val="0010220C"/>
    <w:rsid w:val="00103C2C"/>
    <w:rsid w:val="00104EBB"/>
    <w:rsid w:val="00106314"/>
    <w:rsid w:val="00107591"/>
    <w:rsid w:val="001101A2"/>
    <w:rsid w:val="00110FE3"/>
    <w:rsid w:val="00111924"/>
    <w:rsid w:val="00112C75"/>
    <w:rsid w:val="001130E5"/>
    <w:rsid w:val="001140B5"/>
    <w:rsid w:val="00114C77"/>
    <w:rsid w:val="00114E19"/>
    <w:rsid w:val="00115D0C"/>
    <w:rsid w:val="001167D4"/>
    <w:rsid w:val="00116FA6"/>
    <w:rsid w:val="00117BDE"/>
    <w:rsid w:val="00120500"/>
    <w:rsid w:val="00120614"/>
    <w:rsid w:val="001214F2"/>
    <w:rsid w:val="001216EB"/>
    <w:rsid w:val="00121746"/>
    <w:rsid w:val="0012227C"/>
    <w:rsid w:val="00122288"/>
    <w:rsid w:val="00122397"/>
    <w:rsid w:val="00122B29"/>
    <w:rsid w:val="00122DD4"/>
    <w:rsid w:val="00122E17"/>
    <w:rsid w:val="00123F59"/>
    <w:rsid w:val="0012402E"/>
    <w:rsid w:val="001241BD"/>
    <w:rsid w:val="001248CB"/>
    <w:rsid w:val="001250B9"/>
    <w:rsid w:val="00125157"/>
    <w:rsid w:val="001254E9"/>
    <w:rsid w:val="00125E58"/>
    <w:rsid w:val="001267BB"/>
    <w:rsid w:val="001271C6"/>
    <w:rsid w:val="001275EF"/>
    <w:rsid w:val="00127C80"/>
    <w:rsid w:val="00130620"/>
    <w:rsid w:val="00131DC5"/>
    <w:rsid w:val="001323CB"/>
    <w:rsid w:val="001325CE"/>
    <w:rsid w:val="001328E4"/>
    <w:rsid w:val="00132BB7"/>
    <w:rsid w:val="0013374E"/>
    <w:rsid w:val="0013430A"/>
    <w:rsid w:val="001346E1"/>
    <w:rsid w:val="00134B07"/>
    <w:rsid w:val="00135AF2"/>
    <w:rsid w:val="00136FAF"/>
    <w:rsid w:val="00136FCE"/>
    <w:rsid w:val="00137E9A"/>
    <w:rsid w:val="00140043"/>
    <w:rsid w:val="00141030"/>
    <w:rsid w:val="00141D8A"/>
    <w:rsid w:val="00142462"/>
    <w:rsid w:val="00143355"/>
    <w:rsid w:val="00145915"/>
    <w:rsid w:val="00147154"/>
    <w:rsid w:val="00147620"/>
    <w:rsid w:val="00147F33"/>
    <w:rsid w:val="001503A2"/>
    <w:rsid w:val="001504E1"/>
    <w:rsid w:val="00150C0D"/>
    <w:rsid w:val="00150C2E"/>
    <w:rsid w:val="00152313"/>
    <w:rsid w:val="00153628"/>
    <w:rsid w:val="00153904"/>
    <w:rsid w:val="001540DC"/>
    <w:rsid w:val="001543FF"/>
    <w:rsid w:val="00154E98"/>
    <w:rsid w:val="00155591"/>
    <w:rsid w:val="00155BC9"/>
    <w:rsid w:val="00160A81"/>
    <w:rsid w:val="00160EE2"/>
    <w:rsid w:val="001615E7"/>
    <w:rsid w:val="00162094"/>
    <w:rsid w:val="00162981"/>
    <w:rsid w:val="001633E6"/>
    <w:rsid w:val="00163673"/>
    <w:rsid w:val="001636A3"/>
    <w:rsid w:val="00163941"/>
    <w:rsid w:val="001650B8"/>
    <w:rsid w:val="0016512A"/>
    <w:rsid w:val="00166029"/>
    <w:rsid w:val="001664DE"/>
    <w:rsid w:val="001671CC"/>
    <w:rsid w:val="00167868"/>
    <w:rsid w:val="001734AA"/>
    <w:rsid w:val="00173688"/>
    <w:rsid w:val="0017369E"/>
    <w:rsid w:val="00173A69"/>
    <w:rsid w:val="00174B00"/>
    <w:rsid w:val="00175328"/>
    <w:rsid w:val="00175638"/>
    <w:rsid w:val="00175C4D"/>
    <w:rsid w:val="00177F0C"/>
    <w:rsid w:val="00181357"/>
    <w:rsid w:val="00181D1F"/>
    <w:rsid w:val="001835C5"/>
    <w:rsid w:val="00183EA9"/>
    <w:rsid w:val="001848F3"/>
    <w:rsid w:val="00184C13"/>
    <w:rsid w:val="00184D14"/>
    <w:rsid w:val="00185119"/>
    <w:rsid w:val="00185E23"/>
    <w:rsid w:val="00186937"/>
    <w:rsid w:val="00187557"/>
    <w:rsid w:val="0018799A"/>
    <w:rsid w:val="00187C1F"/>
    <w:rsid w:val="001907F0"/>
    <w:rsid w:val="00190B0F"/>
    <w:rsid w:val="00191082"/>
    <w:rsid w:val="00191227"/>
    <w:rsid w:val="00191845"/>
    <w:rsid w:val="001919AD"/>
    <w:rsid w:val="00192786"/>
    <w:rsid w:val="00192F49"/>
    <w:rsid w:val="001938BC"/>
    <w:rsid w:val="00194576"/>
    <w:rsid w:val="00195236"/>
    <w:rsid w:val="00195859"/>
    <w:rsid w:val="00195F8F"/>
    <w:rsid w:val="001A0107"/>
    <w:rsid w:val="001A01ED"/>
    <w:rsid w:val="001A04E2"/>
    <w:rsid w:val="001A06D7"/>
    <w:rsid w:val="001A2885"/>
    <w:rsid w:val="001A3572"/>
    <w:rsid w:val="001A4241"/>
    <w:rsid w:val="001A4549"/>
    <w:rsid w:val="001A4DF4"/>
    <w:rsid w:val="001A4F6C"/>
    <w:rsid w:val="001A542F"/>
    <w:rsid w:val="001A59B3"/>
    <w:rsid w:val="001A5E43"/>
    <w:rsid w:val="001A7B4B"/>
    <w:rsid w:val="001B03D0"/>
    <w:rsid w:val="001B04D8"/>
    <w:rsid w:val="001B0945"/>
    <w:rsid w:val="001B1F13"/>
    <w:rsid w:val="001B1F3B"/>
    <w:rsid w:val="001B2182"/>
    <w:rsid w:val="001B314F"/>
    <w:rsid w:val="001B3793"/>
    <w:rsid w:val="001B3C93"/>
    <w:rsid w:val="001B3E8C"/>
    <w:rsid w:val="001B4DAA"/>
    <w:rsid w:val="001B6347"/>
    <w:rsid w:val="001C099B"/>
    <w:rsid w:val="001C0FB8"/>
    <w:rsid w:val="001C16EF"/>
    <w:rsid w:val="001C3284"/>
    <w:rsid w:val="001C36DA"/>
    <w:rsid w:val="001C447B"/>
    <w:rsid w:val="001C55B7"/>
    <w:rsid w:val="001C59B7"/>
    <w:rsid w:val="001C5CE6"/>
    <w:rsid w:val="001C6A13"/>
    <w:rsid w:val="001D07FB"/>
    <w:rsid w:val="001D1EC1"/>
    <w:rsid w:val="001D2059"/>
    <w:rsid w:val="001D6EC2"/>
    <w:rsid w:val="001D6F26"/>
    <w:rsid w:val="001E0D9F"/>
    <w:rsid w:val="001E0FD0"/>
    <w:rsid w:val="001E2978"/>
    <w:rsid w:val="001E29E4"/>
    <w:rsid w:val="001E2A68"/>
    <w:rsid w:val="001E2E53"/>
    <w:rsid w:val="001E30DB"/>
    <w:rsid w:val="001E3164"/>
    <w:rsid w:val="001E421B"/>
    <w:rsid w:val="001E4358"/>
    <w:rsid w:val="001E4D8A"/>
    <w:rsid w:val="001E6582"/>
    <w:rsid w:val="001F24FB"/>
    <w:rsid w:val="001F344B"/>
    <w:rsid w:val="001F3DD2"/>
    <w:rsid w:val="001F453E"/>
    <w:rsid w:val="001F49CC"/>
    <w:rsid w:val="001F53EA"/>
    <w:rsid w:val="001F5748"/>
    <w:rsid w:val="001F657F"/>
    <w:rsid w:val="001F67CA"/>
    <w:rsid w:val="001F72D0"/>
    <w:rsid w:val="00203186"/>
    <w:rsid w:val="002035D8"/>
    <w:rsid w:val="00204DDA"/>
    <w:rsid w:val="00205F7A"/>
    <w:rsid w:val="0020667A"/>
    <w:rsid w:val="00206982"/>
    <w:rsid w:val="00207CAF"/>
    <w:rsid w:val="00207E1C"/>
    <w:rsid w:val="00210AB8"/>
    <w:rsid w:val="00210BCE"/>
    <w:rsid w:val="00211311"/>
    <w:rsid w:val="00212667"/>
    <w:rsid w:val="00214036"/>
    <w:rsid w:val="002141A3"/>
    <w:rsid w:val="002144BE"/>
    <w:rsid w:val="0021653B"/>
    <w:rsid w:val="00216A0C"/>
    <w:rsid w:val="002175BA"/>
    <w:rsid w:val="0021769A"/>
    <w:rsid w:val="0021773F"/>
    <w:rsid w:val="00217D9D"/>
    <w:rsid w:val="00217DE7"/>
    <w:rsid w:val="002203D2"/>
    <w:rsid w:val="00220DE6"/>
    <w:rsid w:val="002213C3"/>
    <w:rsid w:val="0022274A"/>
    <w:rsid w:val="002241C9"/>
    <w:rsid w:val="00224365"/>
    <w:rsid w:val="00225325"/>
    <w:rsid w:val="00225941"/>
    <w:rsid w:val="00226307"/>
    <w:rsid w:val="00226455"/>
    <w:rsid w:val="00226491"/>
    <w:rsid w:val="00226935"/>
    <w:rsid w:val="002270A4"/>
    <w:rsid w:val="0022716A"/>
    <w:rsid w:val="0022717D"/>
    <w:rsid w:val="0022754C"/>
    <w:rsid w:val="00227584"/>
    <w:rsid w:val="0022798F"/>
    <w:rsid w:val="00227F63"/>
    <w:rsid w:val="002302DC"/>
    <w:rsid w:val="0023049D"/>
    <w:rsid w:val="00230AAE"/>
    <w:rsid w:val="00230D0D"/>
    <w:rsid w:val="002320A8"/>
    <w:rsid w:val="00232F67"/>
    <w:rsid w:val="0023344E"/>
    <w:rsid w:val="00233574"/>
    <w:rsid w:val="00235347"/>
    <w:rsid w:val="00236ECA"/>
    <w:rsid w:val="002372ED"/>
    <w:rsid w:val="00237976"/>
    <w:rsid w:val="002400D7"/>
    <w:rsid w:val="002416B5"/>
    <w:rsid w:val="002417AE"/>
    <w:rsid w:val="00242E92"/>
    <w:rsid w:val="00246F2F"/>
    <w:rsid w:val="002472B6"/>
    <w:rsid w:val="002475D3"/>
    <w:rsid w:val="00247FB8"/>
    <w:rsid w:val="00250EF9"/>
    <w:rsid w:val="002515B1"/>
    <w:rsid w:val="00251C5E"/>
    <w:rsid w:val="00252BB5"/>
    <w:rsid w:val="00253861"/>
    <w:rsid w:val="00254C2A"/>
    <w:rsid w:val="00255274"/>
    <w:rsid w:val="00255501"/>
    <w:rsid w:val="00255773"/>
    <w:rsid w:val="00255BE5"/>
    <w:rsid w:val="00255E99"/>
    <w:rsid w:val="00260199"/>
    <w:rsid w:val="00261333"/>
    <w:rsid w:val="00261493"/>
    <w:rsid w:val="002618CA"/>
    <w:rsid w:val="00261F0D"/>
    <w:rsid w:val="00261FBE"/>
    <w:rsid w:val="002621CF"/>
    <w:rsid w:val="00262C35"/>
    <w:rsid w:val="00262F6F"/>
    <w:rsid w:val="00262FD4"/>
    <w:rsid w:val="0026429C"/>
    <w:rsid w:val="00264DB7"/>
    <w:rsid w:val="0026723F"/>
    <w:rsid w:val="00267AE8"/>
    <w:rsid w:val="0027023E"/>
    <w:rsid w:val="0027071F"/>
    <w:rsid w:val="00270CD9"/>
    <w:rsid w:val="00270F26"/>
    <w:rsid w:val="00271607"/>
    <w:rsid w:val="00272377"/>
    <w:rsid w:val="002735BE"/>
    <w:rsid w:val="00273848"/>
    <w:rsid w:val="002746D8"/>
    <w:rsid w:val="0027490D"/>
    <w:rsid w:val="00274EED"/>
    <w:rsid w:val="0027540F"/>
    <w:rsid w:val="00275E2D"/>
    <w:rsid w:val="00276E03"/>
    <w:rsid w:val="00277C50"/>
    <w:rsid w:val="002801E3"/>
    <w:rsid w:val="00281484"/>
    <w:rsid w:val="00281961"/>
    <w:rsid w:val="00281FEC"/>
    <w:rsid w:val="0028254D"/>
    <w:rsid w:val="00284127"/>
    <w:rsid w:val="00284795"/>
    <w:rsid w:val="00284E95"/>
    <w:rsid w:val="0028509A"/>
    <w:rsid w:val="00285477"/>
    <w:rsid w:val="0028553D"/>
    <w:rsid w:val="00286E87"/>
    <w:rsid w:val="00287040"/>
    <w:rsid w:val="00287142"/>
    <w:rsid w:val="0028796F"/>
    <w:rsid w:val="00287C62"/>
    <w:rsid w:val="00290761"/>
    <w:rsid w:val="00290ECB"/>
    <w:rsid w:val="0029196C"/>
    <w:rsid w:val="0029202D"/>
    <w:rsid w:val="00292418"/>
    <w:rsid w:val="00292DB6"/>
    <w:rsid w:val="00293242"/>
    <w:rsid w:val="0029372A"/>
    <w:rsid w:val="00293DE7"/>
    <w:rsid w:val="0029406F"/>
    <w:rsid w:val="00294BD5"/>
    <w:rsid w:val="00294E1D"/>
    <w:rsid w:val="00294F59"/>
    <w:rsid w:val="00295406"/>
    <w:rsid w:val="002969D5"/>
    <w:rsid w:val="00297478"/>
    <w:rsid w:val="00297573"/>
    <w:rsid w:val="002A113D"/>
    <w:rsid w:val="002A1822"/>
    <w:rsid w:val="002A1956"/>
    <w:rsid w:val="002A3676"/>
    <w:rsid w:val="002A39D7"/>
    <w:rsid w:val="002A4D8D"/>
    <w:rsid w:val="002A5AA3"/>
    <w:rsid w:val="002A65F2"/>
    <w:rsid w:val="002A77CC"/>
    <w:rsid w:val="002A7F41"/>
    <w:rsid w:val="002B0121"/>
    <w:rsid w:val="002B0751"/>
    <w:rsid w:val="002B0D8F"/>
    <w:rsid w:val="002B1F08"/>
    <w:rsid w:val="002B2A5C"/>
    <w:rsid w:val="002B3074"/>
    <w:rsid w:val="002B35F9"/>
    <w:rsid w:val="002B493F"/>
    <w:rsid w:val="002B5EC4"/>
    <w:rsid w:val="002B712A"/>
    <w:rsid w:val="002B759C"/>
    <w:rsid w:val="002B77A7"/>
    <w:rsid w:val="002C0C35"/>
    <w:rsid w:val="002C12C6"/>
    <w:rsid w:val="002C2A6D"/>
    <w:rsid w:val="002C2FAE"/>
    <w:rsid w:val="002C3E89"/>
    <w:rsid w:val="002C405A"/>
    <w:rsid w:val="002C4848"/>
    <w:rsid w:val="002C4A63"/>
    <w:rsid w:val="002C5216"/>
    <w:rsid w:val="002C5466"/>
    <w:rsid w:val="002C6213"/>
    <w:rsid w:val="002C6429"/>
    <w:rsid w:val="002C7802"/>
    <w:rsid w:val="002D03CB"/>
    <w:rsid w:val="002D0FBB"/>
    <w:rsid w:val="002D0FC3"/>
    <w:rsid w:val="002D1B3B"/>
    <w:rsid w:val="002D1E9C"/>
    <w:rsid w:val="002D2C0E"/>
    <w:rsid w:val="002D3E22"/>
    <w:rsid w:val="002D3E7E"/>
    <w:rsid w:val="002D4434"/>
    <w:rsid w:val="002D4E77"/>
    <w:rsid w:val="002D6585"/>
    <w:rsid w:val="002D72D4"/>
    <w:rsid w:val="002E1729"/>
    <w:rsid w:val="002E240A"/>
    <w:rsid w:val="002E47C0"/>
    <w:rsid w:val="002E4F26"/>
    <w:rsid w:val="002E61AF"/>
    <w:rsid w:val="002E6969"/>
    <w:rsid w:val="002E6D43"/>
    <w:rsid w:val="002E76D8"/>
    <w:rsid w:val="002F1412"/>
    <w:rsid w:val="002F1E39"/>
    <w:rsid w:val="002F271E"/>
    <w:rsid w:val="002F3EA8"/>
    <w:rsid w:val="002F43D0"/>
    <w:rsid w:val="002F556E"/>
    <w:rsid w:val="002F55E2"/>
    <w:rsid w:val="002F5C40"/>
    <w:rsid w:val="002F66CB"/>
    <w:rsid w:val="002F7FBD"/>
    <w:rsid w:val="0030047D"/>
    <w:rsid w:val="003005A1"/>
    <w:rsid w:val="003006D4"/>
    <w:rsid w:val="003021B4"/>
    <w:rsid w:val="003022D6"/>
    <w:rsid w:val="00302AA2"/>
    <w:rsid w:val="00302F69"/>
    <w:rsid w:val="003032F8"/>
    <w:rsid w:val="0030565B"/>
    <w:rsid w:val="00305C07"/>
    <w:rsid w:val="003067B4"/>
    <w:rsid w:val="00306EE6"/>
    <w:rsid w:val="0030700E"/>
    <w:rsid w:val="0030765B"/>
    <w:rsid w:val="00310E7A"/>
    <w:rsid w:val="00311665"/>
    <w:rsid w:val="00311864"/>
    <w:rsid w:val="003132D8"/>
    <w:rsid w:val="00313649"/>
    <w:rsid w:val="00314033"/>
    <w:rsid w:val="00314111"/>
    <w:rsid w:val="00315B4F"/>
    <w:rsid w:val="0032038C"/>
    <w:rsid w:val="0032080D"/>
    <w:rsid w:val="00321B15"/>
    <w:rsid w:val="003220FF"/>
    <w:rsid w:val="003229CF"/>
    <w:rsid w:val="00322FD3"/>
    <w:rsid w:val="003236A1"/>
    <w:rsid w:val="00323CBF"/>
    <w:rsid w:val="00325253"/>
    <w:rsid w:val="003258D2"/>
    <w:rsid w:val="00326528"/>
    <w:rsid w:val="003268E4"/>
    <w:rsid w:val="003270A4"/>
    <w:rsid w:val="00327401"/>
    <w:rsid w:val="00331DF0"/>
    <w:rsid w:val="003322D8"/>
    <w:rsid w:val="00333B0D"/>
    <w:rsid w:val="00333C60"/>
    <w:rsid w:val="00333FF8"/>
    <w:rsid w:val="00334C48"/>
    <w:rsid w:val="00335C74"/>
    <w:rsid w:val="00340014"/>
    <w:rsid w:val="00340794"/>
    <w:rsid w:val="00340C94"/>
    <w:rsid w:val="00340FA3"/>
    <w:rsid w:val="00342509"/>
    <w:rsid w:val="00342EDE"/>
    <w:rsid w:val="003455A4"/>
    <w:rsid w:val="00345F9F"/>
    <w:rsid w:val="0034742A"/>
    <w:rsid w:val="003478A4"/>
    <w:rsid w:val="00347F45"/>
    <w:rsid w:val="00351992"/>
    <w:rsid w:val="00351CFE"/>
    <w:rsid w:val="003525DE"/>
    <w:rsid w:val="00352C14"/>
    <w:rsid w:val="0035329D"/>
    <w:rsid w:val="003536FC"/>
    <w:rsid w:val="0035446B"/>
    <w:rsid w:val="00355F21"/>
    <w:rsid w:val="00355FB4"/>
    <w:rsid w:val="00356D2B"/>
    <w:rsid w:val="00357DBE"/>
    <w:rsid w:val="003611EC"/>
    <w:rsid w:val="003614D2"/>
    <w:rsid w:val="00363522"/>
    <w:rsid w:val="00363849"/>
    <w:rsid w:val="00363BB8"/>
    <w:rsid w:val="00363C49"/>
    <w:rsid w:val="00364B9F"/>
    <w:rsid w:val="00365117"/>
    <w:rsid w:val="00365470"/>
    <w:rsid w:val="00365898"/>
    <w:rsid w:val="0036591A"/>
    <w:rsid w:val="00365C69"/>
    <w:rsid w:val="00366E06"/>
    <w:rsid w:val="00366FC0"/>
    <w:rsid w:val="0036727B"/>
    <w:rsid w:val="003679F3"/>
    <w:rsid w:val="003701F1"/>
    <w:rsid w:val="00370BC5"/>
    <w:rsid w:val="003713F4"/>
    <w:rsid w:val="0037168D"/>
    <w:rsid w:val="00371E8D"/>
    <w:rsid w:val="003727F4"/>
    <w:rsid w:val="00372D7D"/>
    <w:rsid w:val="0037333E"/>
    <w:rsid w:val="00373C8E"/>
    <w:rsid w:val="00374E53"/>
    <w:rsid w:val="00375170"/>
    <w:rsid w:val="0037578A"/>
    <w:rsid w:val="00375EE7"/>
    <w:rsid w:val="00376264"/>
    <w:rsid w:val="00376D3E"/>
    <w:rsid w:val="00377AFD"/>
    <w:rsid w:val="0038023A"/>
    <w:rsid w:val="003802DB"/>
    <w:rsid w:val="003806D4"/>
    <w:rsid w:val="00380F57"/>
    <w:rsid w:val="003812A0"/>
    <w:rsid w:val="00381924"/>
    <w:rsid w:val="00382BDD"/>
    <w:rsid w:val="0038313A"/>
    <w:rsid w:val="00384FD9"/>
    <w:rsid w:val="00385E78"/>
    <w:rsid w:val="00386BA4"/>
    <w:rsid w:val="00387AC8"/>
    <w:rsid w:val="00390601"/>
    <w:rsid w:val="00391A25"/>
    <w:rsid w:val="0039372C"/>
    <w:rsid w:val="00393974"/>
    <w:rsid w:val="00394340"/>
    <w:rsid w:val="003957AC"/>
    <w:rsid w:val="00395E7F"/>
    <w:rsid w:val="00396700"/>
    <w:rsid w:val="00396AA2"/>
    <w:rsid w:val="0039758F"/>
    <w:rsid w:val="003A0DD2"/>
    <w:rsid w:val="003A14FD"/>
    <w:rsid w:val="003A1ECE"/>
    <w:rsid w:val="003A2B51"/>
    <w:rsid w:val="003A2F3A"/>
    <w:rsid w:val="003A31D5"/>
    <w:rsid w:val="003A31F5"/>
    <w:rsid w:val="003A358E"/>
    <w:rsid w:val="003A4362"/>
    <w:rsid w:val="003A5032"/>
    <w:rsid w:val="003A57CF"/>
    <w:rsid w:val="003A6BB1"/>
    <w:rsid w:val="003A74C7"/>
    <w:rsid w:val="003A7705"/>
    <w:rsid w:val="003A7D69"/>
    <w:rsid w:val="003B046E"/>
    <w:rsid w:val="003B0544"/>
    <w:rsid w:val="003B0A5A"/>
    <w:rsid w:val="003B1B01"/>
    <w:rsid w:val="003B327B"/>
    <w:rsid w:val="003B344C"/>
    <w:rsid w:val="003B371A"/>
    <w:rsid w:val="003B3837"/>
    <w:rsid w:val="003B3A40"/>
    <w:rsid w:val="003B4C1F"/>
    <w:rsid w:val="003B533E"/>
    <w:rsid w:val="003B534F"/>
    <w:rsid w:val="003B6821"/>
    <w:rsid w:val="003B690F"/>
    <w:rsid w:val="003B7F2C"/>
    <w:rsid w:val="003C0275"/>
    <w:rsid w:val="003C1380"/>
    <w:rsid w:val="003C1A45"/>
    <w:rsid w:val="003C1CC2"/>
    <w:rsid w:val="003C1F52"/>
    <w:rsid w:val="003C3815"/>
    <w:rsid w:val="003C55FB"/>
    <w:rsid w:val="003D0217"/>
    <w:rsid w:val="003D06DF"/>
    <w:rsid w:val="003D148B"/>
    <w:rsid w:val="003D22E3"/>
    <w:rsid w:val="003D2718"/>
    <w:rsid w:val="003D3258"/>
    <w:rsid w:val="003D3525"/>
    <w:rsid w:val="003D3B66"/>
    <w:rsid w:val="003D3CD0"/>
    <w:rsid w:val="003D3D0D"/>
    <w:rsid w:val="003D3D56"/>
    <w:rsid w:val="003D5037"/>
    <w:rsid w:val="003D569D"/>
    <w:rsid w:val="003D5CAC"/>
    <w:rsid w:val="003D5CEE"/>
    <w:rsid w:val="003D61B7"/>
    <w:rsid w:val="003D6D34"/>
    <w:rsid w:val="003D73A4"/>
    <w:rsid w:val="003D7960"/>
    <w:rsid w:val="003D7F1E"/>
    <w:rsid w:val="003E0464"/>
    <w:rsid w:val="003E055D"/>
    <w:rsid w:val="003E13E8"/>
    <w:rsid w:val="003E1D02"/>
    <w:rsid w:val="003E215F"/>
    <w:rsid w:val="003E2B84"/>
    <w:rsid w:val="003E33E4"/>
    <w:rsid w:val="003E3A40"/>
    <w:rsid w:val="003E3ADB"/>
    <w:rsid w:val="003E3CB1"/>
    <w:rsid w:val="003E3EDB"/>
    <w:rsid w:val="003E504B"/>
    <w:rsid w:val="003E59EB"/>
    <w:rsid w:val="003E5FF6"/>
    <w:rsid w:val="003E6226"/>
    <w:rsid w:val="003E73A8"/>
    <w:rsid w:val="003F08EC"/>
    <w:rsid w:val="003F10F3"/>
    <w:rsid w:val="003F23B0"/>
    <w:rsid w:val="003F2A10"/>
    <w:rsid w:val="003F50A5"/>
    <w:rsid w:val="003F6DAC"/>
    <w:rsid w:val="003F7162"/>
    <w:rsid w:val="003F7480"/>
    <w:rsid w:val="003F7949"/>
    <w:rsid w:val="00400772"/>
    <w:rsid w:val="00401757"/>
    <w:rsid w:val="00401A23"/>
    <w:rsid w:val="00402619"/>
    <w:rsid w:val="00403069"/>
    <w:rsid w:val="00403552"/>
    <w:rsid w:val="00403C5D"/>
    <w:rsid w:val="00403ED3"/>
    <w:rsid w:val="00404802"/>
    <w:rsid w:val="0040495B"/>
    <w:rsid w:val="00405D42"/>
    <w:rsid w:val="00405D55"/>
    <w:rsid w:val="00405DC3"/>
    <w:rsid w:val="0040639A"/>
    <w:rsid w:val="00407001"/>
    <w:rsid w:val="004074BF"/>
    <w:rsid w:val="00407752"/>
    <w:rsid w:val="0041053D"/>
    <w:rsid w:val="004109B4"/>
    <w:rsid w:val="00410B3E"/>
    <w:rsid w:val="00411866"/>
    <w:rsid w:val="004118EC"/>
    <w:rsid w:val="00412A47"/>
    <w:rsid w:val="00413446"/>
    <w:rsid w:val="00413623"/>
    <w:rsid w:val="00413877"/>
    <w:rsid w:val="00413C03"/>
    <w:rsid w:val="00413C28"/>
    <w:rsid w:val="004145C0"/>
    <w:rsid w:val="00415398"/>
    <w:rsid w:val="00416039"/>
    <w:rsid w:val="004169CE"/>
    <w:rsid w:val="004174A0"/>
    <w:rsid w:val="00420C87"/>
    <w:rsid w:val="0042106E"/>
    <w:rsid w:val="0042108B"/>
    <w:rsid w:val="00421097"/>
    <w:rsid w:val="0042119A"/>
    <w:rsid w:val="0042332A"/>
    <w:rsid w:val="004248E8"/>
    <w:rsid w:val="004249B2"/>
    <w:rsid w:val="004251DA"/>
    <w:rsid w:val="00425255"/>
    <w:rsid w:val="0042778A"/>
    <w:rsid w:val="00427A26"/>
    <w:rsid w:val="00427F62"/>
    <w:rsid w:val="00431100"/>
    <w:rsid w:val="004313DA"/>
    <w:rsid w:val="00432B02"/>
    <w:rsid w:val="00432BAC"/>
    <w:rsid w:val="0043309B"/>
    <w:rsid w:val="00434967"/>
    <w:rsid w:val="004351A3"/>
    <w:rsid w:val="00435D1D"/>
    <w:rsid w:val="00436005"/>
    <w:rsid w:val="00436707"/>
    <w:rsid w:val="00436774"/>
    <w:rsid w:val="00437C1F"/>
    <w:rsid w:val="00437CCB"/>
    <w:rsid w:val="004401D7"/>
    <w:rsid w:val="0044049E"/>
    <w:rsid w:val="0044203F"/>
    <w:rsid w:val="004421DA"/>
    <w:rsid w:val="004425FF"/>
    <w:rsid w:val="00442D6C"/>
    <w:rsid w:val="00442DB5"/>
    <w:rsid w:val="00443923"/>
    <w:rsid w:val="00443BE7"/>
    <w:rsid w:val="00444678"/>
    <w:rsid w:val="004451F5"/>
    <w:rsid w:val="00445628"/>
    <w:rsid w:val="00445C81"/>
    <w:rsid w:val="00445F9A"/>
    <w:rsid w:val="00446BE5"/>
    <w:rsid w:val="00447FFD"/>
    <w:rsid w:val="0045021F"/>
    <w:rsid w:val="00450391"/>
    <w:rsid w:val="004506FB"/>
    <w:rsid w:val="00450C63"/>
    <w:rsid w:val="00451C60"/>
    <w:rsid w:val="00451E05"/>
    <w:rsid w:val="00452746"/>
    <w:rsid w:val="004529CA"/>
    <w:rsid w:val="00453000"/>
    <w:rsid w:val="00453208"/>
    <w:rsid w:val="00453C5E"/>
    <w:rsid w:val="00454529"/>
    <w:rsid w:val="00454874"/>
    <w:rsid w:val="00454DF2"/>
    <w:rsid w:val="00455085"/>
    <w:rsid w:val="004554DF"/>
    <w:rsid w:val="00455FDA"/>
    <w:rsid w:val="0045612B"/>
    <w:rsid w:val="00456E4A"/>
    <w:rsid w:val="004607C9"/>
    <w:rsid w:val="0046147E"/>
    <w:rsid w:val="0046185C"/>
    <w:rsid w:val="004635EF"/>
    <w:rsid w:val="00463AFF"/>
    <w:rsid w:val="00463E7C"/>
    <w:rsid w:val="004645E5"/>
    <w:rsid w:val="004655EA"/>
    <w:rsid w:val="00465832"/>
    <w:rsid w:val="00465E9B"/>
    <w:rsid w:val="00466996"/>
    <w:rsid w:val="00466A1B"/>
    <w:rsid w:val="0046714E"/>
    <w:rsid w:val="00467ECB"/>
    <w:rsid w:val="0047060C"/>
    <w:rsid w:val="004709BC"/>
    <w:rsid w:val="00470E8B"/>
    <w:rsid w:val="0047204A"/>
    <w:rsid w:val="00472DB3"/>
    <w:rsid w:val="00472DD8"/>
    <w:rsid w:val="004731D8"/>
    <w:rsid w:val="00473793"/>
    <w:rsid w:val="00473997"/>
    <w:rsid w:val="00474946"/>
    <w:rsid w:val="0047503E"/>
    <w:rsid w:val="004756C5"/>
    <w:rsid w:val="004758BE"/>
    <w:rsid w:val="004758DE"/>
    <w:rsid w:val="00476A89"/>
    <w:rsid w:val="00477587"/>
    <w:rsid w:val="00477ED9"/>
    <w:rsid w:val="00480C4C"/>
    <w:rsid w:val="0048150A"/>
    <w:rsid w:val="00482CFC"/>
    <w:rsid w:val="00483D0E"/>
    <w:rsid w:val="00484D0D"/>
    <w:rsid w:val="00486488"/>
    <w:rsid w:val="004867A4"/>
    <w:rsid w:val="004877FC"/>
    <w:rsid w:val="00490876"/>
    <w:rsid w:val="00490A26"/>
    <w:rsid w:val="004930CF"/>
    <w:rsid w:val="004936C0"/>
    <w:rsid w:val="00493B28"/>
    <w:rsid w:val="004944AF"/>
    <w:rsid w:val="00494C78"/>
    <w:rsid w:val="004968FF"/>
    <w:rsid w:val="004A021F"/>
    <w:rsid w:val="004A0B3A"/>
    <w:rsid w:val="004A0CD0"/>
    <w:rsid w:val="004A1362"/>
    <w:rsid w:val="004A15FC"/>
    <w:rsid w:val="004A1817"/>
    <w:rsid w:val="004A20D6"/>
    <w:rsid w:val="004A3477"/>
    <w:rsid w:val="004A3DBA"/>
    <w:rsid w:val="004A3E83"/>
    <w:rsid w:val="004A4340"/>
    <w:rsid w:val="004A5DC3"/>
    <w:rsid w:val="004A60EC"/>
    <w:rsid w:val="004A6212"/>
    <w:rsid w:val="004A6352"/>
    <w:rsid w:val="004A67EC"/>
    <w:rsid w:val="004A69C1"/>
    <w:rsid w:val="004A7405"/>
    <w:rsid w:val="004A74B9"/>
    <w:rsid w:val="004B2B2A"/>
    <w:rsid w:val="004B3FCF"/>
    <w:rsid w:val="004B40EC"/>
    <w:rsid w:val="004B4FE9"/>
    <w:rsid w:val="004B501B"/>
    <w:rsid w:val="004B50C3"/>
    <w:rsid w:val="004B5A54"/>
    <w:rsid w:val="004B5D02"/>
    <w:rsid w:val="004B6478"/>
    <w:rsid w:val="004B6511"/>
    <w:rsid w:val="004B79D8"/>
    <w:rsid w:val="004B7C8F"/>
    <w:rsid w:val="004C0101"/>
    <w:rsid w:val="004C03EE"/>
    <w:rsid w:val="004C079E"/>
    <w:rsid w:val="004C1125"/>
    <w:rsid w:val="004C22AD"/>
    <w:rsid w:val="004C3B5E"/>
    <w:rsid w:val="004C3C0E"/>
    <w:rsid w:val="004C420D"/>
    <w:rsid w:val="004C489A"/>
    <w:rsid w:val="004C5A37"/>
    <w:rsid w:val="004C5B00"/>
    <w:rsid w:val="004C6DDA"/>
    <w:rsid w:val="004C6EEB"/>
    <w:rsid w:val="004C7200"/>
    <w:rsid w:val="004D04E8"/>
    <w:rsid w:val="004D13CC"/>
    <w:rsid w:val="004D2177"/>
    <w:rsid w:val="004D21D4"/>
    <w:rsid w:val="004D2322"/>
    <w:rsid w:val="004D24A5"/>
    <w:rsid w:val="004D2F4A"/>
    <w:rsid w:val="004D3422"/>
    <w:rsid w:val="004D3592"/>
    <w:rsid w:val="004D3672"/>
    <w:rsid w:val="004D38F6"/>
    <w:rsid w:val="004D3974"/>
    <w:rsid w:val="004D3E11"/>
    <w:rsid w:val="004D50D5"/>
    <w:rsid w:val="004D57ED"/>
    <w:rsid w:val="004D5C83"/>
    <w:rsid w:val="004D6F1B"/>
    <w:rsid w:val="004D72E8"/>
    <w:rsid w:val="004D7A7A"/>
    <w:rsid w:val="004D7B29"/>
    <w:rsid w:val="004D7B31"/>
    <w:rsid w:val="004E0DBB"/>
    <w:rsid w:val="004E2516"/>
    <w:rsid w:val="004E2A27"/>
    <w:rsid w:val="004E3235"/>
    <w:rsid w:val="004E34BD"/>
    <w:rsid w:val="004E478C"/>
    <w:rsid w:val="004E49FB"/>
    <w:rsid w:val="004E71DD"/>
    <w:rsid w:val="004E7509"/>
    <w:rsid w:val="004E7F9F"/>
    <w:rsid w:val="004F04C7"/>
    <w:rsid w:val="004F0A2B"/>
    <w:rsid w:val="004F1084"/>
    <w:rsid w:val="004F1611"/>
    <w:rsid w:val="004F3195"/>
    <w:rsid w:val="004F355B"/>
    <w:rsid w:val="004F403F"/>
    <w:rsid w:val="004F52E1"/>
    <w:rsid w:val="004F5553"/>
    <w:rsid w:val="004F7679"/>
    <w:rsid w:val="00500155"/>
    <w:rsid w:val="00500C8D"/>
    <w:rsid w:val="00500D0C"/>
    <w:rsid w:val="00501FED"/>
    <w:rsid w:val="005026C7"/>
    <w:rsid w:val="005042FE"/>
    <w:rsid w:val="005044F3"/>
    <w:rsid w:val="005049E8"/>
    <w:rsid w:val="00504F3D"/>
    <w:rsid w:val="005053C3"/>
    <w:rsid w:val="00506F92"/>
    <w:rsid w:val="00506F95"/>
    <w:rsid w:val="00507D34"/>
    <w:rsid w:val="00510DAC"/>
    <w:rsid w:val="005121C3"/>
    <w:rsid w:val="00512803"/>
    <w:rsid w:val="0051290F"/>
    <w:rsid w:val="00512DDB"/>
    <w:rsid w:val="00512F7F"/>
    <w:rsid w:val="005140F8"/>
    <w:rsid w:val="00514AF0"/>
    <w:rsid w:val="00514E1B"/>
    <w:rsid w:val="005155FF"/>
    <w:rsid w:val="00515923"/>
    <w:rsid w:val="00515965"/>
    <w:rsid w:val="00515E89"/>
    <w:rsid w:val="00517A3D"/>
    <w:rsid w:val="00517A82"/>
    <w:rsid w:val="0052038D"/>
    <w:rsid w:val="00522288"/>
    <w:rsid w:val="0052272A"/>
    <w:rsid w:val="0052287B"/>
    <w:rsid w:val="00522F43"/>
    <w:rsid w:val="00523327"/>
    <w:rsid w:val="00523D14"/>
    <w:rsid w:val="00524D5B"/>
    <w:rsid w:val="00524E1B"/>
    <w:rsid w:val="00525BF3"/>
    <w:rsid w:val="00525D06"/>
    <w:rsid w:val="00527684"/>
    <w:rsid w:val="00530024"/>
    <w:rsid w:val="005306B3"/>
    <w:rsid w:val="00530D59"/>
    <w:rsid w:val="00530E98"/>
    <w:rsid w:val="00531E95"/>
    <w:rsid w:val="00532F3B"/>
    <w:rsid w:val="00533294"/>
    <w:rsid w:val="005338FB"/>
    <w:rsid w:val="00533FC7"/>
    <w:rsid w:val="005345AA"/>
    <w:rsid w:val="005360B1"/>
    <w:rsid w:val="0053746C"/>
    <w:rsid w:val="0053794D"/>
    <w:rsid w:val="00537F7F"/>
    <w:rsid w:val="005402A7"/>
    <w:rsid w:val="0054293F"/>
    <w:rsid w:val="005435F6"/>
    <w:rsid w:val="0054454F"/>
    <w:rsid w:val="00545F0D"/>
    <w:rsid w:val="00546AAF"/>
    <w:rsid w:val="00550298"/>
    <w:rsid w:val="005508F0"/>
    <w:rsid w:val="00550AAA"/>
    <w:rsid w:val="005513E6"/>
    <w:rsid w:val="0055150B"/>
    <w:rsid w:val="005522E4"/>
    <w:rsid w:val="005524C0"/>
    <w:rsid w:val="00552EC8"/>
    <w:rsid w:val="00553370"/>
    <w:rsid w:val="0055386F"/>
    <w:rsid w:val="00554217"/>
    <w:rsid w:val="00554524"/>
    <w:rsid w:val="00554AB6"/>
    <w:rsid w:val="0055519E"/>
    <w:rsid w:val="0055682F"/>
    <w:rsid w:val="005571D0"/>
    <w:rsid w:val="00557C4F"/>
    <w:rsid w:val="00562BA9"/>
    <w:rsid w:val="00563674"/>
    <w:rsid w:val="00563B5E"/>
    <w:rsid w:val="00564495"/>
    <w:rsid w:val="00564C7E"/>
    <w:rsid w:val="00565574"/>
    <w:rsid w:val="005657A7"/>
    <w:rsid w:val="0056601F"/>
    <w:rsid w:val="00566B72"/>
    <w:rsid w:val="005670D9"/>
    <w:rsid w:val="005673E5"/>
    <w:rsid w:val="005679F7"/>
    <w:rsid w:val="00567EBF"/>
    <w:rsid w:val="00571AFA"/>
    <w:rsid w:val="00571FC2"/>
    <w:rsid w:val="00572300"/>
    <w:rsid w:val="0057274E"/>
    <w:rsid w:val="00572A0B"/>
    <w:rsid w:val="00572EFB"/>
    <w:rsid w:val="005739C9"/>
    <w:rsid w:val="00573E70"/>
    <w:rsid w:val="005742E2"/>
    <w:rsid w:val="0057432E"/>
    <w:rsid w:val="005748AB"/>
    <w:rsid w:val="00575245"/>
    <w:rsid w:val="00575CE5"/>
    <w:rsid w:val="00575D5F"/>
    <w:rsid w:val="00576B84"/>
    <w:rsid w:val="00576C84"/>
    <w:rsid w:val="0057744B"/>
    <w:rsid w:val="0057790A"/>
    <w:rsid w:val="00577977"/>
    <w:rsid w:val="00577A32"/>
    <w:rsid w:val="00580544"/>
    <w:rsid w:val="005813FE"/>
    <w:rsid w:val="00582472"/>
    <w:rsid w:val="005836B7"/>
    <w:rsid w:val="0058380B"/>
    <w:rsid w:val="005838C5"/>
    <w:rsid w:val="005839BA"/>
    <w:rsid w:val="00583B6D"/>
    <w:rsid w:val="005852EA"/>
    <w:rsid w:val="005863B9"/>
    <w:rsid w:val="00586668"/>
    <w:rsid w:val="00586669"/>
    <w:rsid w:val="00586738"/>
    <w:rsid w:val="00587481"/>
    <w:rsid w:val="0059057F"/>
    <w:rsid w:val="005905CF"/>
    <w:rsid w:val="00592244"/>
    <w:rsid w:val="005922F2"/>
    <w:rsid w:val="0059465B"/>
    <w:rsid w:val="00595894"/>
    <w:rsid w:val="0059664E"/>
    <w:rsid w:val="0059718B"/>
    <w:rsid w:val="00597939"/>
    <w:rsid w:val="005A058B"/>
    <w:rsid w:val="005A06BD"/>
    <w:rsid w:val="005A179E"/>
    <w:rsid w:val="005A17EF"/>
    <w:rsid w:val="005A26D5"/>
    <w:rsid w:val="005A26E4"/>
    <w:rsid w:val="005A31F3"/>
    <w:rsid w:val="005A4352"/>
    <w:rsid w:val="005A479F"/>
    <w:rsid w:val="005A5AD7"/>
    <w:rsid w:val="005A5BF4"/>
    <w:rsid w:val="005A63F3"/>
    <w:rsid w:val="005A724D"/>
    <w:rsid w:val="005A7AAD"/>
    <w:rsid w:val="005B0276"/>
    <w:rsid w:val="005B0859"/>
    <w:rsid w:val="005B12DE"/>
    <w:rsid w:val="005B1417"/>
    <w:rsid w:val="005B1E9E"/>
    <w:rsid w:val="005B1EEB"/>
    <w:rsid w:val="005B3A6B"/>
    <w:rsid w:val="005B3A71"/>
    <w:rsid w:val="005B40B7"/>
    <w:rsid w:val="005B47F3"/>
    <w:rsid w:val="005B4AEA"/>
    <w:rsid w:val="005B4E43"/>
    <w:rsid w:val="005B59F1"/>
    <w:rsid w:val="005B6CF5"/>
    <w:rsid w:val="005B754A"/>
    <w:rsid w:val="005B7D59"/>
    <w:rsid w:val="005C0625"/>
    <w:rsid w:val="005C12C7"/>
    <w:rsid w:val="005C2C07"/>
    <w:rsid w:val="005C2DA8"/>
    <w:rsid w:val="005C3F9A"/>
    <w:rsid w:val="005C44DB"/>
    <w:rsid w:val="005C456D"/>
    <w:rsid w:val="005C4D52"/>
    <w:rsid w:val="005C62B5"/>
    <w:rsid w:val="005C6939"/>
    <w:rsid w:val="005C7516"/>
    <w:rsid w:val="005C7C37"/>
    <w:rsid w:val="005D020B"/>
    <w:rsid w:val="005D0707"/>
    <w:rsid w:val="005D0C45"/>
    <w:rsid w:val="005D10BA"/>
    <w:rsid w:val="005D146B"/>
    <w:rsid w:val="005D1FAA"/>
    <w:rsid w:val="005D253C"/>
    <w:rsid w:val="005D3280"/>
    <w:rsid w:val="005D334F"/>
    <w:rsid w:val="005D36F5"/>
    <w:rsid w:val="005D3A16"/>
    <w:rsid w:val="005D3AF6"/>
    <w:rsid w:val="005D4362"/>
    <w:rsid w:val="005D716D"/>
    <w:rsid w:val="005D74DF"/>
    <w:rsid w:val="005D76E2"/>
    <w:rsid w:val="005E038E"/>
    <w:rsid w:val="005E17E2"/>
    <w:rsid w:val="005E2E9D"/>
    <w:rsid w:val="005E32D5"/>
    <w:rsid w:val="005E3B5E"/>
    <w:rsid w:val="005E49AE"/>
    <w:rsid w:val="005E5DD0"/>
    <w:rsid w:val="005E690B"/>
    <w:rsid w:val="005E6EEA"/>
    <w:rsid w:val="005F0417"/>
    <w:rsid w:val="005F0815"/>
    <w:rsid w:val="005F0D67"/>
    <w:rsid w:val="005F1A38"/>
    <w:rsid w:val="005F26B2"/>
    <w:rsid w:val="005F2713"/>
    <w:rsid w:val="005F4430"/>
    <w:rsid w:val="005F4467"/>
    <w:rsid w:val="005F452D"/>
    <w:rsid w:val="005F4A82"/>
    <w:rsid w:val="005F542F"/>
    <w:rsid w:val="005F63F5"/>
    <w:rsid w:val="005F6751"/>
    <w:rsid w:val="005F6793"/>
    <w:rsid w:val="005F6F8A"/>
    <w:rsid w:val="005F74BE"/>
    <w:rsid w:val="006004C3"/>
    <w:rsid w:val="00600557"/>
    <w:rsid w:val="00600728"/>
    <w:rsid w:val="00600E99"/>
    <w:rsid w:val="00601975"/>
    <w:rsid w:val="0060284D"/>
    <w:rsid w:val="00602CC2"/>
    <w:rsid w:val="006031FF"/>
    <w:rsid w:val="00603332"/>
    <w:rsid w:val="00603BC8"/>
    <w:rsid w:val="006041E4"/>
    <w:rsid w:val="00605969"/>
    <w:rsid w:val="00605A9F"/>
    <w:rsid w:val="00605D5E"/>
    <w:rsid w:val="006069AE"/>
    <w:rsid w:val="0061076B"/>
    <w:rsid w:val="00610B2B"/>
    <w:rsid w:val="00612FC9"/>
    <w:rsid w:val="006132DF"/>
    <w:rsid w:val="00613EF4"/>
    <w:rsid w:val="006155CB"/>
    <w:rsid w:val="006163A9"/>
    <w:rsid w:val="00616BC2"/>
    <w:rsid w:val="0062009F"/>
    <w:rsid w:val="006208EA"/>
    <w:rsid w:val="00622C02"/>
    <w:rsid w:val="00626054"/>
    <w:rsid w:val="0062693D"/>
    <w:rsid w:val="00626A5B"/>
    <w:rsid w:val="00627970"/>
    <w:rsid w:val="00627A17"/>
    <w:rsid w:val="00627E9A"/>
    <w:rsid w:val="00627EB6"/>
    <w:rsid w:val="006312A6"/>
    <w:rsid w:val="00631404"/>
    <w:rsid w:val="006314DC"/>
    <w:rsid w:val="006320BC"/>
    <w:rsid w:val="00633172"/>
    <w:rsid w:val="006338B3"/>
    <w:rsid w:val="00633EE6"/>
    <w:rsid w:val="006341E3"/>
    <w:rsid w:val="006347F3"/>
    <w:rsid w:val="00635D24"/>
    <w:rsid w:val="0063637C"/>
    <w:rsid w:val="006364BB"/>
    <w:rsid w:val="00636B63"/>
    <w:rsid w:val="00637175"/>
    <w:rsid w:val="006374A7"/>
    <w:rsid w:val="006421D9"/>
    <w:rsid w:val="006427EE"/>
    <w:rsid w:val="00642C04"/>
    <w:rsid w:val="00643799"/>
    <w:rsid w:val="00644A98"/>
    <w:rsid w:val="00644BF7"/>
    <w:rsid w:val="00644C8C"/>
    <w:rsid w:val="006500FB"/>
    <w:rsid w:val="00650849"/>
    <w:rsid w:val="00650D03"/>
    <w:rsid w:val="00652FA3"/>
    <w:rsid w:val="0065310A"/>
    <w:rsid w:val="00653329"/>
    <w:rsid w:val="00653E69"/>
    <w:rsid w:val="006544A8"/>
    <w:rsid w:val="006557D9"/>
    <w:rsid w:val="006560B4"/>
    <w:rsid w:val="006560FC"/>
    <w:rsid w:val="0065668F"/>
    <w:rsid w:val="00656D74"/>
    <w:rsid w:val="00656E2D"/>
    <w:rsid w:val="00657318"/>
    <w:rsid w:val="006575F8"/>
    <w:rsid w:val="00657F6F"/>
    <w:rsid w:val="00661458"/>
    <w:rsid w:val="00661FEF"/>
    <w:rsid w:val="006626AF"/>
    <w:rsid w:val="00663B20"/>
    <w:rsid w:val="006645BB"/>
    <w:rsid w:val="00664A6C"/>
    <w:rsid w:val="00665B04"/>
    <w:rsid w:val="00666DF9"/>
    <w:rsid w:val="00667E9A"/>
    <w:rsid w:val="006703B1"/>
    <w:rsid w:val="00670AB0"/>
    <w:rsid w:val="00671BA3"/>
    <w:rsid w:val="00671E6A"/>
    <w:rsid w:val="00673753"/>
    <w:rsid w:val="00673A8C"/>
    <w:rsid w:val="00673C8F"/>
    <w:rsid w:val="006753FE"/>
    <w:rsid w:val="00675714"/>
    <w:rsid w:val="00675FD8"/>
    <w:rsid w:val="00676096"/>
    <w:rsid w:val="0068004B"/>
    <w:rsid w:val="00680A20"/>
    <w:rsid w:val="00680E97"/>
    <w:rsid w:val="00681148"/>
    <w:rsid w:val="00681338"/>
    <w:rsid w:val="006814E2"/>
    <w:rsid w:val="006822C4"/>
    <w:rsid w:val="006828A5"/>
    <w:rsid w:val="00682B63"/>
    <w:rsid w:val="00682EFE"/>
    <w:rsid w:val="00683440"/>
    <w:rsid w:val="00683D62"/>
    <w:rsid w:val="00684232"/>
    <w:rsid w:val="00684638"/>
    <w:rsid w:val="006846BD"/>
    <w:rsid w:val="00684E88"/>
    <w:rsid w:val="0068578B"/>
    <w:rsid w:val="00686B92"/>
    <w:rsid w:val="00686D0A"/>
    <w:rsid w:val="0068796B"/>
    <w:rsid w:val="006901E9"/>
    <w:rsid w:val="00691435"/>
    <w:rsid w:val="0069165A"/>
    <w:rsid w:val="006916FA"/>
    <w:rsid w:val="00691788"/>
    <w:rsid w:val="00691E59"/>
    <w:rsid w:val="006947F4"/>
    <w:rsid w:val="0069486A"/>
    <w:rsid w:val="00694C50"/>
    <w:rsid w:val="00695CCE"/>
    <w:rsid w:val="006A02C7"/>
    <w:rsid w:val="006A0791"/>
    <w:rsid w:val="006A10B6"/>
    <w:rsid w:val="006A2F89"/>
    <w:rsid w:val="006A34CB"/>
    <w:rsid w:val="006A35A3"/>
    <w:rsid w:val="006A3B91"/>
    <w:rsid w:val="006A4BB5"/>
    <w:rsid w:val="006A512D"/>
    <w:rsid w:val="006A5142"/>
    <w:rsid w:val="006A656C"/>
    <w:rsid w:val="006A6667"/>
    <w:rsid w:val="006A7906"/>
    <w:rsid w:val="006B0FFA"/>
    <w:rsid w:val="006B1829"/>
    <w:rsid w:val="006B234B"/>
    <w:rsid w:val="006B32C1"/>
    <w:rsid w:val="006B44D2"/>
    <w:rsid w:val="006B460E"/>
    <w:rsid w:val="006B4D3B"/>
    <w:rsid w:val="006B6921"/>
    <w:rsid w:val="006B6A3C"/>
    <w:rsid w:val="006B79FE"/>
    <w:rsid w:val="006C0F1B"/>
    <w:rsid w:val="006C104F"/>
    <w:rsid w:val="006C13D7"/>
    <w:rsid w:val="006C1650"/>
    <w:rsid w:val="006C1DB9"/>
    <w:rsid w:val="006C1E6D"/>
    <w:rsid w:val="006C204F"/>
    <w:rsid w:val="006C328B"/>
    <w:rsid w:val="006C34DF"/>
    <w:rsid w:val="006C4B21"/>
    <w:rsid w:val="006C5047"/>
    <w:rsid w:val="006C79CB"/>
    <w:rsid w:val="006C7DD2"/>
    <w:rsid w:val="006D0044"/>
    <w:rsid w:val="006D0130"/>
    <w:rsid w:val="006D0F35"/>
    <w:rsid w:val="006D0FBA"/>
    <w:rsid w:val="006D25AB"/>
    <w:rsid w:val="006D2BEE"/>
    <w:rsid w:val="006D2FBF"/>
    <w:rsid w:val="006D4B8B"/>
    <w:rsid w:val="006D5223"/>
    <w:rsid w:val="006D5306"/>
    <w:rsid w:val="006D5673"/>
    <w:rsid w:val="006D6111"/>
    <w:rsid w:val="006D68A9"/>
    <w:rsid w:val="006D6BD6"/>
    <w:rsid w:val="006D6DC2"/>
    <w:rsid w:val="006D7D54"/>
    <w:rsid w:val="006E0396"/>
    <w:rsid w:val="006E05E7"/>
    <w:rsid w:val="006E0846"/>
    <w:rsid w:val="006E0BA0"/>
    <w:rsid w:val="006E0E72"/>
    <w:rsid w:val="006E2560"/>
    <w:rsid w:val="006E3585"/>
    <w:rsid w:val="006E3CF1"/>
    <w:rsid w:val="006E3E54"/>
    <w:rsid w:val="006E4464"/>
    <w:rsid w:val="006E4674"/>
    <w:rsid w:val="006E4D1D"/>
    <w:rsid w:val="006E4DFC"/>
    <w:rsid w:val="006E50BC"/>
    <w:rsid w:val="006E54D0"/>
    <w:rsid w:val="006E558E"/>
    <w:rsid w:val="006E6CC8"/>
    <w:rsid w:val="006E6D02"/>
    <w:rsid w:val="006E70EC"/>
    <w:rsid w:val="006E7D8F"/>
    <w:rsid w:val="006F055C"/>
    <w:rsid w:val="006F118C"/>
    <w:rsid w:val="006F1584"/>
    <w:rsid w:val="006F172E"/>
    <w:rsid w:val="006F1BA2"/>
    <w:rsid w:val="006F29BD"/>
    <w:rsid w:val="006F2E20"/>
    <w:rsid w:val="006F2FCA"/>
    <w:rsid w:val="006F39E6"/>
    <w:rsid w:val="006F4B57"/>
    <w:rsid w:val="006F4BF8"/>
    <w:rsid w:val="006F4D10"/>
    <w:rsid w:val="006F583A"/>
    <w:rsid w:val="006F5877"/>
    <w:rsid w:val="006F5D8C"/>
    <w:rsid w:val="006F6E38"/>
    <w:rsid w:val="006F6F36"/>
    <w:rsid w:val="006F70A7"/>
    <w:rsid w:val="007008DD"/>
    <w:rsid w:val="0070147B"/>
    <w:rsid w:val="007014DA"/>
    <w:rsid w:val="00701B79"/>
    <w:rsid w:val="00701FBA"/>
    <w:rsid w:val="00702E54"/>
    <w:rsid w:val="00703AA1"/>
    <w:rsid w:val="00703B70"/>
    <w:rsid w:val="00704404"/>
    <w:rsid w:val="00705239"/>
    <w:rsid w:val="007055B1"/>
    <w:rsid w:val="00707839"/>
    <w:rsid w:val="007078E0"/>
    <w:rsid w:val="007110B8"/>
    <w:rsid w:val="00711CBB"/>
    <w:rsid w:val="00712119"/>
    <w:rsid w:val="007139DC"/>
    <w:rsid w:val="007146C2"/>
    <w:rsid w:val="00715C66"/>
    <w:rsid w:val="00715CC7"/>
    <w:rsid w:val="007177F7"/>
    <w:rsid w:val="00720578"/>
    <w:rsid w:val="00720A04"/>
    <w:rsid w:val="00721336"/>
    <w:rsid w:val="00722013"/>
    <w:rsid w:val="00722425"/>
    <w:rsid w:val="007229EE"/>
    <w:rsid w:val="00722D6D"/>
    <w:rsid w:val="007239C7"/>
    <w:rsid w:val="0072510E"/>
    <w:rsid w:val="00726523"/>
    <w:rsid w:val="00726CF8"/>
    <w:rsid w:val="007279D7"/>
    <w:rsid w:val="0073010B"/>
    <w:rsid w:val="007304FC"/>
    <w:rsid w:val="00730850"/>
    <w:rsid w:val="00731824"/>
    <w:rsid w:val="00731F9E"/>
    <w:rsid w:val="00732A6C"/>
    <w:rsid w:val="00732CAC"/>
    <w:rsid w:val="00732CC4"/>
    <w:rsid w:val="00733452"/>
    <w:rsid w:val="00733772"/>
    <w:rsid w:val="007350A5"/>
    <w:rsid w:val="007357EF"/>
    <w:rsid w:val="00736284"/>
    <w:rsid w:val="007362F3"/>
    <w:rsid w:val="0073648D"/>
    <w:rsid w:val="00736F70"/>
    <w:rsid w:val="0074012A"/>
    <w:rsid w:val="007412E6"/>
    <w:rsid w:val="00741415"/>
    <w:rsid w:val="00741569"/>
    <w:rsid w:val="00741C54"/>
    <w:rsid w:val="00742C0B"/>
    <w:rsid w:val="0074354A"/>
    <w:rsid w:val="007435D3"/>
    <w:rsid w:val="0074486D"/>
    <w:rsid w:val="00744920"/>
    <w:rsid w:val="007449D4"/>
    <w:rsid w:val="00745252"/>
    <w:rsid w:val="007453D0"/>
    <w:rsid w:val="00747C66"/>
    <w:rsid w:val="00752C38"/>
    <w:rsid w:val="0075351F"/>
    <w:rsid w:val="00753865"/>
    <w:rsid w:val="00753C19"/>
    <w:rsid w:val="00753F3B"/>
    <w:rsid w:val="00754E4C"/>
    <w:rsid w:val="0075575D"/>
    <w:rsid w:val="007557C3"/>
    <w:rsid w:val="00755CC5"/>
    <w:rsid w:val="007565B0"/>
    <w:rsid w:val="00756A7F"/>
    <w:rsid w:val="00756B3D"/>
    <w:rsid w:val="007570D4"/>
    <w:rsid w:val="007577F3"/>
    <w:rsid w:val="00757EA4"/>
    <w:rsid w:val="00760AA2"/>
    <w:rsid w:val="00762BC9"/>
    <w:rsid w:val="00762F5D"/>
    <w:rsid w:val="00762F9D"/>
    <w:rsid w:val="0076368D"/>
    <w:rsid w:val="0076550E"/>
    <w:rsid w:val="007674B0"/>
    <w:rsid w:val="007674C4"/>
    <w:rsid w:val="00767C36"/>
    <w:rsid w:val="0077045D"/>
    <w:rsid w:val="0077079F"/>
    <w:rsid w:val="00770EF7"/>
    <w:rsid w:val="00771E2E"/>
    <w:rsid w:val="00772551"/>
    <w:rsid w:val="00772D13"/>
    <w:rsid w:val="007746B3"/>
    <w:rsid w:val="007749E7"/>
    <w:rsid w:val="00774C47"/>
    <w:rsid w:val="00774D2A"/>
    <w:rsid w:val="0077649D"/>
    <w:rsid w:val="00776CD5"/>
    <w:rsid w:val="007770C7"/>
    <w:rsid w:val="00777E2E"/>
    <w:rsid w:val="00777ED6"/>
    <w:rsid w:val="007829D7"/>
    <w:rsid w:val="007839AA"/>
    <w:rsid w:val="00785532"/>
    <w:rsid w:val="0078677A"/>
    <w:rsid w:val="00787F86"/>
    <w:rsid w:val="00790AD9"/>
    <w:rsid w:val="0079173F"/>
    <w:rsid w:val="00791D10"/>
    <w:rsid w:val="00791D36"/>
    <w:rsid w:val="00792EF3"/>
    <w:rsid w:val="00792FEA"/>
    <w:rsid w:val="00793AAC"/>
    <w:rsid w:val="00793CED"/>
    <w:rsid w:val="00794AC4"/>
    <w:rsid w:val="00795195"/>
    <w:rsid w:val="00797F76"/>
    <w:rsid w:val="007A0399"/>
    <w:rsid w:val="007A0CFC"/>
    <w:rsid w:val="007A15CA"/>
    <w:rsid w:val="007A2A45"/>
    <w:rsid w:val="007A2D20"/>
    <w:rsid w:val="007A2F7B"/>
    <w:rsid w:val="007A3622"/>
    <w:rsid w:val="007A4A51"/>
    <w:rsid w:val="007A5A09"/>
    <w:rsid w:val="007A7408"/>
    <w:rsid w:val="007A7817"/>
    <w:rsid w:val="007A7DCB"/>
    <w:rsid w:val="007A7F3C"/>
    <w:rsid w:val="007B001A"/>
    <w:rsid w:val="007B0675"/>
    <w:rsid w:val="007B17F5"/>
    <w:rsid w:val="007B24E5"/>
    <w:rsid w:val="007B2AA6"/>
    <w:rsid w:val="007B2EF2"/>
    <w:rsid w:val="007B3586"/>
    <w:rsid w:val="007B3D3F"/>
    <w:rsid w:val="007B40DB"/>
    <w:rsid w:val="007B45A6"/>
    <w:rsid w:val="007B4AD0"/>
    <w:rsid w:val="007B527B"/>
    <w:rsid w:val="007B7183"/>
    <w:rsid w:val="007B7D02"/>
    <w:rsid w:val="007C0433"/>
    <w:rsid w:val="007C0663"/>
    <w:rsid w:val="007C07A1"/>
    <w:rsid w:val="007C0F26"/>
    <w:rsid w:val="007C248B"/>
    <w:rsid w:val="007C2C65"/>
    <w:rsid w:val="007C333E"/>
    <w:rsid w:val="007C3ED8"/>
    <w:rsid w:val="007C50E5"/>
    <w:rsid w:val="007C61A1"/>
    <w:rsid w:val="007C661E"/>
    <w:rsid w:val="007C6D49"/>
    <w:rsid w:val="007C70D4"/>
    <w:rsid w:val="007C71BC"/>
    <w:rsid w:val="007C7383"/>
    <w:rsid w:val="007C7DA5"/>
    <w:rsid w:val="007D326B"/>
    <w:rsid w:val="007D3C2D"/>
    <w:rsid w:val="007D428C"/>
    <w:rsid w:val="007D45FC"/>
    <w:rsid w:val="007D535A"/>
    <w:rsid w:val="007D589E"/>
    <w:rsid w:val="007D5FC1"/>
    <w:rsid w:val="007D619A"/>
    <w:rsid w:val="007D6410"/>
    <w:rsid w:val="007D74FD"/>
    <w:rsid w:val="007D7F14"/>
    <w:rsid w:val="007D7FC0"/>
    <w:rsid w:val="007E0323"/>
    <w:rsid w:val="007E083A"/>
    <w:rsid w:val="007E1338"/>
    <w:rsid w:val="007E2E0E"/>
    <w:rsid w:val="007E376C"/>
    <w:rsid w:val="007E3AEA"/>
    <w:rsid w:val="007E3C73"/>
    <w:rsid w:val="007E422A"/>
    <w:rsid w:val="007E56E9"/>
    <w:rsid w:val="007E60A6"/>
    <w:rsid w:val="007F073E"/>
    <w:rsid w:val="007F2875"/>
    <w:rsid w:val="007F35DF"/>
    <w:rsid w:val="007F39AE"/>
    <w:rsid w:val="007F3D6E"/>
    <w:rsid w:val="007F4CB6"/>
    <w:rsid w:val="007F5A47"/>
    <w:rsid w:val="007F6D79"/>
    <w:rsid w:val="007F6D7E"/>
    <w:rsid w:val="007F6F65"/>
    <w:rsid w:val="007F7B74"/>
    <w:rsid w:val="007F7B99"/>
    <w:rsid w:val="007F7C36"/>
    <w:rsid w:val="00800652"/>
    <w:rsid w:val="00800A66"/>
    <w:rsid w:val="008015E1"/>
    <w:rsid w:val="00801DE1"/>
    <w:rsid w:val="008020BC"/>
    <w:rsid w:val="0080221C"/>
    <w:rsid w:val="00802B32"/>
    <w:rsid w:val="0080345E"/>
    <w:rsid w:val="008037EB"/>
    <w:rsid w:val="00803BD4"/>
    <w:rsid w:val="00803CB6"/>
    <w:rsid w:val="008043CE"/>
    <w:rsid w:val="0080460C"/>
    <w:rsid w:val="00804C0F"/>
    <w:rsid w:val="00805DBB"/>
    <w:rsid w:val="0080624F"/>
    <w:rsid w:val="008066D8"/>
    <w:rsid w:val="00807429"/>
    <w:rsid w:val="00807650"/>
    <w:rsid w:val="008106F1"/>
    <w:rsid w:val="00810D1A"/>
    <w:rsid w:val="00813638"/>
    <w:rsid w:val="00813FFE"/>
    <w:rsid w:val="00814490"/>
    <w:rsid w:val="00815D2B"/>
    <w:rsid w:val="00816346"/>
    <w:rsid w:val="00816F74"/>
    <w:rsid w:val="00820063"/>
    <w:rsid w:val="00820A01"/>
    <w:rsid w:val="00821536"/>
    <w:rsid w:val="00821A67"/>
    <w:rsid w:val="00821AC8"/>
    <w:rsid w:val="008221BA"/>
    <w:rsid w:val="008223D7"/>
    <w:rsid w:val="0082288A"/>
    <w:rsid w:val="00822A2E"/>
    <w:rsid w:val="00822B2D"/>
    <w:rsid w:val="00823203"/>
    <w:rsid w:val="00823612"/>
    <w:rsid w:val="00823624"/>
    <w:rsid w:val="00823D12"/>
    <w:rsid w:val="00824419"/>
    <w:rsid w:val="0082717C"/>
    <w:rsid w:val="00827374"/>
    <w:rsid w:val="00830F0D"/>
    <w:rsid w:val="008312A1"/>
    <w:rsid w:val="0083245D"/>
    <w:rsid w:val="008337DE"/>
    <w:rsid w:val="00833BEB"/>
    <w:rsid w:val="0083416C"/>
    <w:rsid w:val="0083473F"/>
    <w:rsid w:val="008361A6"/>
    <w:rsid w:val="00836568"/>
    <w:rsid w:val="0083741D"/>
    <w:rsid w:val="0083769E"/>
    <w:rsid w:val="008379B4"/>
    <w:rsid w:val="00837CF3"/>
    <w:rsid w:val="0084066A"/>
    <w:rsid w:val="00841154"/>
    <w:rsid w:val="00841C5E"/>
    <w:rsid w:val="00842202"/>
    <w:rsid w:val="008459E9"/>
    <w:rsid w:val="00847CC8"/>
    <w:rsid w:val="00851738"/>
    <w:rsid w:val="0085335F"/>
    <w:rsid w:val="00853C35"/>
    <w:rsid w:val="00855C30"/>
    <w:rsid w:val="00856FB0"/>
    <w:rsid w:val="00857923"/>
    <w:rsid w:val="00857B17"/>
    <w:rsid w:val="00860AE0"/>
    <w:rsid w:val="00862D81"/>
    <w:rsid w:val="00863639"/>
    <w:rsid w:val="008636F9"/>
    <w:rsid w:val="0086377D"/>
    <w:rsid w:val="00864FBF"/>
    <w:rsid w:val="008664D0"/>
    <w:rsid w:val="00867277"/>
    <w:rsid w:val="00867283"/>
    <w:rsid w:val="00867602"/>
    <w:rsid w:val="00867D77"/>
    <w:rsid w:val="008710C1"/>
    <w:rsid w:val="00871194"/>
    <w:rsid w:val="0087131D"/>
    <w:rsid w:val="00872D00"/>
    <w:rsid w:val="00872FEE"/>
    <w:rsid w:val="00873369"/>
    <w:rsid w:val="008738C6"/>
    <w:rsid w:val="00873FB0"/>
    <w:rsid w:val="00875344"/>
    <w:rsid w:val="00875E54"/>
    <w:rsid w:val="0087661B"/>
    <w:rsid w:val="00876F6D"/>
    <w:rsid w:val="00877623"/>
    <w:rsid w:val="00877E07"/>
    <w:rsid w:val="008806D2"/>
    <w:rsid w:val="00881BCF"/>
    <w:rsid w:val="0088296B"/>
    <w:rsid w:val="00883FE0"/>
    <w:rsid w:val="00884479"/>
    <w:rsid w:val="0088517C"/>
    <w:rsid w:val="00885CAA"/>
    <w:rsid w:val="00886132"/>
    <w:rsid w:val="00886C9D"/>
    <w:rsid w:val="0088768F"/>
    <w:rsid w:val="00887A61"/>
    <w:rsid w:val="0089093C"/>
    <w:rsid w:val="00890BA4"/>
    <w:rsid w:val="00891025"/>
    <w:rsid w:val="0089182B"/>
    <w:rsid w:val="00891BC7"/>
    <w:rsid w:val="00892780"/>
    <w:rsid w:val="00892ECD"/>
    <w:rsid w:val="00893031"/>
    <w:rsid w:val="00893C96"/>
    <w:rsid w:val="00894A35"/>
    <w:rsid w:val="00894CDB"/>
    <w:rsid w:val="0089512C"/>
    <w:rsid w:val="00895549"/>
    <w:rsid w:val="0089627E"/>
    <w:rsid w:val="00896637"/>
    <w:rsid w:val="008966DE"/>
    <w:rsid w:val="00896CBB"/>
    <w:rsid w:val="00897190"/>
    <w:rsid w:val="008974DE"/>
    <w:rsid w:val="0089786E"/>
    <w:rsid w:val="00897CCC"/>
    <w:rsid w:val="008A0B60"/>
    <w:rsid w:val="008A165C"/>
    <w:rsid w:val="008A3307"/>
    <w:rsid w:val="008A3946"/>
    <w:rsid w:val="008A3B7A"/>
    <w:rsid w:val="008A3D78"/>
    <w:rsid w:val="008A4852"/>
    <w:rsid w:val="008A6C1D"/>
    <w:rsid w:val="008A6D02"/>
    <w:rsid w:val="008A7553"/>
    <w:rsid w:val="008A7EDA"/>
    <w:rsid w:val="008B1191"/>
    <w:rsid w:val="008B1CA7"/>
    <w:rsid w:val="008B264F"/>
    <w:rsid w:val="008B30ED"/>
    <w:rsid w:val="008B5455"/>
    <w:rsid w:val="008B55BA"/>
    <w:rsid w:val="008B5734"/>
    <w:rsid w:val="008B59BC"/>
    <w:rsid w:val="008B5F13"/>
    <w:rsid w:val="008B6243"/>
    <w:rsid w:val="008B6906"/>
    <w:rsid w:val="008B6F88"/>
    <w:rsid w:val="008B798E"/>
    <w:rsid w:val="008C06E8"/>
    <w:rsid w:val="008C1B17"/>
    <w:rsid w:val="008C2DAC"/>
    <w:rsid w:val="008C3A48"/>
    <w:rsid w:val="008C43FD"/>
    <w:rsid w:val="008C5225"/>
    <w:rsid w:val="008C5FC3"/>
    <w:rsid w:val="008C65DC"/>
    <w:rsid w:val="008D0099"/>
    <w:rsid w:val="008D1817"/>
    <w:rsid w:val="008D212B"/>
    <w:rsid w:val="008D2A2D"/>
    <w:rsid w:val="008D352E"/>
    <w:rsid w:val="008D48C5"/>
    <w:rsid w:val="008D490A"/>
    <w:rsid w:val="008D7D65"/>
    <w:rsid w:val="008E078E"/>
    <w:rsid w:val="008E12A5"/>
    <w:rsid w:val="008E1648"/>
    <w:rsid w:val="008E2300"/>
    <w:rsid w:val="008E37A5"/>
    <w:rsid w:val="008E3F4F"/>
    <w:rsid w:val="008E4226"/>
    <w:rsid w:val="008E6E4F"/>
    <w:rsid w:val="008E6E69"/>
    <w:rsid w:val="008E7161"/>
    <w:rsid w:val="008E739F"/>
    <w:rsid w:val="008E7CBE"/>
    <w:rsid w:val="008F02A8"/>
    <w:rsid w:val="008F084F"/>
    <w:rsid w:val="008F1AE0"/>
    <w:rsid w:val="008F2414"/>
    <w:rsid w:val="008F2850"/>
    <w:rsid w:val="008F3716"/>
    <w:rsid w:val="008F4CE8"/>
    <w:rsid w:val="008F5E8D"/>
    <w:rsid w:val="008F6765"/>
    <w:rsid w:val="008F71E7"/>
    <w:rsid w:val="0090192A"/>
    <w:rsid w:val="00901966"/>
    <w:rsid w:val="00902694"/>
    <w:rsid w:val="00902767"/>
    <w:rsid w:val="009028F6"/>
    <w:rsid w:val="00902EB7"/>
    <w:rsid w:val="009030ED"/>
    <w:rsid w:val="009037E8"/>
    <w:rsid w:val="00903CB5"/>
    <w:rsid w:val="00903F30"/>
    <w:rsid w:val="00904525"/>
    <w:rsid w:val="00904FF6"/>
    <w:rsid w:val="009053A7"/>
    <w:rsid w:val="009065B3"/>
    <w:rsid w:val="00907048"/>
    <w:rsid w:val="009075C8"/>
    <w:rsid w:val="00907FF4"/>
    <w:rsid w:val="00910888"/>
    <w:rsid w:val="00910A92"/>
    <w:rsid w:val="0091193D"/>
    <w:rsid w:val="00912D3A"/>
    <w:rsid w:val="00912D57"/>
    <w:rsid w:val="0091342F"/>
    <w:rsid w:val="009143F0"/>
    <w:rsid w:val="009148F4"/>
    <w:rsid w:val="009156EA"/>
    <w:rsid w:val="00915817"/>
    <w:rsid w:val="009158CE"/>
    <w:rsid w:val="00915D6F"/>
    <w:rsid w:val="00915EDC"/>
    <w:rsid w:val="00920077"/>
    <w:rsid w:val="009203DC"/>
    <w:rsid w:val="00920EE9"/>
    <w:rsid w:val="00922097"/>
    <w:rsid w:val="009222D5"/>
    <w:rsid w:val="0092308C"/>
    <w:rsid w:val="00923554"/>
    <w:rsid w:val="00923845"/>
    <w:rsid w:val="00923867"/>
    <w:rsid w:val="00923A56"/>
    <w:rsid w:val="009243DA"/>
    <w:rsid w:val="00926E99"/>
    <w:rsid w:val="00927589"/>
    <w:rsid w:val="00927B77"/>
    <w:rsid w:val="00927E30"/>
    <w:rsid w:val="0093015F"/>
    <w:rsid w:val="009305D4"/>
    <w:rsid w:val="00930A5D"/>
    <w:rsid w:val="00930ED1"/>
    <w:rsid w:val="00931009"/>
    <w:rsid w:val="0093197F"/>
    <w:rsid w:val="00931BE0"/>
    <w:rsid w:val="00932418"/>
    <w:rsid w:val="009326E1"/>
    <w:rsid w:val="00933228"/>
    <w:rsid w:val="00933558"/>
    <w:rsid w:val="00933F42"/>
    <w:rsid w:val="00934254"/>
    <w:rsid w:val="00936944"/>
    <w:rsid w:val="00937255"/>
    <w:rsid w:val="00937272"/>
    <w:rsid w:val="00941764"/>
    <w:rsid w:val="0094334A"/>
    <w:rsid w:val="00943608"/>
    <w:rsid w:val="00943DC3"/>
    <w:rsid w:val="009442FB"/>
    <w:rsid w:val="009448BB"/>
    <w:rsid w:val="00944E20"/>
    <w:rsid w:val="0094511C"/>
    <w:rsid w:val="009457BC"/>
    <w:rsid w:val="0094600A"/>
    <w:rsid w:val="0094704F"/>
    <w:rsid w:val="0094720F"/>
    <w:rsid w:val="009476B9"/>
    <w:rsid w:val="00950939"/>
    <w:rsid w:val="0095271F"/>
    <w:rsid w:val="00952B76"/>
    <w:rsid w:val="00952BB5"/>
    <w:rsid w:val="00954FC1"/>
    <w:rsid w:val="00955529"/>
    <w:rsid w:val="00955782"/>
    <w:rsid w:val="00955CA3"/>
    <w:rsid w:val="00957175"/>
    <w:rsid w:val="00957FF8"/>
    <w:rsid w:val="00961986"/>
    <w:rsid w:val="00961CB6"/>
    <w:rsid w:val="00961D5C"/>
    <w:rsid w:val="00962F14"/>
    <w:rsid w:val="0096374E"/>
    <w:rsid w:val="00963BA5"/>
    <w:rsid w:val="00963CA8"/>
    <w:rsid w:val="00964515"/>
    <w:rsid w:val="0096551F"/>
    <w:rsid w:val="00966257"/>
    <w:rsid w:val="009667D6"/>
    <w:rsid w:val="00966DE5"/>
    <w:rsid w:val="00966F4F"/>
    <w:rsid w:val="0096729E"/>
    <w:rsid w:val="009700C4"/>
    <w:rsid w:val="00970173"/>
    <w:rsid w:val="00971992"/>
    <w:rsid w:val="009724F2"/>
    <w:rsid w:val="009728D8"/>
    <w:rsid w:val="0097379B"/>
    <w:rsid w:val="00973A1A"/>
    <w:rsid w:val="009741E8"/>
    <w:rsid w:val="009753F3"/>
    <w:rsid w:val="0097550B"/>
    <w:rsid w:val="00976684"/>
    <w:rsid w:val="00981658"/>
    <w:rsid w:val="00981B51"/>
    <w:rsid w:val="00981E00"/>
    <w:rsid w:val="0098246E"/>
    <w:rsid w:val="00982DE0"/>
    <w:rsid w:val="00983525"/>
    <w:rsid w:val="00983F86"/>
    <w:rsid w:val="009841BF"/>
    <w:rsid w:val="00984E72"/>
    <w:rsid w:val="0098531D"/>
    <w:rsid w:val="0098541B"/>
    <w:rsid w:val="00986C04"/>
    <w:rsid w:val="00987A0B"/>
    <w:rsid w:val="0099011D"/>
    <w:rsid w:val="0099113E"/>
    <w:rsid w:val="00992504"/>
    <w:rsid w:val="009926F0"/>
    <w:rsid w:val="00992EEC"/>
    <w:rsid w:val="00993876"/>
    <w:rsid w:val="00993E6F"/>
    <w:rsid w:val="00994631"/>
    <w:rsid w:val="00994E6F"/>
    <w:rsid w:val="00994EEA"/>
    <w:rsid w:val="0099595B"/>
    <w:rsid w:val="00996767"/>
    <w:rsid w:val="00997A1C"/>
    <w:rsid w:val="00997B34"/>
    <w:rsid w:val="009A043C"/>
    <w:rsid w:val="009A1EA6"/>
    <w:rsid w:val="009A1EEF"/>
    <w:rsid w:val="009A25E8"/>
    <w:rsid w:val="009A27FE"/>
    <w:rsid w:val="009A2BB9"/>
    <w:rsid w:val="009A4A5B"/>
    <w:rsid w:val="009A4A60"/>
    <w:rsid w:val="009A4BA1"/>
    <w:rsid w:val="009A6B96"/>
    <w:rsid w:val="009A7707"/>
    <w:rsid w:val="009B0E2A"/>
    <w:rsid w:val="009B0EEB"/>
    <w:rsid w:val="009B2216"/>
    <w:rsid w:val="009B33E0"/>
    <w:rsid w:val="009B4D6F"/>
    <w:rsid w:val="009B51A0"/>
    <w:rsid w:val="009B5405"/>
    <w:rsid w:val="009B60FC"/>
    <w:rsid w:val="009B6BAE"/>
    <w:rsid w:val="009B71C8"/>
    <w:rsid w:val="009B7A75"/>
    <w:rsid w:val="009C0263"/>
    <w:rsid w:val="009C0CAD"/>
    <w:rsid w:val="009C0D60"/>
    <w:rsid w:val="009C1651"/>
    <w:rsid w:val="009C1990"/>
    <w:rsid w:val="009C2A1B"/>
    <w:rsid w:val="009C4BC7"/>
    <w:rsid w:val="009C5288"/>
    <w:rsid w:val="009C71D7"/>
    <w:rsid w:val="009C7495"/>
    <w:rsid w:val="009C792A"/>
    <w:rsid w:val="009D0009"/>
    <w:rsid w:val="009D0439"/>
    <w:rsid w:val="009D0E7A"/>
    <w:rsid w:val="009D1C56"/>
    <w:rsid w:val="009D1EA5"/>
    <w:rsid w:val="009D237A"/>
    <w:rsid w:val="009D245E"/>
    <w:rsid w:val="009D2966"/>
    <w:rsid w:val="009D33EC"/>
    <w:rsid w:val="009D3C0A"/>
    <w:rsid w:val="009D4098"/>
    <w:rsid w:val="009D4141"/>
    <w:rsid w:val="009D491B"/>
    <w:rsid w:val="009D4A72"/>
    <w:rsid w:val="009D51F1"/>
    <w:rsid w:val="009D55CC"/>
    <w:rsid w:val="009D73B9"/>
    <w:rsid w:val="009D7AAB"/>
    <w:rsid w:val="009D7DEF"/>
    <w:rsid w:val="009D7E99"/>
    <w:rsid w:val="009E0674"/>
    <w:rsid w:val="009E21F1"/>
    <w:rsid w:val="009E3FF2"/>
    <w:rsid w:val="009E4861"/>
    <w:rsid w:val="009E4DEE"/>
    <w:rsid w:val="009E5AAE"/>
    <w:rsid w:val="009E5FB6"/>
    <w:rsid w:val="009E7454"/>
    <w:rsid w:val="009E7F6E"/>
    <w:rsid w:val="009F013A"/>
    <w:rsid w:val="009F17B8"/>
    <w:rsid w:val="009F2B4E"/>
    <w:rsid w:val="009F457A"/>
    <w:rsid w:val="009F49BE"/>
    <w:rsid w:val="009F4EF1"/>
    <w:rsid w:val="009F6974"/>
    <w:rsid w:val="00A00040"/>
    <w:rsid w:val="00A004A3"/>
    <w:rsid w:val="00A01CDA"/>
    <w:rsid w:val="00A025DF"/>
    <w:rsid w:val="00A03B59"/>
    <w:rsid w:val="00A03BBB"/>
    <w:rsid w:val="00A04141"/>
    <w:rsid w:val="00A04869"/>
    <w:rsid w:val="00A04885"/>
    <w:rsid w:val="00A04C79"/>
    <w:rsid w:val="00A052A6"/>
    <w:rsid w:val="00A0578C"/>
    <w:rsid w:val="00A05BCA"/>
    <w:rsid w:val="00A0629B"/>
    <w:rsid w:val="00A06615"/>
    <w:rsid w:val="00A078F3"/>
    <w:rsid w:val="00A07C6B"/>
    <w:rsid w:val="00A104A8"/>
    <w:rsid w:val="00A11456"/>
    <w:rsid w:val="00A115EF"/>
    <w:rsid w:val="00A126AA"/>
    <w:rsid w:val="00A13D98"/>
    <w:rsid w:val="00A1414B"/>
    <w:rsid w:val="00A15B81"/>
    <w:rsid w:val="00A16D96"/>
    <w:rsid w:val="00A17439"/>
    <w:rsid w:val="00A20D11"/>
    <w:rsid w:val="00A21CD8"/>
    <w:rsid w:val="00A22F0E"/>
    <w:rsid w:val="00A24180"/>
    <w:rsid w:val="00A244E1"/>
    <w:rsid w:val="00A24698"/>
    <w:rsid w:val="00A24DC8"/>
    <w:rsid w:val="00A24F37"/>
    <w:rsid w:val="00A25F8E"/>
    <w:rsid w:val="00A261D5"/>
    <w:rsid w:val="00A26B7F"/>
    <w:rsid w:val="00A26E3A"/>
    <w:rsid w:val="00A27448"/>
    <w:rsid w:val="00A308A0"/>
    <w:rsid w:val="00A30D42"/>
    <w:rsid w:val="00A31286"/>
    <w:rsid w:val="00A31936"/>
    <w:rsid w:val="00A350C4"/>
    <w:rsid w:val="00A3617C"/>
    <w:rsid w:val="00A3622D"/>
    <w:rsid w:val="00A37016"/>
    <w:rsid w:val="00A40256"/>
    <w:rsid w:val="00A40400"/>
    <w:rsid w:val="00A40FD8"/>
    <w:rsid w:val="00A417DD"/>
    <w:rsid w:val="00A41C78"/>
    <w:rsid w:val="00A41F46"/>
    <w:rsid w:val="00A423A9"/>
    <w:rsid w:val="00A4278B"/>
    <w:rsid w:val="00A42940"/>
    <w:rsid w:val="00A435C1"/>
    <w:rsid w:val="00A43DCC"/>
    <w:rsid w:val="00A43EA1"/>
    <w:rsid w:val="00A4432B"/>
    <w:rsid w:val="00A45722"/>
    <w:rsid w:val="00A50BB8"/>
    <w:rsid w:val="00A512A2"/>
    <w:rsid w:val="00A5177F"/>
    <w:rsid w:val="00A519CF"/>
    <w:rsid w:val="00A52AAB"/>
    <w:rsid w:val="00A52BD0"/>
    <w:rsid w:val="00A52DF3"/>
    <w:rsid w:val="00A5429B"/>
    <w:rsid w:val="00A545D9"/>
    <w:rsid w:val="00A60B08"/>
    <w:rsid w:val="00A61092"/>
    <w:rsid w:val="00A6245A"/>
    <w:rsid w:val="00A6282C"/>
    <w:rsid w:val="00A62C85"/>
    <w:rsid w:val="00A65064"/>
    <w:rsid w:val="00A651A9"/>
    <w:rsid w:val="00A65370"/>
    <w:rsid w:val="00A65A8E"/>
    <w:rsid w:val="00A66527"/>
    <w:rsid w:val="00A6683A"/>
    <w:rsid w:val="00A66E42"/>
    <w:rsid w:val="00A67314"/>
    <w:rsid w:val="00A703EF"/>
    <w:rsid w:val="00A70411"/>
    <w:rsid w:val="00A705AF"/>
    <w:rsid w:val="00A71040"/>
    <w:rsid w:val="00A7148A"/>
    <w:rsid w:val="00A71F21"/>
    <w:rsid w:val="00A726FF"/>
    <w:rsid w:val="00A72732"/>
    <w:rsid w:val="00A728F6"/>
    <w:rsid w:val="00A730A5"/>
    <w:rsid w:val="00A73A97"/>
    <w:rsid w:val="00A74FFC"/>
    <w:rsid w:val="00A75FC0"/>
    <w:rsid w:val="00A76633"/>
    <w:rsid w:val="00A7690A"/>
    <w:rsid w:val="00A81508"/>
    <w:rsid w:val="00A81844"/>
    <w:rsid w:val="00A83393"/>
    <w:rsid w:val="00A84424"/>
    <w:rsid w:val="00A85C5C"/>
    <w:rsid w:val="00A864E7"/>
    <w:rsid w:val="00A8709D"/>
    <w:rsid w:val="00A91601"/>
    <w:rsid w:val="00A935A5"/>
    <w:rsid w:val="00A93BF4"/>
    <w:rsid w:val="00A94400"/>
    <w:rsid w:val="00A94461"/>
    <w:rsid w:val="00A94576"/>
    <w:rsid w:val="00A94672"/>
    <w:rsid w:val="00A950F3"/>
    <w:rsid w:val="00A9573C"/>
    <w:rsid w:val="00A962E6"/>
    <w:rsid w:val="00A967FD"/>
    <w:rsid w:val="00A976C6"/>
    <w:rsid w:val="00AA03F9"/>
    <w:rsid w:val="00AA0454"/>
    <w:rsid w:val="00AA13BE"/>
    <w:rsid w:val="00AA30B4"/>
    <w:rsid w:val="00AA3274"/>
    <w:rsid w:val="00AA3854"/>
    <w:rsid w:val="00AA479C"/>
    <w:rsid w:val="00AA52D9"/>
    <w:rsid w:val="00AA54F8"/>
    <w:rsid w:val="00AA5C44"/>
    <w:rsid w:val="00AB0183"/>
    <w:rsid w:val="00AB050F"/>
    <w:rsid w:val="00AB0763"/>
    <w:rsid w:val="00AB0D12"/>
    <w:rsid w:val="00AB1699"/>
    <w:rsid w:val="00AB2909"/>
    <w:rsid w:val="00AB2D4B"/>
    <w:rsid w:val="00AB2E2F"/>
    <w:rsid w:val="00AB2E73"/>
    <w:rsid w:val="00AB30DA"/>
    <w:rsid w:val="00AB4E6D"/>
    <w:rsid w:val="00AB62EB"/>
    <w:rsid w:val="00AB6367"/>
    <w:rsid w:val="00AB645F"/>
    <w:rsid w:val="00AB66AD"/>
    <w:rsid w:val="00AB6E39"/>
    <w:rsid w:val="00AB7D5E"/>
    <w:rsid w:val="00AC0045"/>
    <w:rsid w:val="00AC04AC"/>
    <w:rsid w:val="00AC116E"/>
    <w:rsid w:val="00AC145D"/>
    <w:rsid w:val="00AC1C7D"/>
    <w:rsid w:val="00AC21CC"/>
    <w:rsid w:val="00AC2316"/>
    <w:rsid w:val="00AC2D3D"/>
    <w:rsid w:val="00AC405E"/>
    <w:rsid w:val="00AC4538"/>
    <w:rsid w:val="00AC4633"/>
    <w:rsid w:val="00AC5AB0"/>
    <w:rsid w:val="00AC6024"/>
    <w:rsid w:val="00AC6C7F"/>
    <w:rsid w:val="00AC6E1C"/>
    <w:rsid w:val="00AC7679"/>
    <w:rsid w:val="00AC7825"/>
    <w:rsid w:val="00AC7F4B"/>
    <w:rsid w:val="00AD22F2"/>
    <w:rsid w:val="00AD29CC"/>
    <w:rsid w:val="00AD2E22"/>
    <w:rsid w:val="00AD37F3"/>
    <w:rsid w:val="00AD3C33"/>
    <w:rsid w:val="00AD3DB9"/>
    <w:rsid w:val="00AD4CB4"/>
    <w:rsid w:val="00AD60CA"/>
    <w:rsid w:val="00AD6A97"/>
    <w:rsid w:val="00AE01DF"/>
    <w:rsid w:val="00AE224C"/>
    <w:rsid w:val="00AE2B6B"/>
    <w:rsid w:val="00AE3E87"/>
    <w:rsid w:val="00AE5387"/>
    <w:rsid w:val="00AE56B3"/>
    <w:rsid w:val="00AE603A"/>
    <w:rsid w:val="00AE6252"/>
    <w:rsid w:val="00AE6679"/>
    <w:rsid w:val="00AE6DF6"/>
    <w:rsid w:val="00AE7673"/>
    <w:rsid w:val="00AE7877"/>
    <w:rsid w:val="00AE788E"/>
    <w:rsid w:val="00AF0CA1"/>
    <w:rsid w:val="00AF1285"/>
    <w:rsid w:val="00AF137A"/>
    <w:rsid w:val="00AF19E2"/>
    <w:rsid w:val="00AF283B"/>
    <w:rsid w:val="00AF3B47"/>
    <w:rsid w:val="00AF5F4F"/>
    <w:rsid w:val="00AF6361"/>
    <w:rsid w:val="00AF6711"/>
    <w:rsid w:val="00AF6A88"/>
    <w:rsid w:val="00B0076C"/>
    <w:rsid w:val="00B01073"/>
    <w:rsid w:val="00B0117D"/>
    <w:rsid w:val="00B01A1F"/>
    <w:rsid w:val="00B01D0D"/>
    <w:rsid w:val="00B0268E"/>
    <w:rsid w:val="00B0387D"/>
    <w:rsid w:val="00B0392D"/>
    <w:rsid w:val="00B0395B"/>
    <w:rsid w:val="00B03D8F"/>
    <w:rsid w:val="00B041FC"/>
    <w:rsid w:val="00B04ABF"/>
    <w:rsid w:val="00B04C82"/>
    <w:rsid w:val="00B04CC2"/>
    <w:rsid w:val="00B04F3D"/>
    <w:rsid w:val="00B057D5"/>
    <w:rsid w:val="00B05B72"/>
    <w:rsid w:val="00B10AA3"/>
    <w:rsid w:val="00B11549"/>
    <w:rsid w:val="00B12111"/>
    <w:rsid w:val="00B128D1"/>
    <w:rsid w:val="00B12C51"/>
    <w:rsid w:val="00B13DAB"/>
    <w:rsid w:val="00B1547F"/>
    <w:rsid w:val="00B156C0"/>
    <w:rsid w:val="00B1632F"/>
    <w:rsid w:val="00B16BBC"/>
    <w:rsid w:val="00B16FFA"/>
    <w:rsid w:val="00B174E3"/>
    <w:rsid w:val="00B178A6"/>
    <w:rsid w:val="00B17C2F"/>
    <w:rsid w:val="00B23564"/>
    <w:rsid w:val="00B24042"/>
    <w:rsid w:val="00B24E4D"/>
    <w:rsid w:val="00B25002"/>
    <w:rsid w:val="00B25D68"/>
    <w:rsid w:val="00B2635F"/>
    <w:rsid w:val="00B26851"/>
    <w:rsid w:val="00B27EBB"/>
    <w:rsid w:val="00B3088B"/>
    <w:rsid w:val="00B30F50"/>
    <w:rsid w:val="00B31111"/>
    <w:rsid w:val="00B337CF"/>
    <w:rsid w:val="00B36175"/>
    <w:rsid w:val="00B37316"/>
    <w:rsid w:val="00B40ABE"/>
    <w:rsid w:val="00B40EFC"/>
    <w:rsid w:val="00B41611"/>
    <w:rsid w:val="00B41B9B"/>
    <w:rsid w:val="00B43225"/>
    <w:rsid w:val="00B4379B"/>
    <w:rsid w:val="00B44A7A"/>
    <w:rsid w:val="00B44B18"/>
    <w:rsid w:val="00B454B2"/>
    <w:rsid w:val="00B45D59"/>
    <w:rsid w:val="00B460FB"/>
    <w:rsid w:val="00B47A6A"/>
    <w:rsid w:val="00B47F6B"/>
    <w:rsid w:val="00B50400"/>
    <w:rsid w:val="00B5236D"/>
    <w:rsid w:val="00B523E3"/>
    <w:rsid w:val="00B52F45"/>
    <w:rsid w:val="00B53475"/>
    <w:rsid w:val="00B538AB"/>
    <w:rsid w:val="00B53BCA"/>
    <w:rsid w:val="00B5434B"/>
    <w:rsid w:val="00B549A0"/>
    <w:rsid w:val="00B54C94"/>
    <w:rsid w:val="00B54EC1"/>
    <w:rsid w:val="00B56D88"/>
    <w:rsid w:val="00B60116"/>
    <w:rsid w:val="00B60A95"/>
    <w:rsid w:val="00B61D09"/>
    <w:rsid w:val="00B620DA"/>
    <w:rsid w:val="00B623D5"/>
    <w:rsid w:val="00B63549"/>
    <w:rsid w:val="00B639D3"/>
    <w:rsid w:val="00B64138"/>
    <w:rsid w:val="00B650A9"/>
    <w:rsid w:val="00B662C8"/>
    <w:rsid w:val="00B6698A"/>
    <w:rsid w:val="00B672D6"/>
    <w:rsid w:val="00B67475"/>
    <w:rsid w:val="00B6769A"/>
    <w:rsid w:val="00B679C9"/>
    <w:rsid w:val="00B713D9"/>
    <w:rsid w:val="00B71457"/>
    <w:rsid w:val="00B7244C"/>
    <w:rsid w:val="00B724B1"/>
    <w:rsid w:val="00B735BF"/>
    <w:rsid w:val="00B73BC7"/>
    <w:rsid w:val="00B769F3"/>
    <w:rsid w:val="00B779B4"/>
    <w:rsid w:val="00B8024A"/>
    <w:rsid w:val="00B80DB4"/>
    <w:rsid w:val="00B81FA8"/>
    <w:rsid w:val="00B83A8C"/>
    <w:rsid w:val="00B842E3"/>
    <w:rsid w:val="00B84773"/>
    <w:rsid w:val="00B84B98"/>
    <w:rsid w:val="00B8501F"/>
    <w:rsid w:val="00B853DA"/>
    <w:rsid w:val="00B857CC"/>
    <w:rsid w:val="00B85C0A"/>
    <w:rsid w:val="00B86023"/>
    <w:rsid w:val="00B86610"/>
    <w:rsid w:val="00B9024E"/>
    <w:rsid w:val="00B904FF"/>
    <w:rsid w:val="00B91560"/>
    <w:rsid w:val="00B917FA"/>
    <w:rsid w:val="00B91FDB"/>
    <w:rsid w:val="00B920A6"/>
    <w:rsid w:val="00B9272A"/>
    <w:rsid w:val="00B92B7D"/>
    <w:rsid w:val="00B92EA3"/>
    <w:rsid w:val="00B93621"/>
    <w:rsid w:val="00B94214"/>
    <w:rsid w:val="00B94BB8"/>
    <w:rsid w:val="00B96206"/>
    <w:rsid w:val="00B96763"/>
    <w:rsid w:val="00B97145"/>
    <w:rsid w:val="00BA0144"/>
    <w:rsid w:val="00BA0430"/>
    <w:rsid w:val="00BA0875"/>
    <w:rsid w:val="00BA0A3D"/>
    <w:rsid w:val="00BA14ED"/>
    <w:rsid w:val="00BA1787"/>
    <w:rsid w:val="00BA312A"/>
    <w:rsid w:val="00BA68F7"/>
    <w:rsid w:val="00BA703A"/>
    <w:rsid w:val="00BA7D68"/>
    <w:rsid w:val="00BB0401"/>
    <w:rsid w:val="00BB2883"/>
    <w:rsid w:val="00BB32C9"/>
    <w:rsid w:val="00BB4F5D"/>
    <w:rsid w:val="00BB51C2"/>
    <w:rsid w:val="00BB7104"/>
    <w:rsid w:val="00BB7CC6"/>
    <w:rsid w:val="00BC0018"/>
    <w:rsid w:val="00BC0283"/>
    <w:rsid w:val="00BC0614"/>
    <w:rsid w:val="00BC09B5"/>
    <w:rsid w:val="00BC0B8A"/>
    <w:rsid w:val="00BC1212"/>
    <w:rsid w:val="00BC13BD"/>
    <w:rsid w:val="00BC19E5"/>
    <w:rsid w:val="00BC2290"/>
    <w:rsid w:val="00BC26BE"/>
    <w:rsid w:val="00BC2AEF"/>
    <w:rsid w:val="00BC2BE9"/>
    <w:rsid w:val="00BC3348"/>
    <w:rsid w:val="00BC399E"/>
    <w:rsid w:val="00BC42FD"/>
    <w:rsid w:val="00BC5BE9"/>
    <w:rsid w:val="00BC6819"/>
    <w:rsid w:val="00BC7359"/>
    <w:rsid w:val="00BC739C"/>
    <w:rsid w:val="00BC76B7"/>
    <w:rsid w:val="00BD0FFF"/>
    <w:rsid w:val="00BD11FE"/>
    <w:rsid w:val="00BD1A7C"/>
    <w:rsid w:val="00BD23C2"/>
    <w:rsid w:val="00BD356F"/>
    <w:rsid w:val="00BD4948"/>
    <w:rsid w:val="00BD6042"/>
    <w:rsid w:val="00BD60C9"/>
    <w:rsid w:val="00BD721F"/>
    <w:rsid w:val="00BE0C65"/>
    <w:rsid w:val="00BE0FFB"/>
    <w:rsid w:val="00BE122C"/>
    <w:rsid w:val="00BE152C"/>
    <w:rsid w:val="00BE1E0E"/>
    <w:rsid w:val="00BE3593"/>
    <w:rsid w:val="00BE3E65"/>
    <w:rsid w:val="00BE40B9"/>
    <w:rsid w:val="00BE4448"/>
    <w:rsid w:val="00BE5068"/>
    <w:rsid w:val="00BE515D"/>
    <w:rsid w:val="00BE5CDE"/>
    <w:rsid w:val="00BE715F"/>
    <w:rsid w:val="00BE7907"/>
    <w:rsid w:val="00BF01E7"/>
    <w:rsid w:val="00BF0ECF"/>
    <w:rsid w:val="00BF11B4"/>
    <w:rsid w:val="00BF1E5B"/>
    <w:rsid w:val="00BF2488"/>
    <w:rsid w:val="00BF24E6"/>
    <w:rsid w:val="00BF28F7"/>
    <w:rsid w:val="00BF3F4E"/>
    <w:rsid w:val="00BF4371"/>
    <w:rsid w:val="00BF4799"/>
    <w:rsid w:val="00BF47F8"/>
    <w:rsid w:val="00BF4B51"/>
    <w:rsid w:val="00BF4C7A"/>
    <w:rsid w:val="00BF4F2C"/>
    <w:rsid w:val="00BF5249"/>
    <w:rsid w:val="00BF5A05"/>
    <w:rsid w:val="00BF5DD9"/>
    <w:rsid w:val="00BF6868"/>
    <w:rsid w:val="00BF6DB2"/>
    <w:rsid w:val="00BF7757"/>
    <w:rsid w:val="00C01772"/>
    <w:rsid w:val="00C01B86"/>
    <w:rsid w:val="00C02D08"/>
    <w:rsid w:val="00C03DCF"/>
    <w:rsid w:val="00C04A96"/>
    <w:rsid w:val="00C04E30"/>
    <w:rsid w:val="00C05490"/>
    <w:rsid w:val="00C05D92"/>
    <w:rsid w:val="00C05E0D"/>
    <w:rsid w:val="00C06A9E"/>
    <w:rsid w:val="00C07421"/>
    <w:rsid w:val="00C07949"/>
    <w:rsid w:val="00C07A92"/>
    <w:rsid w:val="00C07B43"/>
    <w:rsid w:val="00C07CB5"/>
    <w:rsid w:val="00C07DB6"/>
    <w:rsid w:val="00C07EB8"/>
    <w:rsid w:val="00C1009A"/>
    <w:rsid w:val="00C10250"/>
    <w:rsid w:val="00C1071E"/>
    <w:rsid w:val="00C108C2"/>
    <w:rsid w:val="00C10FAD"/>
    <w:rsid w:val="00C133C9"/>
    <w:rsid w:val="00C14FC8"/>
    <w:rsid w:val="00C1531A"/>
    <w:rsid w:val="00C15380"/>
    <w:rsid w:val="00C15936"/>
    <w:rsid w:val="00C160BC"/>
    <w:rsid w:val="00C166F9"/>
    <w:rsid w:val="00C20B5E"/>
    <w:rsid w:val="00C224DC"/>
    <w:rsid w:val="00C22C9E"/>
    <w:rsid w:val="00C23D45"/>
    <w:rsid w:val="00C242F8"/>
    <w:rsid w:val="00C24FE6"/>
    <w:rsid w:val="00C25D88"/>
    <w:rsid w:val="00C270C2"/>
    <w:rsid w:val="00C275DC"/>
    <w:rsid w:val="00C30170"/>
    <w:rsid w:val="00C30242"/>
    <w:rsid w:val="00C31249"/>
    <w:rsid w:val="00C3160C"/>
    <w:rsid w:val="00C31624"/>
    <w:rsid w:val="00C31B84"/>
    <w:rsid w:val="00C31C9D"/>
    <w:rsid w:val="00C32972"/>
    <w:rsid w:val="00C3302A"/>
    <w:rsid w:val="00C33937"/>
    <w:rsid w:val="00C35A38"/>
    <w:rsid w:val="00C36D1A"/>
    <w:rsid w:val="00C37614"/>
    <w:rsid w:val="00C4060C"/>
    <w:rsid w:val="00C41DD5"/>
    <w:rsid w:val="00C42D2B"/>
    <w:rsid w:val="00C42DD5"/>
    <w:rsid w:val="00C438F6"/>
    <w:rsid w:val="00C43EB5"/>
    <w:rsid w:val="00C44A79"/>
    <w:rsid w:val="00C45100"/>
    <w:rsid w:val="00C45E52"/>
    <w:rsid w:val="00C465BF"/>
    <w:rsid w:val="00C46D4D"/>
    <w:rsid w:val="00C4761E"/>
    <w:rsid w:val="00C478BA"/>
    <w:rsid w:val="00C47D60"/>
    <w:rsid w:val="00C47EFC"/>
    <w:rsid w:val="00C51081"/>
    <w:rsid w:val="00C51265"/>
    <w:rsid w:val="00C51951"/>
    <w:rsid w:val="00C521B4"/>
    <w:rsid w:val="00C52E9B"/>
    <w:rsid w:val="00C53A0A"/>
    <w:rsid w:val="00C54613"/>
    <w:rsid w:val="00C57483"/>
    <w:rsid w:val="00C57F2E"/>
    <w:rsid w:val="00C601F4"/>
    <w:rsid w:val="00C6059C"/>
    <w:rsid w:val="00C60A5C"/>
    <w:rsid w:val="00C61B01"/>
    <w:rsid w:val="00C61F28"/>
    <w:rsid w:val="00C62989"/>
    <w:rsid w:val="00C6368A"/>
    <w:rsid w:val="00C63D6E"/>
    <w:rsid w:val="00C641A3"/>
    <w:rsid w:val="00C65A57"/>
    <w:rsid w:val="00C66DAE"/>
    <w:rsid w:val="00C710FB"/>
    <w:rsid w:val="00C71D33"/>
    <w:rsid w:val="00C72169"/>
    <w:rsid w:val="00C72A08"/>
    <w:rsid w:val="00C73F68"/>
    <w:rsid w:val="00C74EDC"/>
    <w:rsid w:val="00C758FE"/>
    <w:rsid w:val="00C775EA"/>
    <w:rsid w:val="00C8116B"/>
    <w:rsid w:val="00C81270"/>
    <w:rsid w:val="00C812F8"/>
    <w:rsid w:val="00C818EB"/>
    <w:rsid w:val="00C819D0"/>
    <w:rsid w:val="00C83484"/>
    <w:rsid w:val="00C8381B"/>
    <w:rsid w:val="00C83979"/>
    <w:rsid w:val="00C843A0"/>
    <w:rsid w:val="00C85053"/>
    <w:rsid w:val="00C851F4"/>
    <w:rsid w:val="00C85569"/>
    <w:rsid w:val="00C85E22"/>
    <w:rsid w:val="00C862BB"/>
    <w:rsid w:val="00C86A2D"/>
    <w:rsid w:val="00C87432"/>
    <w:rsid w:val="00C8778E"/>
    <w:rsid w:val="00C9192D"/>
    <w:rsid w:val="00C925E8"/>
    <w:rsid w:val="00C95F18"/>
    <w:rsid w:val="00C97375"/>
    <w:rsid w:val="00C97A62"/>
    <w:rsid w:val="00CA1467"/>
    <w:rsid w:val="00CA1E62"/>
    <w:rsid w:val="00CA203E"/>
    <w:rsid w:val="00CA24B2"/>
    <w:rsid w:val="00CA259D"/>
    <w:rsid w:val="00CA2CFF"/>
    <w:rsid w:val="00CA2FE5"/>
    <w:rsid w:val="00CA3068"/>
    <w:rsid w:val="00CA3AB1"/>
    <w:rsid w:val="00CA3FC3"/>
    <w:rsid w:val="00CA4006"/>
    <w:rsid w:val="00CA428A"/>
    <w:rsid w:val="00CA4413"/>
    <w:rsid w:val="00CA4F07"/>
    <w:rsid w:val="00CA526E"/>
    <w:rsid w:val="00CA5B21"/>
    <w:rsid w:val="00CA6D99"/>
    <w:rsid w:val="00CA6E4D"/>
    <w:rsid w:val="00CA6E52"/>
    <w:rsid w:val="00CA7BC3"/>
    <w:rsid w:val="00CB1DE5"/>
    <w:rsid w:val="00CB2201"/>
    <w:rsid w:val="00CB3169"/>
    <w:rsid w:val="00CB4DD6"/>
    <w:rsid w:val="00CB58DC"/>
    <w:rsid w:val="00CB6B81"/>
    <w:rsid w:val="00CB6CD3"/>
    <w:rsid w:val="00CB7B79"/>
    <w:rsid w:val="00CC00B2"/>
    <w:rsid w:val="00CC0AEA"/>
    <w:rsid w:val="00CC1FEA"/>
    <w:rsid w:val="00CC215B"/>
    <w:rsid w:val="00CC24C6"/>
    <w:rsid w:val="00CC3DCE"/>
    <w:rsid w:val="00CC49B8"/>
    <w:rsid w:val="00CC5672"/>
    <w:rsid w:val="00CC5F73"/>
    <w:rsid w:val="00CC63CF"/>
    <w:rsid w:val="00CC6C1F"/>
    <w:rsid w:val="00CD09F7"/>
    <w:rsid w:val="00CD0A15"/>
    <w:rsid w:val="00CD15D6"/>
    <w:rsid w:val="00CD178D"/>
    <w:rsid w:val="00CD1C00"/>
    <w:rsid w:val="00CD1E41"/>
    <w:rsid w:val="00CD2177"/>
    <w:rsid w:val="00CD2520"/>
    <w:rsid w:val="00CD2CA7"/>
    <w:rsid w:val="00CD2DDC"/>
    <w:rsid w:val="00CD407C"/>
    <w:rsid w:val="00CD42F5"/>
    <w:rsid w:val="00CD4D06"/>
    <w:rsid w:val="00CD76E2"/>
    <w:rsid w:val="00CD7F9F"/>
    <w:rsid w:val="00CE14CA"/>
    <w:rsid w:val="00CE1625"/>
    <w:rsid w:val="00CE268C"/>
    <w:rsid w:val="00CE29EC"/>
    <w:rsid w:val="00CE3725"/>
    <w:rsid w:val="00CE4A59"/>
    <w:rsid w:val="00CE5CE7"/>
    <w:rsid w:val="00CE641F"/>
    <w:rsid w:val="00CE6E6E"/>
    <w:rsid w:val="00CE7D6A"/>
    <w:rsid w:val="00CF04FD"/>
    <w:rsid w:val="00CF0EBA"/>
    <w:rsid w:val="00CF104B"/>
    <w:rsid w:val="00CF16F5"/>
    <w:rsid w:val="00CF22AA"/>
    <w:rsid w:val="00CF3655"/>
    <w:rsid w:val="00CF3656"/>
    <w:rsid w:val="00CF3A51"/>
    <w:rsid w:val="00CF3FA1"/>
    <w:rsid w:val="00CF44AA"/>
    <w:rsid w:val="00CF451C"/>
    <w:rsid w:val="00CF5B49"/>
    <w:rsid w:val="00CF6091"/>
    <w:rsid w:val="00CF6401"/>
    <w:rsid w:val="00CF6540"/>
    <w:rsid w:val="00CF6A53"/>
    <w:rsid w:val="00CF7094"/>
    <w:rsid w:val="00CF73C7"/>
    <w:rsid w:val="00CF7667"/>
    <w:rsid w:val="00D005CB"/>
    <w:rsid w:val="00D01775"/>
    <w:rsid w:val="00D0345C"/>
    <w:rsid w:val="00D04A3E"/>
    <w:rsid w:val="00D06301"/>
    <w:rsid w:val="00D06B5F"/>
    <w:rsid w:val="00D06D3D"/>
    <w:rsid w:val="00D06F59"/>
    <w:rsid w:val="00D10F2A"/>
    <w:rsid w:val="00D12F3B"/>
    <w:rsid w:val="00D13597"/>
    <w:rsid w:val="00D13602"/>
    <w:rsid w:val="00D14218"/>
    <w:rsid w:val="00D143CE"/>
    <w:rsid w:val="00D1493B"/>
    <w:rsid w:val="00D14FB4"/>
    <w:rsid w:val="00D15A2E"/>
    <w:rsid w:val="00D15C48"/>
    <w:rsid w:val="00D16827"/>
    <w:rsid w:val="00D16A0A"/>
    <w:rsid w:val="00D16CEB"/>
    <w:rsid w:val="00D16FCF"/>
    <w:rsid w:val="00D17860"/>
    <w:rsid w:val="00D1798B"/>
    <w:rsid w:val="00D208D5"/>
    <w:rsid w:val="00D20C90"/>
    <w:rsid w:val="00D21BD0"/>
    <w:rsid w:val="00D22F6D"/>
    <w:rsid w:val="00D23BBC"/>
    <w:rsid w:val="00D24784"/>
    <w:rsid w:val="00D24C8B"/>
    <w:rsid w:val="00D252CE"/>
    <w:rsid w:val="00D2633A"/>
    <w:rsid w:val="00D26A87"/>
    <w:rsid w:val="00D27484"/>
    <w:rsid w:val="00D27844"/>
    <w:rsid w:val="00D312B4"/>
    <w:rsid w:val="00D3168B"/>
    <w:rsid w:val="00D328F3"/>
    <w:rsid w:val="00D33684"/>
    <w:rsid w:val="00D33D28"/>
    <w:rsid w:val="00D3435B"/>
    <w:rsid w:val="00D3477A"/>
    <w:rsid w:val="00D34A43"/>
    <w:rsid w:val="00D352BE"/>
    <w:rsid w:val="00D36BB8"/>
    <w:rsid w:val="00D36D32"/>
    <w:rsid w:val="00D37A39"/>
    <w:rsid w:val="00D44471"/>
    <w:rsid w:val="00D44B94"/>
    <w:rsid w:val="00D45613"/>
    <w:rsid w:val="00D4661E"/>
    <w:rsid w:val="00D46F49"/>
    <w:rsid w:val="00D4750A"/>
    <w:rsid w:val="00D5009B"/>
    <w:rsid w:val="00D520F9"/>
    <w:rsid w:val="00D52917"/>
    <w:rsid w:val="00D54CB4"/>
    <w:rsid w:val="00D563BB"/>
    <w:rsid w:val="00D56462"/>
    <w:rsid w:val="00D568DF"/>
    <w:rsid w:val="00D56EA6"/>
    <w:rsid w:val="00D571CC"/>
    <w:rsid w:val="00D606DC"/>
    <w:rsid w:val="00D624A6"/>
    <w:rsid w:val="00D63724"/>
    <w:rsid w:val="00D64AED"/>
    <w:rsid w:val="00D64D10"/>
    <w:rsid w:val="00D661B0"/>
    <w:rsid w:val="00D66A97"/>
    <w:rsid w:val="00D66D29"/>
    <w:rsid w:val="00D710F8"/>
    <w:rsid w:val="00D711F9"/>
    <w:rsid w:val="00D71663"/>
    <w:rsid w:val="00D726A8"/>
    <w:rsid w:val="00D72752"/>
    <w:rsid w:val="00D75882"/>
    <w:rsid w:val="00D7725D"/>
    <w:rsid w:val="00D7736E"/>
    <w:rsid w:val="00D777F4"/>
    <w:rsid w:val="00D77CD1"/>
    <w:rsid w:val="00D77F3A"/>
    <w:rsid w:val="00D80B54"/>
    <w:rsid w:val="00D81454"/>
    <w:rsid w:val="00D81AB4"/>
    <w:rsid w:val="00D823E0"/>
    <w:rsid w:val="00D826C5"/>
    <w:rsid w:val="00D84F7D"/>
    <w:rsid w:val="00D857C3"/>
    <w:rsid w:val="00D90681"/>
    <w:rsid w:val="00D90976"/>
    <w:rsid w:val="00D92583"/>
    <w:rsid w:val="00D9394E"/>
    <w:rsid w:val="00D94120"/>
    <w:rsid w:val="00D9459A"/>
    <w:rsid w:val="00D945F7"/>
    <w:rsid w:val="00D94996"/>
    <w:rsid w:val="00D94B21"/>
    <w:rsid w:val="00D962CC"/>
    <w:rsid w:val="00D9682C"/>
    <w:rsid w:val="00D97D0D"/>
    <w:rsid w:val="00DA0ADA"/>
    <w:rsid w:val="00DA1903"/>
    <w:rsid w:val="00DA1FC1"/>
    <w:rsid w:val="00DA2308"/>
    <w:rsid w:val="00DA280E"/>
    <w:rsid w:val="00DA39EF"/>
    <w:rsid w:val="00DA3F10"/>
    <w:rsid w:val="00DA4E37"/>
    <w:rsid w:val="00DA6A0A"/>
    <w:rsid w:val="00DA798E"/>
    <w:rsid w:val="00DB0122"/>
    <w:rsid w:val="00DB1007"/>
    <w:rsid w:val="00DB2CAC"/>
    <w:rsid w:val="00DB3097"/>
    <w:rsid w:val="00DB392A"/>
    <w:rsid w:val="00DB393E"/>
    <w:rsid w:val="00DB3F34"/>
    <w:rsid w:val="00DB4098"/>
    <w:rsid w:val="00DB40CC"/>
    <w:rsid w:val="00DB522D"/>
    <w:rsid w:val="00DB5A4C"/>
    <w:rsid w:val="00DB617D"/>
    <w:rsid w:val="00DB732E"/>
    <w:rsid w:val="00DB7427"/>
    <w:rsid w:val="00DC1830"/>
    <w:rsid w:val="00DC20B0"/>
    <w:rsid w:val="00DC3C8E"/>
    <w:rsid w:val="00DC525D"/>
    <w:rsid w:val="00DC6094"/>
    <w:rsid w:val="00DC62C4"/>
    <w:rsid w:val="00DC683B"/>
    <w:rsid w:val="00DC6BA4"/>
    <w:rsid w:val="00DC6BCF"/>
    <w:rsid w:val="00DC752D"/>
    <w:rsid w:val="00DC75F8"/>
    <w:rsid w:val="00DC7DE7"/>
    <w:rsid w:val="00DD0ABE"/>
    <w:rsid w:val="00DD0DBD"/>
    <w:rsid w:val="00DD148B"/>
    <w:rsid w:val="00DD215D"/>
    <w:rsid w:val="00DD244A"/>
    <w:rsid w:val="00DD2592"/>
    <w:rsid w:val="00DD3DCF"/>
    <w:rsid w:val="00DD4610"/>
    <w:rsid w:val="00DD4C55"/>
    <w:rsid w:val="00DD551E"/>
    <w:rsid w:val="00DD6CBF"/>
    <w:rsid w:val="00DD70A7"/>
    <w:rsid w:val="00DE01D4"/>
    <w:rsid w:val="00DE06DE"/>
    <w:rsid w:val="00DE0FAD"/>
    <w:rsid w:val="00DE2B9B"/>
    <w:rsid w:val="00DE3077"/>
    <w:rsid w:val="00DE3B15"/>
    <w:rsid w:val="00DE44B6"/>
    <w:rsid w:val="00DE4A42"/>
    <w:rsid w:val="00DE57FE"/>
    <w:rsid w:val="00DE5D7E"/>
    <w:rsid w:val="00DF02E9"/>
    <w:rsid w:val="00DF1EF1"/>
    <w:rsid w:val="00DF2935"/>
    <w:rsid w:val="00DF2976"/>
    <w:rsid w:val="00DF2B73"/>
    <w:rsid w:val="00DF452D"/>
    <w:rsid w:val="00DF58D2"/>
    <w:rsid w:val="00DF64EE"/>
    <w:rsid w:val="00DF6B8F"/>
    <w:rsid w:val="00DF6DBF"/>
    <w:rsid w:val="00DF6F23"/>
    <w:rsid w:val="00DF7EE2"/>
    <w:rsid w:val="00E00157"/>
    <w:rsid w:val="00E002DD"/>
    <w:rsid w:val="00E00B0F"/>
    <w:rsid w:val="00E019C4"/>
    <w:rsid w:val="00E02AB8"/>
    <w:rsid w:val="00E02B09"/>
    <w:rsid w:val="00E0389D"/>
    <w:rsid w:val="00E03B66"/>
    <w:rsid w:val="00E0473B"/>
    <w:rsid w:val="00E04D58"/>
    <w:rsid w:val="00E052CB"/>
    <w:rsid w:val="00E055BE"/>
    <w:rsid w:val="00E0573E"/>
    <w:rsid w:val="00E05A00"/>
    <w:rsid w:val="00E06370"/>
    <w:rsid w:val="00E06435"/>
    <w:rsid w:val="00E10166"/>
    <w:rsid w:val="00E11715"/>
    <w:rsid w:val="00E11758"/>
    <w:rsid w:val="00E122E3"/>
    <w:rsid w:val="00E123A8"/>
    <w:rsid w:val="00E124CF"/>
    <w:rsid w:val="00E14275"/>
    <w:rsid w:val="00E14804"/>
    <w:rsid w:val="00E14A25"/>
    <w:rsid w:val="00E15034"/>
    <w:rsid w:val="00E15A52"/>
    <w:rsid w:val="00E17A6B"/>
    <w:rsid w:val="00E17D85"/>
    <w:rsid w:val="00E2017F"/>
    <w:rsid w:val="00E2020C"/>
    <w:rsid w:val="00E20661"/>
    <w:rsid w:val="00E207B5"/>
    <w:rsid w:val="00E21E0A"/>
    <w:rsid w:val="00E22153"/>
    <w:rsid w:val="00E224EA"/>
    <w:rsid w:val="00E244B5"/>
    <w:rsid w:val="00E24E53"/>
    <w:rsid w:val="00E255C1"/>
    <w:rsid w:val="00E3009B"/>
    <w:rsid w:val="00E311FC"/>
    <w:rsid w:val="00E31824"/>
    <w:rsid w:val="00E31924"/>
    <w:rsid w:val="00E319AB"/>
    <w:rsid w:val="00E33654"/>
    <w:rsid w:val="00E352E9"/>
    <w:rsid w:val="00E35A49"/>
    <w:rsid w:val="00E3727D"/>
    <w:rsid w:val="00E4061E"/>
    <w:rsid w:val="00E40A23"/>
    <w:rsid w:val="00E4130B"/>
    <w:rsid w:val="00E414F9"/>
    <w:rsid w:val="00E42691"/>
    <w:rsid w:val="00E4415D"/>
    <w:rsid w:val="00E450DD"/>
    <w:rsid w:val="00E45E52"/>
    <w:rsid w:val="00E46EC6"/>
    <w:rsid w:val="00E47AE2"/>
    <w:rsid w:val="00E47F19"/>
    <w:rsid w:val="00E505AA"/>
    <w:rsid w:val="00E51CA1"/>
    <w:rsid w:val="00E525BC"/>
    <w:rsid w:val="00E52E43"/>
    <w:rsid w:val="00E530F1"/>
    <w:rsid w:val="00E53484"/>
    <w:rsid w:val="00E53F16"/>
    <w:rsid w:val="00E5465F"/>
    <w:rsid w:val="00E54B4F"/>
    <w:rsid w:val="00E5551A"/>
    <w:rsid w:val="00E55BD3"/>
    <w:rsid w:val="00E566E4"/>
    <w:rsid w:val="00E56EFE"/>
    <w:rsid w:val="00E56FCB"/>
    <w:rsid w:val="00E57261"/>
    <w:rsid w:val="00E578EA"/>
    <w:rsid w:val="00E6005E"/>
    <w:rsid w:val="00E603B3"/>
    <w:rsid w:val="00E61459"/>
    <w:rsid w:val="00E621B6"/>
    <w:rsid w:val="00E62794"/>
    <w:rsid w:val="00E6480A"/>
    <w:rsid w:val="00E64EC1"/>
    <w:rsid w:val="00E665FC"/>
    <w:rsid w:val="00E671C9"/>
    <w:rsid w:val="00E6799E"/>
    <w:rsid w:val="00E7194C"/>
    <w:rsid w:val="00E71EB5"/>
    <w:rsid w:val="00E7215F"/>
    <w:rsid w:val="00E725BD"/>
    <w:rsid w:val="00E73869"/>
    <w:rsid w:val="00E758E0"/>
    <w:rsid w:val="00E762EA"/>
    <w:rsid w:val="00E76919"/>
    <w:rsid w:val="00E7794C"/>
    <w:rsid w:val="00E77BAC"/>
    <w:rsid w:val="00E802B9"/>
    <w:rsid w:val="00E8168F"/>
    <w:rsid w:val="00E82400"/>
    <w:rsid w:val="00E834B7"/>
    <w:rsid w:val="00E8418E"/>
    <w:rsid w:val="00E84AD5"/>
    <w:rsid w:val="00E85718"/>
    <w:rsid w:val="00E85B42"/>
    <w:rsid w:val="00E876DA"/>
    <w:rsid w:val="00E87C30"/>
    <w:rsid w:val="00E90B90"/>
    <w:rsid w:val="00E90F7F"/>
    <w:rsid w:val="00E90FE8"/>
    <w:rsid w:val="00E91FBB"/>
    <w:rsid w:val="00E926BA"/>
    <w:rsid w:val="00E93665"/>
    <w:rsid w:val="00E93971"/>
    <w:rsid w:val="00E9439E"/>
    <w:rsid w:val="00E948F4"/>
    <w:rsid w:val="00E9511D"/>
    <w:rsid w:val="00E966A7"/>
    <w:rsid w:val="00E966B9"/>
    <w:rsid w:val="00E97109"/>
    <w:rsid w:val="00EA05A6"/>
    <w:rsid w:val="00EA1600"/>
    <w:rsid w:val="00EA250C"/>
    <w:rsid w:val="00EA28AC"/>
    <w:rsid w:val="00EA309B"/>
    <w:rsid w:val="00EA3D15"/>
    <w:rsid w:val="00EA4F33"/>
    <w:rsid w:val="00EA7B5A"/>
    <w:rsid w:val="00EB073B"/>
    <w:rsid w:val="00EB1BCF"/>
    <w:rsid w:val="00EB1F30"/>
    <w:rsid w:val="00EB20C8"/>
    <w:rsid w:val="00EB3093"/>
    <w:rsid w:val="00EB30DE"/>
    <w:rsid w:val="00EB3C85"/>
    <w:rsid w:val="00EB425F"/>
    <w:rsid w:val="00EB52D3"/>
    <w:rsid w:val="00EB5ABD"/>
    <w:rsid w:val="00EB5ADB"/>
    <w:rsid w:val="00EB5D11"/>
    <w:rsid w:val="00EB6F5B"/>
    <w:rsid w:val="00EB79C6"/>
    <w:rsid w:val="00EB7D7E"/>
    <w:rsid w:val="00EB7E58"/>
    <w:rsid w:val="00EC2402"/>
    <w:rsid w:val="00EC34BC"/>
    <w:rsid w:val="00EC36B3"/>
    <w:rsid w:val="00EC440F"/>
    <w:rsid w:val="00EC50D6"/>
    <w:rsid w:val="00EC50E1"/>
    <w:rsid w:val="00EC53C6"/>
    <w:rsid w:val="00EC5922"/>
    <w:rsid w:val="00EC5A03"/>
    <w:rsid w:val="00EC63B7"/>
    <w:rsid w:val="00EC6A3D"/>
    <w:rsid w:val="00EC6D8F"/>
    <w:rsid w:val="00EC7889"/>
    <w:rsid w:val="00EC7A3F"/>
    <w:rsid w:val="00EC7DF7"/>
    <w:rsid w:val="00ED1557"/>
    <w:rsid w:val="00ED2BC1"/>
    <w:rsid w:val="00ED2C05"/>
    <w:rsid w:val="00ED348B"/>
    <w:rsid w:val="00ED5E4A"/>
    <w:rsid w:val="00ED69FF"/>
    <w:rsid w:val="00ED6BEF"/>
    <w:rsid w:val="00ED7334"/>
    <w:rsid w:val="00EE0280"/>
    <w:rsid w:val="00EE03B3"/>
    <w:rsid w:val="00EE1401"/>
    <w:rsid w:val="00EE2623"/>
    <w:rsid w:val="00EE2DAF"/>
    <w:rsid w:val="00EE351A"/>
    <w:rsid w:val="00EE38D3"/>
    <w:rsid w:val="00EE4788"/>
    <w:rsid w:val="00EE4CAB"/>
    <w:rsid w:val="00EE5966"/>
    <w:rsid w:val="00EE5B10"/>
    <w:rsid w:val="00EE5CC9"/>
    <w:rsid w:val="00EE7284"/>
    <w:rsid w:val="00EE76C3"/>
    <w:rsid w:val="00EE7C91"/>
    <w:rsid w:val="00EE7ED9"/>
    <w:rsid w:val="00EF026C"/>
    <w:rsid w:val="00EF0DA6"/>
    <w:rsid w:val="00EF1509"/>
    <w:rsid w:val="00EF19AE"/>
    <w:rsid w:val="00EF27E0"/>
    <w:rsid w:val="00EF3118"/>
    <w:rsid w:val="00EF344E"/>
    <w:rsid w:val="00EF3E32"/>
    <w:rsid w:val="00EF4244"/>
    <w:rsid w:val="00EF4332"/>
    <w:rsid w:val="00EF572C"/>
    <w:rsid w:val="00EF5EA3"/>
    <w:rsid w:val="00EF667C"/>
    <w:rsid w:val="00EF6FBD"/>
    <w:rsid w:val="00EF7BEC"/>
    <w:rsid w:val="00F00CC1"/>
    <w:rsid w:val="00F01003"/>
    <w:rsid w:val="00F0125A"/>
    <w:rsid w:val="00F01850"/>
    <w:rsid w:val="00F01A51"/>
    <w:rsid w:val="00F01B03"/>
    <w:rsid w:val="00F0220B"/>
    <w:rsid w:val="00F02961"/>
    <w:rsid w:val="00F02C30"/>
    <w:rsid w:val="00F031C1"/>
    <w:rsid w:val="00F04E3A"/>
    <w:rsid w:val="00F05340"/>
    <w:rsid w:val="00F05951"/>
    <w:rsid w:val="00F0599E"/>
    <w:rsid w:val="00F05ADF"/>
    <w:rsid w:val="00F05AEA"/>
    <w:rsid w:val="00F05C70"/>
    <w:rsid w:val="00F05CD9"/>
    <w:rsid w:val="00F06093"/>
    <w:rsid w:val="00F060C1"/>
    <w:rsid w:val="00F06C68"/>
    <w:rsid w:val="00F071D9"/>
    <w:rsid w:val="00F07A28"/>
    <w:rsid w:val="00F07D03"/>
    <w:rsid w:val="00F07E0E"/>
    <w:rsid w:val="00F1191C"/>
    <w:rsid w:val="00F11A75"/>
    <w:rsid w:val="00F13343"/>
    <w:rsid w:val="00F13642"/>
    <w:rsid w:val="00F139BE"/>
    <w:rsid w:val="00F13C04"/>
    <w:rsid w:val="00F148F2"/>
    <w:rsid w:val="00F1687D"/>
    <w:rsid w:val="00F1764B"/>
    <w:rsid w:val="00F2100B"/>
    <w:rsid w:val="00F2243D"/>
    <w:rsid w:val="00F227C5"/>
    <w:rsid w:val="00F22938"/>
    <w:rsid w:val="00F22F8F"/>
    <w:rsid w:val="00F2307B"/>
    <w:rsid w:val="00F23212"/>
    <w:rsid w:val="00F23B44"/>
    <w:rsid w:val="00F23FDD"/>
    <w:rsid w:val="00F24609"/>
    <w:rsid w:val="00F2478C"/>
    <w:rsid w:val="00F24986"/>
    <w:rsid w:val="00F25342"/>
    <w:rsid w:val="00F2535D"/>
    <w:rsid w:val="00F25A09"/>
    <w:rsid w:val="00F26006"/>
    <w:rsid w:val="00F262AE"/>
    <w:rsid w:val="00F2713E"/>
    <w:rsid w:val="00F273CE"/>
    <w:rsid w:val="00F27FA5"/>
    <w:rsid w:val="00F303CB"/>
    <w:rsid w:val="00F31BE9"/>
    <w:rsid w:val="00F31E70"/>
    <w:rsid w:val="00F32219"/>
    <w:rsid w:val="00F32253"/>
    <w:rsid w:val="00F32D35"/>
    <w:rsid w:val="00F33064"/>
    <w:rsid w:val="00F33670"/>
    <w:rsid w:val="00F33EE9"/>
    <w:rsid w:val="00F35097"/>
    <w:rsid w:val="00F359F2"/>
    <w:rsid w:val="00F35B57"/>
    <w:rsid w:val="00F35C0C"/>
    <w:rsid w:val="00F364AA"/>
    <w:rsid w:val="00F37BF3"/>
    <w:rsid w:val="00F40DE6"/>
    <w:rsid w:val="00F40F3F"/>
    <w:rsid w:val="00F416EE"/>
    <w:rsid w:val="00F41E27"/>
    <w:rsid w:val="00F426CA"/>
    <w:rsid w:val="00F435E5"/>
    <w:rsid w:val="00F43D85"/>
    <w:rsid w:val="00F44AFF"/>
    <w:rsid w:val="00F453B1"/>
    <w:rsid w:val="00F45CE8"/>
    <w:rsid w:val="00F461A5"/>
    <w:rsid w:val="00F46FA0"/>
    <w:rsid w:val="00F4734D"/>
    <w:rsid w:val="00F47CD6"/>
    <w:rsid w:val="00F47FE6"/>
    <w:rsid w:val="00F5004C"/>
    <w:rsid w:val="00F50E92"/>
    <w:rsid w:val="00F5238C"/>
    <w:rsid w:val="00F524DF"/>
    <w:rsid w:val="00F52658"/>
    <w:rsid w:val="00F52BAA"/>
    <w:rsid w:val="00F5343D"/>
    <w:rsid w:val="00F53674"/>
    <w:rsid w:val="00F53EDB"/>
    <w:rsid w:val="00F544CB"/>
    <w:rsid w:val="00F556BC"/>
    <w:rsid w:val="00F560FB"/>
    <w:rsid w:val="00F5758A"/>
    <w:rsid w:val="00F575B2"/>
    <w:rsid w:val="00F57F76"/>
    <w:rsid w:val="00F60828"/>
    <w:rsid w:val="00F61470"/>
    <w:rsid w:val="00F6161D"/>
    <w:rsid w:val="00F61A3F"/>
    <w:rsid w:val="00F61EA4"/>
    <w:rsid w:val="00F628C8"/>
    <w:rsid w:val="00F6312D"/>
    <w:rsid w:val="00F636B1"/>
    <w:rsid w:val="00F63D60"/>
    <w:rsid w:val="00F64D2E"/>
    <w:rsid w:val="00F653AF"/>
    <w:rsid w:val="00F6550A"/>
    <w:rsid w:val="00F667D1"/>
    <w:rsid w:val="00F7011D"/>
    <w:rsid w:val="00F7028B"/>
    <w:rsid w:val="00F70F44"/>
    <w:rsid w:val="00F716EC"/>
    <w:rsid w:val="00F7193B"/>
    <w:rsid w:val="00F72BBB"/>
    <w:rsid w:val="00F73022"/>
    <w:rsid w:val="00F74412"/>
    <w:rsid w:val="00F744D0"/>
    <w:rsid w:val="00F7492C"/>
    <w:rsid w:val="00F766A8"/>
    <w:rsid w:val="00F767DB"/>
    <w:rsid w:val="00F76E0B"/>
    <w:rsid w:val="00F76ED3"/>
    <w:rsid w:val="00F77866"/>
    <w:rsid w:val="00F77C36"/>
    <w:rsid w:val="00F77E0D"/>
    <w:rsid w:val="00F8019C"/>
    <w:rsid w:val="00F804C3"/>
    <w:rsid w:val="00F80D26"/>
    <w:rsid w:val="00F8148D"/>
    <w:rsid w:val="00F81550"/>
    <w:rsid w:val="00F82088"/>
    <w:rsid w:val="00F841D9"/>
    <w:rsid w:val="00F844CB"/>
    <w:rsid w:val="00F84653"/>
    <w:rsid w:val="00F856B7"/>
    <w:rsid w:val="00F85B4A"/>
    <w:rsid w:val="00F90E2C"/>
    <w:rsid w:val="00F914D9"/>
    <w:rsid w:val="00F9439F"/>
    <w:rsid w:val="00F94463"/>
    <w:rsid w:val="00F9455E"/>
    <w:rsid w:val="00F947AA"/>
    <w:rsid w:val="00F96DCD"/>
    <w:rsid w:val="00F96F58"/>
    <w:rsid w:val="00F97627"/>
    <w:rsid w:val="00F977DE"/>
    <w:rsid w:val="00FA1E90"/>
    <w:rsid w:val="00FA384B"/>
    <w:rsid w:val="00FA3F86"/>
    <w:rsid w:val="00FA4111"/>
    <w:rsid w:val="00FA4494"/>
    <w:rsid w:val="00FA5137"/>
    <w:rsid w:val="00FA73BE"/>
    <w:rsid w:val="00FA77B2"/>
    <w:rsid w:val="00FB017F"/>
    <w:rsid w:val="00FB0CCC"/>
    <w:rsid w:val="00FB1965"/>
    <w:rsid w:val="00FB252F"/>
    <w:rsid w:val="00FB257F"/>
    <w:rsid w:val="00FB31E5"/>
    <w:rsid w:val="00FB326A"/>
    <w:rsid w:val="00FB35D7"/>
    <w:rsid w:val="00FB400A"/>
    <w:rsid w:val="00FB4435"/>
    <w:rsid w:val="00FB455C"/>
    <w:rsid w:val="00FB519A"/>
    <w:rsid w:val="00FB5218"/>
    <w:rsid w:val="00FB69F7"/>
    <w:rsid w:val="00FB6B0E"/>
    <w:rsid w:val="00FC0FEB"/>
    <w:rsid w:val="00FC112D"/>
    <w:rsid w:val="00FC1141"/>
    <w:rsid w:val="00FC16F0"/>
    <w:rsid w:val="00FC2013"/>
    <w:rsid w:val="00FC21B3"/>
    <w:rsid w:val="00FC27E8"/>
    <w:rsid w:val="00FC2F33"/>
    <w:rsid w:val="00FC4602"/>
    <w:rsid w:val="00FC4843"/>
    <w:rsid w:val="00FC58C5"/>
    <w:rsid w:val="00FC63E7"/>
    <w:rsid w:val="00FC6864"/>
    <w:rsid w:val="00FC72E3"/>
    <w:rsid w:val="00FC731D"/>
    <w:rsid w:val="00FC7BF4"/>
    <w:rsid w:val="00FD0010"/>
    <w:rsid w:val="00FD0FEE"/>
    <w:rsid w:val="00FD1CAB"/>
    <w:rsid w:val="00FD2A56"/>
    <w:rsid w:val="00FD2E5E"/>
    <w:rsid w:val="00FD35FD"/>
    <w:rsid w:val="00FD4540"/>
    <w:rsid w:val="00FD4AF5"/>
    <w:rsid w:val="00FD4FA5"/>
    <w:rsid w:val="00FD5F4C"/>
    <w:rsid w:val="00FD67DE"/>
    <w:rsid w:val="00FD68F1"/>
    <w:rsid w:val="00FD7624"/>
    <w:rsid w:val="00FD7E84"/>
    <w:rsid w:val="00FE01C3"/>
    <w:rsid w:val="00FE04B6"/>
    <w:rsid w:val="00FE1477"/>
    <w:rsid w:val="00FE226C"/>
    <w:rsid w:val="00FE2BFB"/>
    <w:rsid w:val="00FE328C"/>
    <w:rsid w:val="00FE37BA"/>
    <w:rsid w:val="00FE45C4"/>
    <w:rsid w:val="00FE5779"/>
    <w:rsid w:val="00FE5C4D"/>
    <w:rsid w:val="00FE6CD1"/>
    <w:rsid w:val="00FE784B"/>
    <w:rsid w:val="00FF0947"/>
    <w:rsid w:val="00FF0DF4"/>
    <w:rsid w:val="00FF0EA5"/>
    <w:rsid w:val="00FF2C05"/>
    <w:rsid w:val="00FF2F9C"/>
    <w:rsid w:val="00FF30F4"/>
    <w:rsid w:val="00FF34C8"/>
    <w:rsid w:val="00FF41DB"/>
    <w:rsid w:val="00FF44DE"/>
    <w:rsid w:val="00FF455E"/>
    <w:rsid w:val="00FF5010"/>
    <w:rsid w:val="00FF5609"/>
    <w:rsid w:val="00FF5A29"/>
    <w:rsid w:val="00FF5B34"/>
    <w:rsid w:val="00FF61F1"/>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D8D"/>
    <w:pPr>
      <w:spacing w:before="60" w:after="120"/>
      <w:jc w:val="both"/>
    </w:pPr>
    <w:rPr>
      <w:rFonts w:ascii="Calibri" w:hAnsi="Calibri"/>
      <w:sz w:val="24"/>
      <w:szCs w:val="24"/>
    </w:rPr>
  </w:style>
  <w:style w:type="paragraph" w:styleId="Heading1">
    <w:name w:val="heading 1"/>
    <w:basedOn w:val="Normal"/>
    <w:next w:val="Normal"/>
    <w:link w:val="Heading1Char"/>
    <w:autoRedefine/>
    <w:qFormat/>
    <w:rsid w:val="0057790A"/>
    <w:pPr>
      <w:keepNext/>
      <w:pBdr>
        <w:bottom w:val="single" w:sz="4" w:space="2" w:color="auto"/>
      </w:pBdr>
      <w:spacing w:before="120"/>
      <w:outlineLvl w:val="0"/>
    </w:pPr>
    <w:rPr>
      <w:rFonts w:cs="Arial"/>
      <w:b/>
      <w:bCs/>
      <w:color w:val="00529C"/>
      <w:kern w:val="32"/>
    </w:rPr>
  </w:style>
  <w:style w:type="paragraph" w:styleId="Heading2">
    <w:name w:val="heading 2"/>
    <w:basedOn w:val="Normal"/>
    <w:next w:val="Normal"/>
    <w:link w:val="Heading2Char"/>
    <w:autoRedefine/>
    <w:qFormat/>
    <w:rsid w:val="00EF7BEC"/>
    <w:pPr>
      <w:keepNext/>
      <w:pBdr>
        <w:bottom w:val="single" w:sz="4" w:space="3" w:color="auto"/>
      </w:pBdr>
      <w:spacing w:before="240" w:after="0"/>
      <w:contextualSpacing/>
      <w:jc w:val="left"/>
      <w:outlineLvl w:val="1"/>
    </w:pPr>
    <w:rPr>
      <w:rFonts w:cs="Arial"/>
      <w:b/>
      <w:bCs/>
      <w:iCs/>
      <w:color w:val="00529C"/>
    </w:rPr>
  </w:style>
  <w:style w:type="paragraph" w:styleId="Heading3">
    <w:name w:val="heading 3"/>
    <w:basedOn w:val="Normal"/>
    <w:next w:val="Normal"/>
    <w:qFormat/>
    <w:rsid w:val="00A545D9"/>
    <w:pPr>
      <w:keepNext/>
      <w:spacing w:before="240" w:after="6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547F"/>
    <w:pPr>
      <w:spacing w:after="60"/>
    </w:pPr>
    <w:rPr>
      <w:rFonts w:ascii="Times New Roman" w:hAnsi="Times New Roman"/>
      <w:szCs w:val="20"/>
      <w:lang w:val="en-US" w:eastAsia="en-US"/>
    </w:rPr>
  </w:style>
  <w:style w:type="character" w:styleId="FootnoteReference">
    <w:name w:val="footnote reference"/>
    <w:basedOn w:val="DefaultParagraphFont"/>
    <w:uiPriority w:val="99"/>
    <w:semiHidden/>
    <w:rsid w:val="00B1547F"/>
    <w:rPr>
      <w:vertAlign w:val="superscript"/>
    </w:rPr>
  </w:style>
  <w:style w:type="character" w:customStyle="1" w:styleId="FootnoteTextChar">
    <w:name w:val="Footnote Text Char"/>
    <w:basedOn w:val="DefaultParagraphFont"/>
    <w:link w:val="FootnoteText"/>
    <w:uiPriority w:val="99"/>
    <w:semiHidden/>
    <w:locked/>
    <w:rsid w:val="00B1547F"/>
    <w:rPr>
      <w:lang w:val="en-US" w:eastAsia="en-US" w:bidi="ar-SA"/>
    </w:rPr>
  </w:style>
  <w:style w:type="paragraph" w:styleId="Caption">
    <w:name w:val="caption"/>
    <w:basedOn w:val="Normal"/>
    <w:next w:val="Normal"/>
    <w:link w:val="CaptionChar"/>
    <w:qFormat/>
    <w:rsid w:val="00A004A3"/>
    <w:rPr>
      <w:b/>
      <w:bCs/>
      <w:szCs w:val="20"/>
    </w:rPr>
  </w:style>
  <w:style w:type="paragraph" w:customStyle="1" w:styleId="Figure">
    <w:name w:val="Figure"/>
    <w:basedOn w:val="Normal"/>
    <w:autoRedefine/>
    <w:rsid w:val="00B672D6"/>
    <w:pPr>
      <w:widowControl w:val="0"/>
      <w:numPr>
        <w:numId w:val="5"/>
      </w:numPr>
      <w:spacing w:after="0"/>
      <w:ind w:right="-79"/>
      <w:contextualSpacing/>
    </w:pPr>
  </w:style>
  <w:style w:type="paragraph" w:customStyle="1" w:styleId="Caption-Figure">
    <w:name w:val="Caption - Figure"/>
    <w:basedOn w:val="Caption"/>
    <w:link w:val="Caption-FigureChar"/>
    <w:autoRedefine/>
    <w:rsid w:val="00BD1A7C"/>
    <w:pPr>
      <w:keepNext/>
      <w:spacing w:after="0"/>
      <w:jc w:val="left"/>
    </w:pPr>
    <w:rPr>
      <w:b w:val="0"/>
      <w:i/>
    </w:rPr>
  </w:style>
  <w:style w:type="table" w:styleId="TableGrid">
    <w:name w:val="Table Grid"/>
    <w:basedOn w:val="TableNormal"/>
    <w:uiPriority w:val="59"/>
    <w:rsid w:val="00BD1A7C"/>
    <w:pPr>
      <w:spacing w:before="60" w:after="120"/>
      <w:jc w:val="both"/>
    </w:pPr>
    <w:rPr>
      <w:rFonts w:ascii="Calibri" w:hAnsi="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2D4B"/>
    <w:pPr>
      <w:tabs>
        <w:tab w:val="center" w:pos="4153"/>
        <w:tab w:val="right" w:pos="8306"/>
      </w:tabs>
    </w:pPr>
  </w:style>
  <w:style w:type="paragraph" w:styleId="Footer">
    <w:name w:val="footer"/>
    <w:basedOn w:val="Normal"/>
    <w:link w:val="FooterChar"/>
    <w:rsid w:val="00AB2D4B"/>
    <w:pPr>
      <w:tabs>
        <w:tab w:val="center" w:pos="4153"/>
        <w:tab w:val="right" w:pos="8306"/>
      </w:tabs>
    </w:pPr>
  </w:style>
  <w:style w:type="paragraph" w:customStyle="1" w:styleId="Caption1">
    <w:name w:val="Caption1"/>
    <w:basedOn w:val="Normal"/>
    <w:autoRedefine/>
    <w:rsid w:val="00D64AED"/>
    <w:pPr>
      <w:keepNext/>
      <w:spacing w:after="0"/>
    </w:pPr>
    <w:rPr>
      <w:i/>
    </w:rPr>
  </w:style>
  <w:style w:type="character" w:styleId="Hyperlink">
    <w:name w:val="Hyperlink"/>
    <w:basedOn w:val="DefaultParagraphFont"/>
    <w:rsid w:val="000421CF"/>
    <w:rPr>
      <w:rFonts w:ascii="Calibri" w:hAnsi="Calibri"/>
      <w:color w:val="0000FF"/>
      <w:u w:val="single"/>
    </w:rPr>
  </w:style>
  <w:style w:type="character" w:styleId="PageNumber">
    <w:name w:val="page number"/>
    <w:basedOn w:val="DefaultParagraphFont"/>
    <w:rsid w:val="000421CF"/>
    <w:rPr>
      <w:rFonts w:ascii="Calibri" w:hAnsi="Calibri"/>
    </w:rPr>
  </w:style>
  <w:style w:type="paragraph" w:styleId="TOC1">
    <w:name w:val="toc 1"/>
    <w:basedOn w:val="Normal"/>
    <w:next w:val="Normal"/>
    <w:autoRedefine/>
    <w:uiPriority w:val="39"/>
    <w:rsid w:val="00920077"/>
    <w:pPr>
      <w:tabs>
        <w:tab w:val="right" w:leader="dot" w:pos="9344"/>
      </w:tabs>
    </w:pPr>
  </w:style>
  <w:style w:type="paragraph" w:styleId="TOC2">
    <w:name w:val="toc 2"/>
    <w:basedOn w:val="Normal"/>
    <w:next w:val="Normal"/>
    <w:autoRedefine/>
    <w:uiPriority w:val="39"/>
    <w:rsid w:val="0083769E"/>
    <w:pPr>
      <w:tabs>
        <w:tab w:val="right" w:leader="dot" w:pos="9344"/>
      </w:tabs>
    </w:pPr>
  </w:style>
  <w:style w:type="paragraph" w:customStyle="1" w:styleId="Style1">
    <w:name w:val="Style1"/>
    <w:basedOn w:val="Normal"/>
    <w:rsid w:val="00D64AED"/>
    <w:pPr>
      <w:numPr>
        <w:numId w:val="3"/>
      </w:numPr>
      <w:spacing w:after="60"/>
    </w:pPr>
  </w:style>
  <w:style w:type="character" w:customStyle="1" w:styleId="CaptionChar">
    <w:name w:val="Caption Char"/>
    <w:basedOn w:val="DefaultParagraphFont"/>
    <w:link w:val="Caption"/>
    <w:rsid w:val="00F1764B"/>
    <w:rPr>
      <w:rFonts w:ascii="Calibri" w:hAnsi="Calibri"/>
      <w:b/>
      <w:bCs/>
      <w:sz w:val="24"/>
      <w:lang w:val="en-AU" w:eastAsia="en-AU" w:bidi="ar-SA"/>
    </w:rPr>
  </w:style>
  <w:style w:type="character" w:customStyle="1" w:styleId="Caption-FigureChar">
    <w:name w:val="Caption - Figure Char"/>
    <w:basedOn w:val="CaptionChar"/>
    <w:link w:val="Caption-Figure"/>
    <w:rsid w:val="00BD1A7C"/>
    <w:rPr>
      <w:i/>
    </w:rPr>
  </w:style>
  <w:style w:type="paragraph" w:styleId="EndnoteText">
    <w:name w:val="endnote text"/>
    <w:basedOn w:val="Normal"/>
    <w:semiHidden/>
    <w:rsid w:val="00456E4A"/>
    <w:rPr>
      <w:sz w:val="20"/>
      <w:szCs w:val="20"/>
    </w:rPr>
  </w:style>
  <w:style w:type="numbering" w:customStyle="1" w:styleId="StyleBulleted">
    <w:name w:val="Style Bulleted"/>
    <w:basedOn w:val="NoList"/>
    <w:rsid w:val="003D3D56"/>
    <w:pPr>
      <w:numPr>
        <w:numId w:val="2"/>
      </w:numPr>
    </w:pPr>
  </w:style>
  <w:style w:type="table" w:customStyle="1" w:styleId="Table">
    <w:name w:val="Table"/>
    <w:basedOn w:val="TableNormal"/>
    <w:rsid w:val="00B41611"/>
    <w:pPr>
      <w:jc w:val="center"/>
    </w:pPr>
    <w:rPr>
      <w:rFonts w:ascii="Calibri" w:hAnsi="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BE0E3"/>
      </w:tcPr>
    </w:tblStylePr>
  </w:style>
  <w:style w:type="character" w:customStyle="1" w:styleId="Heading1Char">
    <w:name w:val="Heading 1 Char"/>
    <w:basedOn w:val="DefaultParagraphFont"/>
    <w:link w:val="Heading1"/>
    <w:rsid w:val="0057790A"/>
    <w:rPr>
      <w:rFonts w:ascii="Calibri" w:hAnsi="Calibri" w:cs="Arial"/>
      <w:b/>
      <w:bCs/>
      <w:color w:val="00529C"/>
      <w:kern w:val="32"/>
      <w:sz w:val="24"/>
      <w:szCs w:val="24"/>
      <w:lang w:val="en-AU" w:eastAsia="en-AU" w:bidi="ar-SA"/>
    </w:rPr>
  </w:style>
  <w:style w:type="character" w:customStyle="1" w:styleId="Heading2Char">
    <w:name w:val="Heading 2 Char"/>
    <w:basedOn w:val="DefaultParagraphFont"/>
    <w:link w:val="Heading2"/>
    <w:rsid w:val="00EF7BEC"/>
    <w:rPr>
      <w:rFonts w:ascii="Calibri" w:hAnsi="Calibri" w:cs="Arial"/>
      <w:b/>
      <w:bCs/>
      <w:iCs/>
      <w:color w:val="00529C"/>
      <w:sz w:val="24"/>
      <w:szCs w:val="24"/>
    </w:rPr>
  </w:style>
  <w:style w:type="character" w:styleId="EndnoteReference">
    <w:name w:val="endnote reference"/>
    <w:basedOn w:val="DefaultParagraphFont"/>
    <w:semiHidden/>
    <w:rsid w:val="00456E4A"/>
    <w:rPr>
      <w:vertAlign w:val="superscript"/>
    </w:rPr>
  </w:style>
  <w:style w:type="character" w:customStyle="1" w:styleId="HeaderChar">
    <w:name w:val="Header Char"/>
    <w:basedOn w:val="DefaultParagraphFont"/>
    <w:link w:val="Header"/>
    <w:rsid w:val="00AD37F3"/>
    <w:rPr>
      <w:rFonts w:ascii="Calibri" w:hAnsi="Calibri"/>
      <w:sz w:val="24"/>
      <w:szCs w:val="24"/>
      <w:lang w:val="en-AU" w:eastAsia="en-AU" w:bidi="ar-SA"/>
    </w:rPr>
  </w:style>
  <w:style w:type="character" w:customStyle="1" w:styleId="FooterChar">
    <w:name w:val="Footer Char"/>
    <w:basedOn w:val="DefaultParagraphFont"/>
    <w:link w:val="Footer"/>
    <w:rsid w:val="00AD37F3"/>
    <w:rPr>
      <w:rFonts w:ascii="Calibri" w:hAnsi="Calibri"/>
      <w:sz w:val="24"/>
      <w:szCs w:val="24"/>
      <w:lang w:val="en-AU" w:eastAsia="en-AU" w:bidi="ar-SA"/>
    </w:rPr>
  </w:style>
  <w:style w:type="paragraph" w:styleId="BalloonText">
    <w:name w:val="Balloon Text"/>
    <w:basedOn w:val="Normal"/>
    <w:semiHidden/>
    <w:rsid w:val="00E11758"/>
    <w:rPr>
      <w:rFonts w:ascii="Tahoma" w:hAnsi="Tahoma" w:cs="Tahoma"/>
      <w:sz w:val="16"/>
      <w:szCs w:val="16"/>
    </w:rPr>
  </w:style>
  <w:style w:type="character" w:styleId="CommentReference">
    <w:name w:val="annotation reference"/>
    <w:basedOn w:val="DefaultParagraphFont"/>
    <w:semiHidden/>
    <w:rsid w:val="000E2577"/>
    <w:rPr>
      <w:sz w:val="16"/>
      <w:szCs w:val="16"/>
    </w:rPr>
  </w:style>
  <w:style w:type="paragraph" w:styleId="CommentText">
    <w:name w:val="annotation text"/>
    <w:basedOn w:val="Normal"/>
    <w:semiHidden/>
    <w:rsid w:val="000E2577"/>
    <w:rPr>
      <w:sz w:val="20"/>
      <w:szCs w:val="20"/>
    </w:rPr>
  </w:style>
  <w:style w:type="paragraph" w:styleId="CommentSubject">
    <w:name w:val="annotation subject"/>
    <w:basedOn w:val="CommentText"/>
    <w:next w:val="CommentText"/>
    <w:semiHidden/>
    <w:rsid w:val="000E2577"/>
    <w:rPr>
      <w:b/>
      <w:bCs/>
    </w:rPr>
  </w:style>
  <w:style w:type="paragraph" w:styleId="ListParagraph">
    <w:name w:val="List Paragraph"/>
    <w:basedOn w:val="Normal"/>
    <w:uiPriority w:val="34"/>
    <w:qFormat/>
    <w:rsid w:val="00DF58D2"/>
    <w:pPr>
      <w:spacing w:before="0" w:after="0"/>
      <w:ind w:left="720"/>
      <w:contextualSpacing/>
      <w:jc w:val="left"/>
    </w:pPr>
    <w:rPr>
      <w:rFonts w:ascii="Times New Roman" w:hAnsi="Times New Roman"/>
    </w:rPr>
  </w:style>
  <w:style w:type="character" w:styleId="Emphasis">
    <w:name w:val="Emphasis"/>
    <w:basedOn w:val="DefaultParagraphFont"/>
    <w:qFormat/>
    <w:rsid w:val="003614D2"/>
    <w:rPr>
      <w:i/>
      <w:iCs/>
    </w:rPr>
  </w:style>
  <w:style w:type="paragraph" w:customStyle="1" w:styleId="DAReportFooterType">
    <w:name w:val="DA Report Footer Type"/>
    <w:basedOn w:val="Footer"/>
    <w:rsid w:val="009B6BAE"/>
    <w:pPr>
      <w:spacing w:before="120" w:after="60"/>
      <w:ind w:right="249"/>
      <w:jc w:val="right"/>
    </w:pPr>
  </w:style>
  <w:style w:type="character" w:styleId="FollowedHyperlink">
    <w:name w:val="FollowedHyperlink"/>
    <w:basedOn w:val="DefaultParagraphFont"/>
    <w:rsid w:val="00983525"/>
    <w:rPr>
      <w:color w:val="800080" w:themeColor="followedHyperlink"/>
      <w:u w:val="single"/>
    </w:rPr>
  </w:style>
  <w:style w:type="table" w:customStyle="1" w:styleId="TableGrid1">
    <w:name w:val="Table Grid1"/>
    <w:basedOn w:val="TableNormal"/>
    <w:next w:val="TableGrid"/>
    <w:uiPriority w:val="59"/>
    <w:rsid w:val="00CF4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 para"/>
    <w:basedOn w:val="Normal"/>
    <w:rsid w:val="007F7B99"/>
    <w:pPr>
      <w:numPr>
        <w:numId w:val="8"/>
      </w:numPr>
      <w:spacing w:before="0" w:after="0"/>
      <w:ind w:hanging="220"/>
      <w:jc w:val="left"/>
    </w:pPr>
    <w:rPr>
      <w:rFonts w:eastAsiaTheme="minorHAnsi" w:cs="Calibri"/>
      <w:sz w:val="22"/>
      <w:szCs w:val="22"/>
    </w:rPr>
  </w:style>
  <w:style w:type="paragraph" w:customStyle="1" w:styleId="Default">
    <w:name w:val="Default"/>
    <w:basedOn w:val="Normal"/>
    <w:rsid w:val="007F7B99"/>
    <w:pPr>
      <w:autoSpaceDE w:val="0"/>
      <w:autoSpaceDN w:val="0"/>
      <w:spacing w:before="0" w:after="0"/>
      <w:jc w:val="left"/>
    </w:pPr>
    <w:rPr>
      <w:rFonts w:eastAsiaTheme="minorHAnsi" w:cs="Calibri"/>
      <w:color w:val="000000"/>
    </w:rPr>
  </w:style>
  <w:style w:type="table" w:customStyle="1" w:styleId="TableGrid2">
    <w:name w:val="Table Grid2"/>
    <w:basedOn w:val="TableNormal"/>
    <w:next w:val="TableGrid"/>
    <w:uiPriority w:val="59"/>
    <w:rsid w:val="005F6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D2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11549"/>
    <w:pPr>
      <w:spacing w:before="100" w:beforeAutospacing="1" w:after="100" w:afterAutospacing="1"/>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2310691">
      <w:bodyDiv w:val="1"/>
      <w:marLeft w:val="0"/>
      <w:marRight w:val="0"/>
      <w:marTop w:val="0"/>
      <w:marBottom w:val="0"/>
      <w:divBdr>
        <w:top w:val="none" w:sz="0" w:space="0" w:color="auto"/>
        <w:left w:val="none" w:sz="0" w:space="0" w:color="auto"/>
        <w:bottom w:val="none" w:sz="0" w:space="0" w:color="auto"/>
        <w:right w:val="none" w:sz="0" w:space="0" w:color="auto"/>
      </w:divBdr>
    </w:div>
    <w:div w:id="565801761">
      <w:bodyDiv w:val="1"/>
      <w:marLeft w:val="0"/>
      <w:marRight w:val="0"/>
      <w:marTop w:val="0"/>
      <w:marBottom w:val="0"/>
      <w:divBdr>
        <w:top w:val="none" w:sz="0" w:space="0" w:color="auto"/>
        <w:left w:val="none" w:sz="0" w:space="0" w:color="auto"/>
        <w:bottom w:val="none" w:sz="0" w:space="0" w:color="auto"/>
        <w:right w:val="none" w:sz="0" w:space="0" w:color="auto"/>
      </w:divBdr>
    </w:div>
    <w:div w:id="809134981">
      <w:bodyDiv w:val="1"/>
      <w:marLeft w:val="0"/>
      <w:marRight w:val="0"/>
      <w:marTop w:val="0"/>
      <w:marBottom w:val="0"/>
      <w:divBdr>
        <w:top w:val="none" w:sz="0" w:space="0" w:color="auto"/>
        <w:left w:val="none" w:sz="0" w:space="0" w:color="auto"/>
        <w:bottom w:val="none" w:sz="0" w:space="0" w:color="auto"/>
        <w:right w:val="none" w:sz="0" w:space="0" w:color="auto"/>
      </w:divBdr>
    </w:div>
    <w:div w:id="1111633932">
      <w:bodyDiv w:val="1"/>
      <w:marLeft w:val="0"/>
      <w:marRight w:val="0"/>
      <w:marTop w:val="0"/>
      <w:marBottom w:val="0"/>
      <w:divBdr>
        <w:top w:val="none" w:sz="0" w:space="0" w:color="auto"/>
        <w:left w:val="none" w:sz="0" w:space="0" w:color="auto"/>
        <w:bottom w:val="none" w:sz="0" w:space="0" w:color="auto"/>
        <w:right w:val="none" w:sz="0" w:space="0" w:color="auto"/>
      </w:divBdr>
      <w:divsChild>
        <w:div w:id="752238178">
          <w:marLeft w:val="0"/>
          <w:marRight w:val="0"/>
          <w:marTop w:val="0"/>
          <w:marBottom w:val="0"/>
          <w:divBdr>
            <w:top w:val="none" w:sz="0" w:space="0" w:color="auto"/>
            <w:left w:val="none" w:sz="0" w:space="0" w:color="auto"/>
            <w:bottom w:val="none" w:sz="0" w:space="0" w:color="auto"/>
            <w:right w:val="none" w:sz="0" w:space="0" w:color="auto"/>
          </w:divBdr>
          <w:divsChild>
            <w:div w:id="6511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92243">
      <w:bodyDiv w:val="1"/>
      <w:marLeft w:val="0"/>
      <w:marRight w:val="0"/>
      <w:marTop w:val="0"/>
      <w:marBottom w:val="0"/>
      <w:divBdr>
        <w:top w:val="none" w:sz="0" w:space="0" w:color="auto"/>
        <w:left w:val="none" w:sz="0" w:space="0" w:color="auto"/>
        <w:bottom w:val="none" w:sz="0" w:space="0" w:color="auto"/>
        <w:right w:val="none" w:sz="0" w:space="0" w:color="auto"/>
      </w:divBdr>
    </w:div>
    <w:div w:id="1415124484">
      <w:bodyDiv w:val="1"/>
      <w:marLeft w:val="0"/>
      <w:marRight w:val="0"/>
      <w:marTop w:val="0"/>
      <w:marBottom w:val="0"/>
      <w:divBdr>
        <w:top w:val="none" w:sz="0" w:space="0" w:color="auto"/>
        <w:left w:val="none" w:sz="0" w:space="0" w:color="auto"/>
        <w:bottom w:val="none" w:sz="0" w:space="0" w:color="auto"/>
        <w:right w:val="none" w:sz="0" w:space="0" w:color="auto"/>
      </w:divBdr>
    </w:div>
    <w:div w:id="1458525721">
      <w:bodyDiv w:val="1"/>
      <w:marLeft w:val="0"/>
      <w:marRight w:val="0"/>
      <w:marTop w:val="0"/>
      <w:marBottom w:val="0"/>
      <w:divBdr>
        <w:top w:val="none" w:sz="0" w:space="0" w:color="auto"/>
        <w:left w:val="none" w:sz="0" w:space="0" w:color="auto"/>
        <w:bottom w:val="none" w:sz="0" w:space="0" w:color="auto"/>
        <w:right w:val="none" w:sz="0" w:space="0" w:color="auto"/>
      </w:divBdr>
      <w:divsChild>
        <w:div w:id="452555579">
          <w:marLeft w:val="0"/>
          <w:marRight w:val="0"/>
          <w:marTop w:val="0"/>
          <w:marBottom w:val="0"/>
          <w:divBdr>
            <w:top w:val="none" w:sz="0" w:space="0" w:color="auto"/>
            <w:left w:val="none" w:sz="0" w:space="0" w:color="auto"/>
            <w:bottom w:val="none" w:sz="0" w:space="0" w:color="auto"/>
            <w:right w:val="none" w:sz="0" w:space="0" w:color="auto"/>
          </w:divBdr>
          <w:divsChild>
            <w:div w:id="14338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2958">
      <w:bodyDiv w:val="1"/>
      <w:marLeft w:val="0"/>
      <w:marRight w:val="0"/>
      <w:marTop w:val="0"/>
      <w:marBottom w:val="0"/>
      <w:divBdr>
        <w:top w:val="none" w:sz="0" w:space="0" w:color="auto"/>
        <w:left w:val="none" w:sz="0" w:space="0" w:color="auto"/>
        <w:bottom w:val="none" w:sz="0" w:space="0" w:color="auto"/>
        <w:right w:val="none" w:sz="0" w:space="0" w:color="auto"/>
      </w:divBdr>
    </w:div>
    <w:div w:id="1671249558">
      <w:bodyDiv w:val="1"/>
      <w:marLeft w:val="0"/>
      <w:marRight w:val="0"/>
      <w:marTop w:val="0"/>
      <w:marBottom w:val="0"/>
      <w:divBdr>
        <w:top w:val="none" w:sz="0" w:space="0" w:color="auto"/>
        <w:left w:val="none" w:sz="0" w:space="0" w:color="auto"/>
        <w:bottom w:val="none" w:sz="0" w:space="0" w:color="auto"/>
        <w:right w:val="none" w:sz="0" w:space="0" w:color="auto"/>
      </w:divBdr>
      <w:divsChild>
        <w:div w:id="1601334599">
          <w:marLeft w:val="0"/>
          <w:marRight w:val="0"/>
          <w:marTop w:val="0"/>
          <w:marBottom w:val="0"/>
          <w:divBdr>
            <w:top w:val="none" w:sz="0" w:space="0" w:color="auto"/>
            <w:left w:val="none" w:sz="0" w:space="0" w:color="auto"/>
            <w:bottom w:val="none" w:sz="0" w:space="0" w:color="auto"/>
            <w:right w:val="none" w:sz="0" w:space="0" w:color="auto"/>
          </w:divBdr>
          <w:divsChild>
            <w:div w:id="1397975223">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1678465343">
      <w:bodyDiv w:val="1"/>
      <w:marLeft w:val="0"/>
      <w:marRight w:val="0"/>
      <w:marTop w:val="0"/>
      <w:marBottom w:val="0"/>
      <w:divBdr>
        <w:top w:val="none" w:sz="0" w:space="0" w:color="auto"/>
        <w:left w:val="none" w:sz="0" w:space="0" w:color="auto"/>
        <w:bottom w:val="none" w:sz="0" w:space="0" w:color="auto"/>
        <w:right w:val="none" w:sz="0" w:space="0" w:color="auto"/>
      </w:divBdr>
    </w:div>
    <w:div w:id="1810392570">
      <w:bodyDiv w:val="1"/>
      <w:marLeft w:val="0"/>
      <w:marRight w:val="0"/>
      <w:marTop w:val="0"/>
      <w:marBottom w:val="0"/>
      <w:divBdr>
        <w:top w:val="none" w:sz="0" w:space="0" w:color="auto"/>
        <w:left w:val="none" w:sz="0" w:space="0" w:color="auto"/>
        <w:bottom w:val="none" w:sz="0" w:space="0" w:color="auto"/>
        <w:right w:val="none" w:sz="0" w:space="0" w:color="auto"/>
      </w:divBdr>
    </w:div>
    <w:div w:id="1852067385">
      <w:bodyDiv w:val="1"/>
      <w:marLeft w:val="0"/>
      <w:marRight w:val="0"/>
      <w:marTop w:val="0"/>
      <w:marBottom w:val="0"/>
      <w:divBdr>
        <w:top w:val="none" w:sz="0" w:space="0" w:color="auto"/>
        <w:left w:val="none" w:sz="0" w:space="0" w:color="auto"/>
        <w:bottom w:val="none" w:sz="0" w:space="0" w:color="auto"/>
        <w:right w:val="none" w:sz="0" w:space="0" w:color="auto"/>
      </w:divBdr>
    </w:div>
    <w:div w:id="1876191873">
      <w:bodyDiv w:val="1"/>
      <w:marLeft w:val="0"/>
      <w:marRight w:val="0"/>
      <w:marTop w:val="0"/>
      <w:marBottom w:val="0"/>
      <w:divBdr>
        <w:top w:val="none" w:sz="0" w:space="0" w:color="auto"/>
        <w:left w:val="none" w:sz="0" w:space="0" w:color="auto"/>
        <w:bottom w:val="none" w:sz="0" w:space="0" w:color="auto"/>
        <w:right w:val="none" w:sz="0" w:space="0" w:color="auto"/>
      </w:divBdr>
    </w:div>
    <w:div w:id="1923366678">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sChild>
            <w:div w:id="2060006708">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chart" Target="charts/chart1.xml"/><Relationship Id="rId39" Type="http://schemas.openxmlformats.org/officeDocument/2006/relationships/theme" Target="theme/theme1.xml"/><Relationship Id="rId21" Type="http://schemas.openxmlformats.org/officeDocument/2006/relationships/image" Target="cid:image003.png@01CD08FE.56426680" TargetMode="External"/><Relationship Id="rId34" Type="http://schemas.openxmlformats.org/officeDocument/2006/relationships/footer" Target="footer9.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footer" Target="footer8.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yperlink" Target="http://www.joboutlook.gov.au" TargetMode="External"/><Relationship Id="rId37" Type="http://schemas.openxmlformats.org/officeDocument/2006/relationships/footer" Target="footer10.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creativecommons.org/licenses/by/3.0/au/legalcode" TargetMode="External"/><Relationship Id="rId28" Type="http://schemas.openxmlformats.org/officeDocument/2006/relationships/header" Target="header8.xml"/><Relationship Id="rId36"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www.deewr.gov.au/regionalrepor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creativecommons.org/licences/by/3.0/au/" TargetMode="External"/><Relationship Id="rId27" Type="http://schemas.openxmlformats.org/officeDocument/2006/relationships/chart" Target="charts/chart2.xml"/><Relationship Id="rId30" Type="http://schemas.openxmlformats.org/officeDocument/2006/relationships/hyperlink" Target="http://www.deewr.gov.au/lmip" TargetMode="External"/><Relationship Id="rId35" Type="http://schemas.openxmlformats.org/officeDocument/2006/relationships/hyperlink" Target="http://www.skillsinfo.gov.au"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hyperlink" Target="mailto:recruitmentsurveys@deewr.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recruitmentsurveys@deewr.gov.au"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footer9.xml.rels><?xml version="1.0" encoding="UTF-8" standalone="yes"?>
<Relationships xmlns="http://schemas.openxmlformats.org/package/2006/relationships"><Relationship Id="rId1" Type="http://schemas.openxmlformats.org/officeDocument/2006/relationships/hyperlink" Target="mailto:recruitmentsurveys@deewr.gov.au"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EPNAS002\DBYU\DAS\12%2012-13%20Regional%20Survey%20files%20(by%20survey%20no.)\157.%20Northern%20and%20Western%20Adelaide%20PEA\04.%20Data%20output%20and%20admin\b.%20Survey%20data\Output%20-%20NAWA%20PEA%20-%20August%202012%20-%20outliers%20remo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DBYU\DAS\12%2012-13%20Regional%20Survey%20files%20(by%20survey%20no.)\157.%20Northern%20and%20Western%20Adelaide%20PEA\04.%20Data%20output%20and%20admin\b.%20Survey%20data\Output%20-%20NAWA%20PEA%20-%20August%202012%20-%20outliers%20remo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bar"/>
        <c:grouping val="clustered"/>
        <c:ser>
          <c:idx val="0"/>
          <c:order val="0"/>
          <c:spPr>
            <a:solidFill>
              <a:schemeClr val="accent1">
                <a:lumMod val="40000"/>
                <a:lumOff val="60000"/>
              </a:schemeClr>
            </a:solidFill>
            <a:ln>
              <a:solidFill>
                <a:schemeClr val="tx1"/>
              </a:solidFill>
            </a:ln>
          </c:spPr>
          <c:dPt>
            <c:idx val="0"/>
            <c:spPr>
              <a:solidFill>
                <a:schemeClr val="accent3">
                  <a:lumMod val="60000"/>
                  <a:lumOff val="40000"/>
                </a:schemeClr>
              </a:solidFill>
              <a:ln>
                <a:solidFill>
                  <a:schemeClr val="tx1"/>
                </a:solidFill>
              </a:ln>
            </c:spPr>
          </c:dPt>
          <c:dPt>
            <c:idx val="1"/>
            <c:spPr>
              <a:solidFill>
                <a:schemeClr val="accent4">
                  <a:lumMod val="40000"/>
                  <a:lumOff val="60000"/>
                </a:schemeClr>
              </a:solidFill>
              <a:ln>
                <a:solidFill>
                  <a:schemeClr val="tx1"/>
                </a:solidFill>
              </a:ln>
            </c:spPr>
          </c:dPt>
          <c:dPt>
            <c:idx val="2"/>
            <c:spPr>
              <a:solidFill>
                <a:schemeClr val="accent4">
                  <a:lumMod val="40000"/>
                  <a:lumOff val="60000"/>
                </a:schemeClr>
              </a:solidFill>
              <a:ln>
                <a:solidFill>
                  <a:schemeClr val="tx1"/>
                </a:solidFill>
              </a:ln>
            </c:spPr>
          </c:dPt>
          <c:dPt>
            <c:idx val="3"/>
            <c:spPr>
              <a:solidFill>
                <a:schemeClr val="accent4">
                  <a:lumMod val="40000"/>
                  <a:lumOff val="60000"/>
                </a:schemeClr>
              </a:solidFill>
              <a:ln>
                <a:solidFill>
                  <a:schemeClr val="tx1"/>
                </a:solidFill>
              </a:ln>
            </c:spPr>
          </c:dPt>
          <c:dPt>
            <c:idx val="4"/>
            <c:spPr>
              <a:solidFill>
                <a:srgbClr val="FFC000"/>
              </a:solidFill>
              <a:ln>
                <a:solidFill>
                  <a:schemeClr val="tx1"/>
                </a:solidFill>
              </a:ln>
            </c:spPr>
          </c:dPt>
          <c:dPt>
            <c:idx val="5"/>
            <c:spPr>
              <a:solidFill>
                <a:schemeClr val="tx2">
                  <a:lumMod val="60000"/>
                  <a:lumOff val="40000"/>
                </a:schemeClr>
              </a:solidFill>
              <a:ln>
                <a:solidFill>
                  <a:schemeClr val="tx1"/>
                </a:solidFill>
              </a:ln>
            </c:spPr>
          </c:dPt>
          <c:dPt>
            <c:idx val="6"/>
            <c:spPr>
              <a:solidFill>
                <a:schemeClr val="tx2">
                  <a:lumMod val="60000"/>
                  <a:lumOff val="40000"/>
                </a:schemeClr>
              </a:solidFill>
              <a:ln>
                <a:solidFill>
                  <a:schemeClr val="tx1"/>
                </a:solidFill>
              </a:ln>
            </c:spPr>
          </c:dPt>
          <c:dPt>
            <c:idx val="7"/>
            <c:spPr>
              <a:solidFill>
                <a:schemeClr val="tx2">
                  <a:lumMod val="60000"/>
                  <a:lumOff val="40000"/>
                </a:schemeClr>
              </a:solidFill>
              <a:ln>
                <a:solidFill>
                  <a:schemeClr val="tx1"/>
                </a:solidFill>
              </a:ln>
            </c:spPr>
          </c:dPt>
          <c:dPt>
            <c:idx val="9"/>
            <c:spPr>
              <a:solidFill>
                <a:schemeClr val="tx2">
                  <a:lumMod val="60000"/>
                  <a:lumOff val="40000"/>
                </a:schemeClr>
              </a:solidFill>
              <a:ln>
                <a:solidFill>
                  <a:schemeClr val="tx1"/>
                </a:solidFill>
              </a:ln>
            </c:spPr>
          </c:dPt>
          <c:dPt>
            <c:idx val="10"/>
            <c:spPr>
              <a:solidFill>
                <a:schemeClr val="tx2">
                  <a:lumMod val="60000"/>
                  <a:lumOff val="40000"/>
                </a:schemeClr>
              </a:solidFill>
              <a:ln>
                <a:solidFill>
                  <a:schemeClr val="tx1"/>
                </a:solidFill>
              </a:ln>
            </c:spPr>
          </c:dPt>
          <c:dPt>
            <c:idx val="11"/>
            <c:spPr>
              <a:solidFill>
                <a:schemeClr val="tx2">
                  <a:lumMod val="60000"/>
                  <a:lumOff val="40000"/>
                </a:schemeClr>
              </a:solidFill>
              <a:ln>
                <a:solidFill>
                  <a:schemeClr val="tx1"/>
                </a:solidFill>
              </a:ln>
            </c:spPr>
          </c:dPt>
          <c:dLbls>
            <c:txPr>
              <a:bodyPr/>
              <a:lstStyle/>
              <a:p>
                <a:pPr>
                  <a:defRPr sz="900"/>
                </a:pPr>
                <a:endParaRPr lang="en-US"/>
              </a:p>
            </c:txPr>
            <c:showVal val="1"/>
          </c:dLbls>
          <c:cat>
            <c:strRef>
              <c:f>'Unfilled vacancies'!$A$18:$A$29</c:f>
              <c:strCache>
                <c:ptCount val="12"/>
                <c:pt idx="0">
                  <c:v>All regions surveyed, 12 months to June 2012</c:v>
                </c:pt>
                <c:pt idx="1">
                  <c:v>NAWA PEA, March 2010 (Metro survey)</c:v>
                </c:pt>
                <c:pt idx="2">
                  <c:v>NAWA PEA, March 2011 (Metro survey)</c:v>
                </c:pt>
                <c:pt idx="3">
                  <c:v>NAWA PEA, August 2012</c:v>
                </c:pt>
                <c:pt idx="4">
                  <c:v>Playford LGA</c:v>
                </c:pt>
                <c:pt idx="5">
                  <c:v>Labourers</c:v>
                </c:pt>
                <c:pt idx="6">
                  <c:v>Sales Workers</c:v>
                </c:pt>
                <c:pt idx="7">
                  <c:v>Machinery Operators and Drivers</c:v>
                </c:pt>
                <c:pt idx="8">
                  <c:v>Clerical and Administrative Workers</c:v>
                </c:pt>
                <c:pt idx="9">
                  <c:v>Community and Personal Service Workers</c:v>
                </c:pt>
                <c:pt idx="10">
                  <c:v>Technicians and Trades Workers</c:v>
                </c:pt>
                <c:pt idx="11">
                  <c:v>Managers and Professionals</c:v>
                </c:pt>
              </c:strCache>
            </c:strRef>
          </c:cat>
          <c:val>
            <c:numRef>
              <c:f>'Unfilled vacancies'!$B$18:$B$29</c:f>
              <c:numCache>
                <c:formatCode>0.0%</c:formatCode>
                <c:ptCount val="12"/>
                <c:pt idx="0">
                  <c:v>8.3000000000000268E-2</c:v>
                </c:pt>
                <c:pt idx="1">
                  <c:v>7.1307300509337923E-2</c:v>
                </c:pt>
                <c:pt idx="2">
                  <c:v>6.0975609756097573E-2</c:v>
                </c:pt>
                <c:pt idx="3">
                  <c:v>5.7142857142857162E-2</c:v>
                </c:pt>
                <c:pt idx="4">
                  <c:v>9.400000000000025E-2</c:v>
                </c:pt>
                <c:pt idx="5">
                  <c:v>1.6129032258064543E-2</c:v>
                </c:pt>
                <c:pt idx="6">
                  <c:v>1.9230769230769326E-2</c:v>
                </c:pt>
                <c:pt idx="7">
                  <c:v>8.7719298245614044E-2</c:v>
                </c:pt>
                <c:pt idx="8">
                  <c:v>0</c:v>
                </c:pt>
                <c:pt idx="9">
                  <c:v>0.13207547169811318</c:v>
                </c:pt>
                <c:pt idx="10">
                  <c:v>8.5714285714285743E-2</c:v>
                </c:pt>
                <c:pt idx="11">
                  <c:v>5.1282051282051294E-2</c:v>
                </c:pt>
              </c:numCache>
            </c:numRef>
          </c:val>
        </c:ser>
        <c:axId val="187375616"/>
        <c:axId val="187377152"/>
      </c:barChart>
      <c:catAx>
        <c:axId val="187375616"/>
        <c:scaling>
          <c:orientation val="minMax"/>
        </c:scaling>
        <c:axPos val="l"/>
        <c:tickLblPos val="nextTo"/>
        <c:crossAx val="187377152"/>
        <c:crosses val="autoZero"/>
        <c:auto val="1"/>
        <c:lblAlgn val="ctr"/>
        <c:lblOffset val="100"/>
      </c:catAx>
      <c:valAx>
        <c:axId val="187377152"/>
        <c:scaling>
          <c:orientation val="minMax"/>
        </c:scaling>
        <c:axPos val="b"/>
        <c:numFmt formatCode="0.0%" sourceLinked="1"/>
        <c:tickLblPos val="nextTo"/>
        <c:txPr>
          <a:bodyPr/>
          <a:lstStyle/>
          <a:p>
            <a:pPr>
              <a:defRPr sz="900"/>
            </a:pPr>
            <a:endParaRPr lang="en-US"/>
          </a:p>
        </c:txPr>
        <c:crossAx val="1873756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bar"/>
        <c:grouping val="clustered"/>
        <c:ser>
          <c:idx val="1"/>
          <c:order val="0"/>
          <c:tx>
            <c:strRef>
              <c:f>'Applicants per vacancy'!$C$17</c:f>
              <c:strCache>
                <c:ptCount val="1"/>
                <c:pt idx="0">
                  <c:v>Average number of suitable applicants per vacancy</c:v>
                </c:pt>
              </c:strCache>
            </c:strRef>
          </c:tx>
          <c:spPr>
            <a:solidFill>
              <a:srgbClr val="0070C0"/>
            </a:solidFill>
            <a:ln>
              <a:solidFill>
                <a:prstClr val="black"/>
              </a:solidFill>
            </a:ln>
          </c:spPr>
          <c:dPt>
            <c:idx val="0"/>
            <c:spPr>
              <a:solidFill>
                <a:srgbClr val="00B050"/>
              </a:solidFill>
              <a:ln>
                <a:solidFill>
                  <a:prstClr val="black"/>
                </a:solidFill>
              </a:ln>
            </c:spPr>
          </c:dPt>
          <c:dPt>
            <c:idx val="1"/>
            <c:spPr>
              <a:solidFill>
                <a:srgbClr val="7030A0"/>
              </a:solidFill>
              <a:ln>
                <a:solidFill>
                  <a:prstClr val="black"/>
                </a:solidFill>
              </a:ln>
            </c:spPr>
          </c:dPt>
          <c:dPt>
            <c:idx val="2"/>
            <c:spPr>
              <a:solidFill>
                <a:srgbClr val="7030A0"/>
              </a:solidFill>
              <a:ln>
                <a:solidFill>
                  <a:prstClr val="black"/>
                </a:solidFill>
              </a:ln>
            </c:spPr>
          </c:dPt>
          <c:dPt>
            <c:idx val="3"/>
            <c:spPr>
              <a:solidFill>
                <a:srgbClr val="7030A0"/>
              </a:solidFill>
              <a:ln>
                <a:solidFill>
                  <a:prstClr val="black"/>
                </a:solidFill>
              </a:ln>
            </c:spPr>
          </c:dPt>
          <c:dPt>
            <c:idx val="4"/>
            <c:spPr>
              <a:solidFill>
                <a:schemeClr val="accent6">
                  <a:lumMod val="75000"/>
                </a:schemeClr>
              </a:solidFill>
              <a:ln>
                <a:solidFill>
                  <a:prstClr val="black"/>
                </a:solidFill>
              </a:ln>
            </c:spPr>
          </c:dPt>
          <c:dLbls>
            <c:txPr>
              <a:bodyPr/>
              <a:lstStyle/>
              <a:p>
                <a:pPr>
                  <a:defRPr sz="800"/>
                </a:pPr>
                <a:endParaRPr lang="en-US"/>
              </a:p>
            </c:txPr>
            <c:showVal val="1"/>
          </c:dLbls>
          <c:cat>
            <c:strRef>
              <c:f>'Applicants per vacancy'!$A$18:$A$29</c:f>
              <c:strCache>
                <c:ptCount val="12"/>
                <c:pt idx="0">
                  <c:v>All regions surveyed, 12 months to June 2012</c:v>
                </c:pt>
                <c:pt idx="1">
                  <c:v>NAWA PEA, March 2010 (Metro survey)</c:v>
                </c:pt>
                <c:pt idx="2">
                  <c:v>NAWA PEA, March 2011 (Metro survey)</c:v>
                </c:pt>
                <c:pt idx="3">
                  <c:v>NAWA PEA, August 2012</c:v>
                </c:pt>
                <c:pt idx="4">
                  <c:v>Playford LGA</c:v>
                </c:pt>
                <c:pt idx="5">
                  <c:v>Labourers</c:v>
                </c:pt>
                <c:pt idx="6">
                  <c:v>Sales Workers</c:v>
                </c:pt>
                <c:pt idx="7">
                  <c:v>Machinery Operators and Drivers</c:v>
                </c:pt>
                <c:pt idx="8">
                  <c:v>Clerical and Administrative Workers</c:v>
                </c:pt>
                <c:pt idx="9">
                  <c:v>Community and Personal Service Workers</c:v>
                </c:pt>
                <c:pt idx="10">
                  <c:v>Technicians and Trades Workers</c:v>
                </c:pt>
                <c:pt idx="11">
                  <c:v>Managers and Professionals</c:v>
                </c:pt>
              </c:strCache>
            </c:strRef>
          </c:cat>
          <c:val>
            <c:numRef>
              <c:f>'Applicants per vacancy'!$C$18:$C$29</c:f>
              <c:numCache>
                <c:formatCode>0.0</c:formatCode>
                <c:ptCount val="12"/>
                <c:pt idx="0">
                  <c:v>2.2999999999999998</c:v>
                </c:pt>
                <c:pt idx="1">
                  <c:v>2.5</c:v>
                </c:pt>
                <c:pt idx="2">
                  <c:v>2.0823045267489797</c:v>
                </c:pt>
                <c:pt idx="3">
                  <c:v>2.7850000000000001</c:v>
                </c:pt>
                <c:pt idx="4">
                  <c:v>2.2592592592592577</c:v>
                </c:pt>
                <c:pt idx="5">
                  <c:v>2.3818181818181707</c:v>
                </c:pt>
                <c:pt idx="6">
                  <c:v>3.7804878048780486</c:v>
                </c:pt>
                <c:pt idx="7">
                  <c:v>2.5306122448979602</c:v>
                </c:pt>
                <c:pt idx="8">
                  <c:v>4.5666666666666664</c:v>
                </c:pt>
                <c:pt idx="9">
                  <c:v>2.5098039215686181</c:v>
                </c:pt>
                <c:pt idx="10">
                  <c:v>1.6836734693877595</c:v>
                </c:pt>
                <c:pt idx="11">
                  <c:v>3.4</c:v>
                </c:pt>
              </c:numCache>
            </c:numRef>
          </c:val>
        </c:ser>
        <c:ser>
          <c:idx val="0"/>
          <c:order val="1"/>
          <c:tx>
            <c:strRef>
              <c:f>'Applicants per vacancy'!$B$17</c:f>
              <c:strCache>
                <c:ptCount val="1"/>
                <c:pt idx="0">
                  <c:v>Average number of applicants per vacancy</c:v>
                </c:pt>
              </c:strCache>
            </c:strRef>
          </c:tx>
          <c:spPr>
            <a:solidFill>
              <a:schemeClr val="accent1">
                <a:lumMod val="40000"/>
                <a:lumOff val="60000"/>
              </a:schemeClr>
            </a:solidFill>
            <a:ln>
              <a:solidFill>
                <a:schemeClr val="tx1"/>
              </a:solidFill>
            </a:ln>
          </c:spPr>
          <c:dPt>
            <c:idx val="0"/>
            <c:spPr>
              <a:solidFill>
                <a:srgbClr val="92D050"/>
              </a:solidFill>
              <a:ln>
                <a:solidFill>
                  <a:schemeClr val="tx1"/>
                </a:solidFill>
              </a:ln>
            </c:spPr>
          </c:dPt>
          <c:dPt>
            <c:idx val="1"/>
            <c:spPr>
              <a:solidFill>
                <a:schemeClr val="accent4">
                  <a:lumMod val="40000"/>
                  <a:lumOff val="60000"/>
                </a:schemeClr>
              </a:solidFill>
              <a:ln>
                <a:solidFill>
                  <a:schemeClr val="tx1"/>
                </a:solidFill>
              </a:ln>
            </c:spPr>
          </c:dPt>
          <c:dPt>
            <c:idx val="2"/>
            <c:spPr>
              <a:solidFill>
                <a:schemeClr val="accent4">
                  <a:lumMod val="40000"/>
                  <a:lumOff val="60000"/>
                </a:schemeClr>
              </a:solidFill>
              <a:ln>
                <a:solidFill>
                  <a:schemeClr val="tx1"/>
                </a:solidFill>
              </a:ln>
            </c:spPr>
          </c:dPt>
          <c:dPt>
            <c:idx val="3"/>
            <c:spPr>
              <a:solidFill>
                <a:schemeClr val="accent4">
                  <a:lumMod val="40000"/>
                  <a:lumOff val="60000"/>
                </a:schemeClr>
              </a:solidFill>
              <a:ln>
                <a:solidFill>
                  <a:schemeClr val="tx1"/>
                </a:solidFill>
              </a:ln>
            </c:spPr>
          </c:dPt>
          <c:dPt>
            <c:idx val="4"/>
            <c:spPr>
              <a:solidFill>
                <a:schemeClr val="accent6">
                  <a:lumMod val="40000"/>
                  <a:lumOff val="60000"/>
                </a:schemeClr>
              </a:solidFill>
              <a:ln>
                <a:solidFill>
                  <a:schemeClr val="tx1"/>
                </a:solidFill>
              </a:ln>
            </c:spPr>
          </c:dPt>
          <c:dLbls>
            <c:txPr>
              <a:bodyPr/>
              <a:lstStyle/>
              <a:p>
                <a:pPr>
                  <a:defRPr sz="800"/>
                </a:pPr>
                <a:endParaRPr lang="en-US"/>
              </a:p>
            </c:txPr>
            <c:showVal val="1"/>
          </c:dLbls>
          <c:cat>
            <c:strRef>
              <c:f>'Applicants per vacancy'!$A$18:$A$29</c:f>
              <c:strCache>
                <c:ptCount val="12"/>
                <c:pt idx="0">
                  <c:v>All regions surveyed, 12 months to June 2012</c:v>
                </c:pt>
                <c:pt idx="1">
                  <c:v>NAWA PEA, March 2010 (Metro survey)</c:v>
                </c:pt>
                <c:pt idx="2">
                  <c:v>NAWA PEA, March 2011 (Metro survey)</c:v>
                </c:pt>
                <c:pt idx="3">
                  <c:v>NAWA PEA, August 2012</c:v>
                </c:pt>
                <c:pt idx="4">
                  <c:v>Playford LGA</c:v>
                </c:pt>
                <c:pt idx="5">
                  <c:v>Labourers</c:v>
                </c:pt>
                <c:pt idx="6">
                  <c:v>Sales Workers</c:v>
                </c:pt>
                <c:pt idx="7">
                  <c:v>Machinery Operators and Drivers</c:v>
                </c:pt>
                <c:pt idx="8">
                  <c:v>Clerical and Administrative Workers</c:v>
                </c:pt>
                <c:pt idx="9">
                  <c:v>Community and Personal Service Workers</c:v>
                </c:pt>
                <c:pt idx="10">
                  <c:v>Technicians and Trades Workers</c:v>
                </c:pt>
                <c:pt idx="11">
                  <c:v>Managers and Professionals</c:v>
                </c:pt>
              </c:strCache>
            </c:strRef>
          </c:cat>
          <c:val>
            <c:numRef>
              <c:f>'Applicants per vacancy'!$B$18:$B$29</c:f>
              <c:numCache>
                <c:formatCode>0.0</c:formatCode>
                <c:ptCount val="12"/>
                <c:pt idx="0">
                  <c:v>7.9</c:v>
                </c:pt>
                <c:pt idx="1">
                  <c:v>12.6</c:v>
                </c:pt>
                <c:pt idx="2">
                  <c:v>12.759259259259307</c:v>
                </c:pt>
                <c:pt idx="3">
                  <c:v>11.352500000000056</c:v>
                </c:pt>
                <c:pt idx="4">
                  <c:v>8</c:v>
                </c:pt>
                <c:pt idx="5">
                  <c:v>5.7818181818182026</c:v>
                </c:pt>
                <c:pt idx="6">
                  <c:v>16.792682926829169</c:v>
                </c:pt>
                <c:pt idx="7">
                  <c:v>13.122448979591837</c:v>
                </c:pt>
                <c:pt idx="8">
                  <c:v>25.066666666666666</c:v>
                </c:pt>
                <c:pt idx="9">
                  <c:v>6.9607843137254717</c:v>
                </c:pt>
                <c:pt idx="10">
                  <c:v>7.2142857142857055</c:v>
                </c:pt>
                <c:pt idx="11">
                  <c:v>11.114285714285714</c:v>
                </c:pt>
              </c:numCache>
            </c:numRef>
          </c:val>
        </c:ser>
        <c:axId val="187402112"/>
        <c:axId val="187403648"/>
      </c:barChart>
      <c:catAx>
        <c:axId val="187402112"/>
        <c:scaling>
          <c:orientation val="minMax"/>
        </c:scaling>
        <c:axPos val="l"/>
        <c:tickLblPos val="nextTo"/>
        <c:txPr>
          <a:bodyPr/>
          <a:lstStyle/>
          <a:p>
            <a:pPr>
              <a:defRPr sz="800"/>
            </a:pPr>
            <a:endParaRPr lang="en-US"/>
          </a:p>
        </c:txPr>
        <c:crossAx val="187403648"/>
        <c:crosses val="autoZero"/>
        <c:auto val="1"/>
        <c:lblAlgn val="ctr"/>
        <c:lblOffset val="100"/>
      </c:catAx>
      <c:valAx>
        <c:axId val="187403648"/>
        <c:scaling>
          <c:orientation val="minMax"/>
        </c:scaling>
        <c:axPos val="b"/>
        <c:numFmt formatCode="0.0" sourceLinked="1"/>
        <c:tickLblPos val="nextTo"/>
        <c:txPr>
          <a:bodyPr/>
          <a:lstStyle/>
          <a:p>
            <a:pPr>
              <a:defRPr sz="800"/>
            </a:pPr>
            <a:endParaRPr lang="en-US"/>
          </a:p>
        </c:txPr>
        <c:crossAx val="187402112"/>
        <c:crosses val="autoZero"/>
        <c:crossBetween val="between"/>
      </c:valAx>
    </c:plotArea>
    <c:legend>
      <c:legendPos val="r"/>
      <c:layout>
        <c:manualLayout>
          <c:xMode val="edge"/>
          <c:yMode val="edge"/>
          <c:x val="0.6469581200675526"/>
          <c:y val="0.49946072594584584"/>
          <c:w val="0.34791367549449342"/>
          <c:h val="0.18048934127136684"/>
        </c:manualLayout>
      </c:layout>
      <c:overlay val="1"/>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2DF8A-D8EB-44CE-B9CC-CE70FC8D1EF6}"/>
</file>

<file path=customXml/itemProps2.xml><?xml version="1.0" encoding="utf-8"?>
<ds:datastoreItem xmlns:ds="http://schemas.openxmlformats.org/officeDocument/2006/customXml" ds:itemID="{E5575990-5627-4204-9275-313A7DA8EE5C}"/>
</file>

<file path=customXml/itemProps3.xml><?xml version="1.0" encoding="utf-8"?>
<ds:datastoreItem xmlns:ds="http://schemas.openxmlformats.org/officeDocument/2006/customXml" ds:itemID="{D0B837D9-5CCB-4E5C-B0CF-025F27388BAB}"/>
</file>

<file path=customXml/itemProps4.xml><?xml version="1.0" encoding="utf-8"?>
<ds:datastoreItem xmlns:ds="http://schemas.openxmlformats.org/officeDocument/2006/customXml" ds:itemID="{07CBB1F0-758D-420B-85C3-8F39DB1DC0F5}"/>
</file>

<file path=docProps/app.xml><?xml version="1.0" encoding="utf-8"?>
<Properties xmlns="http://schemas.openxmlformats.org/officeDocument/2006/extended-properties" xmlns:vt="http://schemas.openxmlformats.org/officeDocument/2006/docPropsVTypes">
  <Template>Normal.dotm</Template>
  <TotalTime>823</TotalTime>
  <Pages>11</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Survey of Employers' Recruitment Experiences</vt:lpstr>
    </vt:vector>
  </TitlesOfParts>
  <Manager>Ivan Neville</Manager>
  <Company>Australian Government</Company>
  <LinksUpToDate>false</LinksUpToDate>
  <CharactersWithSpaces>16026</CharactersWithSpaces>
  <SharedDoc>false</SharedDoc>
  <HLinks>
    <vt:vector size="36" baseType="variant">
      <vt:variant>
        <vt:i4>4718677</vt:i4>
      </vt:variant>
      <vt:variant>
        <vt:i4>72</vt:i4>
      </vt:variant>
      <vt:variant>
        <vt:i4>0</vt:i4>
      </vt:variant>
      <vt:variant>
        <vt:i4>5</vt:i4>
      </vt:variant>
      <vt:variant>
        <vt:lpwstr>http://www.skillsinfo.gov.au/</vt:lpwstr>
      </vt:variant>
      <vt:variant>
        <vt:lpwstr/>
      </vt:variant>
      <vt:variant>
        <vt:i4>7536675</vt:i4>
      </vt:variant>
      <vt:variant>
        <vt:i4>69</vt:i4>
      </vt:variant>
      <vt:variant>
        <vt:i4>0</vt:i4>
      </vt:variant>
      <vt:variant>
        <vt:i4>5</vt:i4>
      </vt:variant>
      <vt:variant>
        <vt:lpwstr>http://www.joboutlook.deewr.gov.au/</vt:lpwstr>
      </vt:variant>
      <vt:variant>
        <vt:lpwstr/>
      </vt:variant>
      <vt:variant>
        <vt:i4>7798835</vt:i4>
      </vt:variant>
      <vt:variant>
        <vt:i4>66</vt:i4>
      </vt:variant>
      <vt:variant>
        <vt:i4>0</vt:i4>
      </vt:variant>
      <vt:variant>
        <vt:i4>5</vt:i4>
      </vt:variant>
      <vt:variant>
        <vt:lpwstr>http://www.deewr.gov.au/regionalreports</vt:lpwstr>
      </vt:variant>
      <vt:variant>
        <vt:lpwstr/>
      </vt:variant>
      <vt:variant>
        <vt:i4>1704029</vt:i4>
      </vt:variant>
      <vt:variant>
        <vt:i4>63</vt:i4>
      </vt:variant>
      <vt:variant>
        <vt:i4>0</vt:i4>
      </vt:variant>
      <vt:variant>
        <vt:i4>5</vt:i4>
      </vt:variant>
      <vt:variant>
        <vt:lpwstr>http://www.deewr.gov.au/lmip</vt:lpwstr>
      </vt:variant>
      <vt:variant>
        <vt:lpwstr/>
      </vt:variant>
      <vt:variant>
        <vt:i4>5308451</vt:i4>
      </vt:variant>
      <vt:variant>
        <vt:i4>11</vt:i4>
      </vt:variant>
      <vt:variant>
        <vt:i4>0</vt:i4>
      </vt:variant>
      <vt:variant>
        <vt:i4>5</vt:i4>
      </vt:variant>
      <vt:variant>
        <vt:lpwstr>mailto:recruitmentsurveys@deewr.gov.au</vt:lpwstr>
      </vt:variant>
      <vt:variant>
        <vt:lpwstr/>
      </vt:variant>
      <vt:variant>
        <vt:i4>5308451</vt:i4>
      </vt:variant>
      <vt:variant>
        <vt:i4>2</vt:i4>
      </vt:variant>
      <vt:variant>
        <vt:i4>0</vt:i4>
      </vt:variant>
      <vt:variant>
        <vt:i4>5</vt:i4>
      </vt:variant>
      <vt:variant>
        <vt:lpwstr>mailto:recruitmentsurveys@deewr.gov.au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Employers' Recruitment Experiences</dc:title>
  <dc:subject>Townsville-Thuringowa</dc:subject>
  <dc:creator>Regional and Industry Demand</dc:creator>
  <cp:lastModifiedBy>Travis Suridge</cp:lastModifiedBy>
  <cp:revision>72</cp:revision>
  <cp:lastPrinted>2012-10-10T04:54:00Z</cp:lastPrinted>
  <dcterms:created xsi:type="dcterms:W3CDTF">2012-06-11T23:37:00Z</dcterms:created>
  <dcterms:modified xsi:type="dcterms:W3CDTF">2012-10-18T00:53:00Z</dcterms:modified>
  <cp:category>Regional</cp:category>
</cp:coreProperties>
</file>