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2486423" w:displacedByCustomXml="next"/>
    <w:sdt>
      <w:sdtPr>
        <w:id w:val="685869552"/>
        <w:docPartObj>
          <w:docPartGallery w:val="Cover Pages"/>
          <w:docPartUnique/>
        </w:docPartObj>
      </w:sdtPr>
      <w:sdtEndPr/>
      <w:sdtContent>
        <w:p w:rsidR="00B17D9B" w:rsidRDefault="00B17D9B" w:rsidP="00F440E7">
          <w:pPr>
            <w:ind w:hanging="284"/>
            <w:rPr>
              <w:noProof/>
            </w:rPr>
          </w:pPr>
        </w:p>
        <w:p w:rsidR="008B316E" w:rsidRDefault="008B316E" w:rsidP="00F440E7">
          <w:pPr>
            <w:ind w:hanging="284"/>
          </w:pPr>
          <w:r>
            <w:rPr>
              <w:noProof/>
            </w:rPr>
            <w:drawing>
              <wp:inline distT="0" distB="0" distL="0" distR="0" wp14:anchorId="497112EC" wp14:editId="11EFC3E6">
                <wp:extent cx="4336415" cy="561340"/>
                <wp:effectExtent l="0" t="0" r="6985" b="0"/>
                <wp:docPr id="3" name="Picture 3" descr="Australian Government Department of Education,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Employment and Workplace Relat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36415" cy="561340"/>
                        </a:xfrm>
                        <a:prstGeom prst="rect">
                          <a:avLst/>
                        </a:prstGeom>
                        <a:noFill/>
                        <a:ln>
                          <a:noFill/>
                        </a:ln>
                      </pic:spPr>
                    </pic:pic>
                  </a:graphicData>
                </a:graphic>
              </wp:inline>
            </w:drawing>
          </w:r>
        </w:p>
        <w:p w:rsidR="008B316E" w:rsidRDefault="008B316E" w:rsidP="008B316E">
          <w:pPr>
            <w:rPr>
              <w:sz w:val="48"/>
              <w:szCs w:val="48"/>
              <w:lang w:bidi="en-US"/>
            </w:rPr>
          </w:pPr>
        </w:p>
        <w:sdt>
          <w:sdtPr>
            <w:rPr>
              <w:color w:val="auto"/>
              <w:sz w:val="40"/>
              <w:szCs w:val="40"/>
            </w:rPr>
            <w:alias w:val="Title"/>
            <w:tag w:val=""/>
            <w:id w:val="-1218355058"/>
            <w:showingPlcHdr/>
            <w:dataBinding w:prefixMappings="xmlns:ns0='http://purl.org/dc/elements/1.1/' xmlns:ns1='http://schemas.openxmlformats.org/package/2006/metadata/core-properties' " w:xpath="/ns1:coreProperties[1]/ns0:title[1]" w:storeItemID="{6C3C8BC8-F283-45AE-878A-BAB7291924A1}"/>
            <w:text/>
          </w:sdtPr>
          <w:sdtEndPr/>
          <w:sdtContent>
            <w:p w:rsidR="008B316E" w:rsidRDefault="004E7D6E" w:rsidP="00F440E7">
              <w:pPr>
                <w:pStyle w:val="Title"/>
                <w:spacing w:before="480" w:after="120"/>
                <w:ind w:left="992"/>
                <w:jc w:val="left"/>
              </w:pPr>
              <w:r>
                <w:rPr>
                  <w:color w:val="auto"/>
                  <w:sz w:val="40"/>
                  <w:szCs w:val="40"/>
                </w:rPr>
                <w:t xml:space="preserve">     </w:t>
              </w:r>
            </w:p>
          </w:sdtContent>
        </w:sdt>
        <w:p w:rsidR="004E7D6E" w:rsidRPr="00793E26" w:rsidRDefault="004E7D6E" w:rsidP="00F440E7">
          <w:pPr>
            <w:pStyle w:val="Heading1"/>
            <w:ind w:left="993"/>
            <w:rPr>
              <w:szCs w:val="40"/>
            </w:rPr>
          </w:pPr>
          <w:bookmarkStart w:id="1" w:name="_Toc339462192"/>
          <w:bookmarkStart w:id="2" w:name="_Toc345508528"/>
          <w:bookmarkStart w:id="3" w:name="_Toc346195459"/>
          <w:bookmarkStart w:id="4" w:name="_Toc346529973"/>
          <w:bookmarkStart w:id="5" w:name="_Toc346611098"/>
          <w:bookmarkStart w:id="6" w:name="_Toc348428581"/>
          <w:bookmarkStart w:id="7" w:name="_Toc355340610"/>
          <w:bookmarkStart w:id="8" w:name="_Toc355851300"/>
          <w:bookmarkStart w:id="9" w:name="_Toc355879913"/>
          <w:bookmarkStart w:id="10" w:name="_Toc357001743"/>
          <w:bookmarkStart w:id="11" w:name="_Toc357778742"/>
          <w:bookmarkStart w:id="12" w:name="_Toc335822985"/>
          <w:bookmarkStart w:id="13" w:name="_Toc338139775"/>
          <w:r w:rsidRPr="00793E26">
            <w:rPr>
              <w:szCs w:val="40"/>
            </w:rPr>
            <w:t>Survey of Employers’ Recruitment Experiences</w:t>
          </w:r>
          <w:bookmarkEnd w:id="1"/>
          <w:bookmarkEnd w:id="2"/>
          <w:bookmarkEnd w:id="3"/>
          <w:bookmarkEnd w:id="4"/>
          <w:bookmarkEnd w:id="5"/>
          <w:bookmarkEnd w:id="6"/>
          <w:bookmarkEnd w:id="7"/>
          <w:bookmarkEnd w:id="8"/>
          <w:bookmarkEnd w:id="9"/>
          <w:bookmarkEnd w:id="10"/>
          <w:bookmarkEnd w:id="11"/>
        </w:p>
        <w:p w:rsidR="004B1A2D" w:rsidRDefault="002B5373" w:rsidP="00F440E7">
          <w:pPr>
            <w:pStyle w:val="Heading1"/>
            <w:ind w:left="993"/>
          </w:pPr>
          <w:bookmarkStart w:id="14" w:name="_Toc339462193"/>
          <w:bookmarkStart w:id="15" w:name="_Toc345508529"/>
          <w:bookmarkStart w:id="16" w:name="_Toc346195460"/>
          <w:bookmarkStart w:id="17" w:name="_Toc346529974"/>
          <w:bookmarkStart w:id="18" w:name="_Toc346611099"/>
          <w:bookmarkStart w:id="19" w:name="_Toc348428582"/>
          <w:bookmarkStart w:id="20" w:name="_Toc355340611"/>
          <w:bookmarkStart w:id="21" w:name="_Toc355851301"/>
          <w:bookmarkStart w:id="22" w:name="_Toc355879914"/>
          <w:bookmarkStart w:id="23" w:name="_Toc357001744"/>
          <w:bookmarkStart w:id="24" w:name="_Toc357778743"/>
          <w:r>
            <w:t>Ipswich-Logan</w:t>
          </w:r>
          <w:r w:rsidR="004E7D6E">
            <w:t xml:space="preserve"> </w:t>
          </w:r>
          <w:bookmarkEnd w:id="12"/>
          <w:bookmarkEnd w:id="13"/>
          <w:bookmarkEnd w:id="14"/>
          <w:r w:rsidR="00D52055">
            <w:t>Priority Employment</w:t>
          </w:r>
          <w:r w:rsidR="002F7D71">
            <w:t xml:space="preserve"> Area</w:t>
          </w:r>
          <w:bookmarkEnd w:id="15"/>
          <w:bookmarkEnd w:id="16"/>
          <w:bookmarkEnd w:id="17"/>
          <w:bookmarkEnd w:id="18"/>
          <w:bookmarkEnd w:id="19"/>
          <w:bookmarkEnd w:id="20"/>
          <w:bookmarkEnd w:id="21"/>
          <w:bookmarkEnd w:id="22"/>
          <w:bookmarkEnd w:id="23"/>
          <w:bookmarkEnd w:id="24"/>
        </w:p>
        <w:p w:rsidR="00F440E7" w:rsidRDefault="002B5373" w:rsidP="00F440E7">
          <w:pPr>
            <w:pStyle w:val="Heading2"/>
            <w:ind w:left="993"/>
            <w:rPr>
              <w:rStyle w:val="Heading2Char"/>
            </w:rPr>
          </w:pPr>
          <w:bookmarkStart w:id="25" w:name="_Toc338139776"/>
          <w:bookmarkStart w:id="26" w:name="_Toc339462194"/>
          <w:bookmarkStart w:id="27" w:name="_Toc345508530"/>
          <w:bookmarkStart w:id="28" w:name="_Toc346195461"/>
          <w:bookmarkStart w:id="29" w:name="_Toc346529975"/>
          <w:bookmarkStart w:id="30" w:name="_Toc346611100"/>
          <w:bookmarkStart w:id="31" w:name="_Toc348428583"/>
          <w:bookmarkStart w:id="32" w:name="_Toc355012258"/>
          <w:bookmarkStart w:id="33" w:name="_Toc355340612"/>
          <w:bookmarkStart w:id="34" w:name="_Toc355851302"/>
          <w:bookmarkStart w:id="35" w:name="_Toc355879915"/>
          <w:bookmarkStart w:id="36" w:name="_Toc357001745"/>
          <w:bookmarkStart w:id="37" w:name="_Toc357778744"/>
          <w:r>
            <w:t>February</w:t>
          </w:r>
          <w:r w:rsidR="004E7D6E">
            <w:t xml:space="preserve"> 201</w:t>
          </w:r>
          <w:bookmarkEnd w:id="25"/>
          <w:bookmarkEnd w:id="26"/>
          <w:bookmarkEnd w:id="27"/>
          <w:bookmarkEnd w:id="28"/>
          <w:bookmarkEnd w:id="29"/>
          <w:bookmarkEnd w:id="30"/>
          <w:bookmarkEnd w:id="31"/>
          <w:r>
            <w:t>3</w:t>
          </w:r>
          <w:bookmarkEnd w:id="32"/>
          <w:bookmarkEnd w:id="33"/>
          <w:bookmarkEnd w:id="34"/>
          <w:bookmarkEnd w:id="35"/>
          <w:bookmarkEnd w:id="36"/>
          <w:bookmarkEnd w:id="37"/>
        </w:p>
        <w:p w:rsidR="004B1A2D" w:rsidRDefault="004B1A2D" w:rsidP="00F440E7">
          <w:pPr>
            <w:spacing w:before="0" w:after="0" w:line="240" w:lineRule="auto"/>
            <w:ind w:left="993"/>
            <w:rPr>
              <w:rStyle w:val="Heading2Char"/>
            </w:rPr>
          </w:pPr>
          <w:r>
            <w:rPr>
              <w:rFonts w:ascii="Calibri" w:eastAsiaTheme="majorEastAsia" w:hAnsi="Calibri" w:cstheme="majorBidi"/>
              <w:b/>
              <w:bCs/>
              <w:noProof/>
              <w:color w:val="165788"/>
              <w:sz w:val="32"/>
              <w:szCs w:val="26"/>
            </w:rPr>
            <w:drawing>
              <wp:anchor distT="0" distB="0" distL="114300" distR="114300" simplePos="0" relativeHeight="251659264" behindDoc="1" locked="0" layoutInCell="1" allowOverlap="1" wp14:anchorId="363B1211" wp14:editId="1330E2E8">
                <wp:simplePos x="0" y="0"/>
                <wp:positionH relativeFrom="column">
                  <wp:posOffset>-1019175</wp:posOffset>
                </wp:positionH>
                <wp:positionV relativeFrom="paragraph">
                  <wp:posOffset>2087880</wp:posOffset>
                </wp:positionV>
                <wp:extent cx="7724775" cy="3838575"/>
                <wp:effectExtent l="19050" t="0" r="952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24775" cy="3838575"/>
                        </a:xfrm>
                        <a:prstGeom prst="rect">
                          <a:avLst/>
                        </a:prstGeom>
                        <a:noFill/>
                        <a:ln>
                          <a:noFill/>
                        </a:ln>
                      </pic:spPr>
                    </pic:pic>
                  </a:graphicData>
                </a:graphic>
              </wp:anchor>
            </w:drawing>
          </w:r>
          <w:r>
            <w:rPr>
              <w:rFonts w:ascii="Calibri" w:eastAsiaTheme="majorEastAsia" w:hAnsi="Calibri" w:cstheme="majorBidi"/>
              <w:b/>
              <w:bCs/>
              <w:noProof/>
              <w:color w:val="165788"/>
              <w:sz w:val="32"/>
              <w:szCs w:val="26"/>
            </w:rPr>
            <w:drawing>
              <wp:anchor distT="0" distB="0" distL="114300" distR="114300" simplePos="0" relativeHeight="251660288" behindDoc="1" locked="0" layoutInCell="1" allowOverlap="1" wp14:anchorId="557D91C2" wp14:editId="4D4D9126">
                <wp:simplePos x="0" y="0"/>
                <wp:positionH relativeFrom="column">
                  <wp:posOffset>-1002030</wp:posOffset>
                </wp:positionH>
                <wp:positionV relativeFrom="paragraph">
                  <wp:posOffset>585470</wp:posOffset>
                </wp:positionV>
                <wp:extent cx="7738110" cy="1874520"/>
                <wp:effectExtent l="19050" t="0" r="0"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38110" cy="1874520"/>
                        </a:xfrm>
                        <a:prstGeom prst="rect">
                          <a:avLst/>
                        </a:prstGeom>
                        <a:noFill/>
                        <a:ln>
                          <a:noFill/>
                        </a:ln>
                      </pic:spPr>
                    </pic:pic>
                  </a:graphicData>
                </a:graphic>
              </wp:anchor>
            </w:drawing>
          </w:r>
          <w:r>
            <w:rPr>
              <w:rStyle w:val="Heading2Char"/>
            </w:rPr>
            <w:br w:type="page"/>
          </w:r>
        </w:p>
        <w:p w:rsidR="00BD69AE" w:rsidRDefault="00BD69AE" w:rsidP="004B1A2D">
          <w:pPr>
            <w:spacing w:before="0" w:after="0" w:line="240" w:lineRule="auto"/>
            <w:rPr>
              <w:rFonts w:asciiTheme="majorHAnsi" w:eastAsiaTheme="majorEastAsia" w:hAnsiTheme="majorHAnsi" w:cstheme="majorBidi"/>
              <w:b/>
              <w:bCs/>
              <w:color w:val="165788"/>
              <w:sz w:val="40"/>
              <w:szCs w:val="28"/>
            </w:rPr>
            <w:sectPr w:rsidR="00BD69AE" w:rsidSect="00DB0902">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440" w:right="1559" w:bottom="1440" w:left="1440" w:header="709" w:footer="709" w:gutter="0"/>
              <w:cols w:space="708"/>
              <w:titlePg/>
              <w:docGrid w:linePitch="360"/>
            </w:sectPr>
          </w:pPr>
        </w:p>
        <w:p w:rsidR="004B1A2D" w:rsidRPr="004B1A2D" w:rsidRDefault="00EA0152" w:rsidP="004B1A2D">
          <w:pPr>
            <w:spacing w:before="0" w:after="0" w:line="240" w:lineRule="auto"/>
            <w:rPr>
              <w:rFonts w:asciiTheme="majorHAnsi" w:eastAsiaTheme="majorEastAsia" w:hAnsiTheme="majorHAnsi" w:cstheme="majorBidi"/>
              <w:b/>
              <w:bCs/>
              <w:color w:val="165788"/>
              <w:sz w:val="40"/>
              <w:szCs w:val="28"/>
            </w:rPr>
          </w:pPr>
        </w:p>
      </w:sdtContent>
    </w:sdt>
    <w:bookmarkEnd w:id="0" w:displacedByCustomXml="prev"/>
    <w:p w:rsidR="009F1AE2" w:rsidRPr="009F1AE2" w:rsidRDefault="009F1AE2" w:rsidP="0019736B">
      <w:pPr>
        <w:pStyle w:val="numberedpara"/>
        <w:numPr>
          <w:ilvl w:val="0"/>
          <w:numId w:val="0"/>
        </w:numPr>
        <w:tabs>
          <w:tab w:val="left" w:pos="720"/>
        </w:tabs>
        <w:ind w:left="142"/>
        <w:rPr>
          <w:sz w:val="560"/>
          <w:szCs w:val="560"/>
        </w:rPr>
      </w:pPr>
    </w:p>
    <w:p w:rsidR="002C57CD" w:rsidRPr="009F1AE2" w:rsidRDefault="002C57CD" w:rsidP="009F1AE2">
      <w:pPr>
        <w:pStyle w:val="BodyText"/>
      </w:pPr>
    </w:p>
    <w:p w:rsidR="0019736B" w:rsidRDefault="0019736B" w:rsidP="0019736B">
      <w:pPr>
        <w:pStyle w:val="numberedpara"/>
        <w:numPr>
          <w:ilvl w:val="0"/>
          <w:numId w:val="0"/>
        </w:numPr>
        <w:tabs>
          <w:tab w:val="left" w:pos="720"/>
        </w:tabs>
        <w:rPr>
          <w:sz w:val="20"/>
          <w:szCs w:val="20"/>
        </w:rPr>
      </w:pPr>
      <w:r>
        <w:rPr>
          <w:noProof/>
          <w:sz w:val="20"/>
          <w:szCs w:val="20"/>
        </w:rPr>
        <w:drawing>
          <wp:inline distT="0" distB="0" distL="0" distR="0" wp14:anchorId="33C63832" wp14:editId="5666A463">
            <wp:extent cx="847725" cy="285750"/>
            <wp:effectExtent l="19050" t="0" r="9525" b="0"/>
            <wp:docPr id="4" name="Picture 1" descr="cid:image001.png@01CC5B5E.C6C8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4" r:link="rId25"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19736B" w:rsidRPr="000462F1" w:rsidRDefault="0019736B" w:rsidP="0019736B">
      <w:pPr>
        <w:pStyle w:val="Default"/>
        <w:spacing w:before="120" w:after="120"/>
        <w:rPr>
          <w:sz w:val="20"/>
          <w:szCs w:val="20"/>
        </w:rPr>
      </w:pPr>
      <w:r w:rsidRPr="000462F1">
        <w:rPr>
          <w:sz w:val="20"/>
          <w:szCs w:val="20"/>
        </w:rPr>
        <w:t>With the exception of the Commonwealth Coat of Arms, the Department’s logo, any material protected by a trade mark and where otherwise noted all material presented in this document is provided under a Creative Commons Attribution 3.0 Australia (</w:t>
      </w:r>
      <w:hyperlink r:id="rId26" w:history="1">
        <w:r w:rsidRPr="000462F1">
          <w:rPr>
            <w:rStyle w:val="Hyperlink"/>
          </w:rPr>
          <w:t>http://creativecommons.org/licenses/by/3.0/au/</w:t>
        </w:r>
      </w:hyperlink>
      <w:r w:rsidRPr="000462F1">
        <w:rPr>
          <w:sz w:val="20"/>
          <w:szCs w:val="20"/>
        </w:rPr>
        <w:t xml:space="preserve">) licence. </w:t>
      </w:r>
    </w:p>
    <w:p w:rsidR="003E387D" w:rsidRDefault="0019736B" w:rsidP="003E387D">
      <w:pPr>
        <w:pStyle w:val="Default"/>
        <w:spacing w:before="120" w:after="120"/>
        <w:rPr>
          <w:sz w:val="20"/>
          <w:szCs w:val="20"/>
        </w:rPr>
      </w:pPr>
      <w:r w:rsidRPr="000462F1">
        <w:rPr>
          <w:sz w:val="20"/>
          <w:szCs w:val="20"/>
        </w:rPr>
        <w:t>The details of the relevant licence conditions are available on the Creative Commons website (accessible using the links provided) as is the full legal code for the CC BY 3.0 AU licence (</w:t>
      </w:r>
      <w:hyperlink r:id="rId27" w:history="1">
        <w:r w:rsidRPr="000462F1">
          <w:rPr>
            <w:rStyle w:val="Hyperlink"/>
          </w:rPr>
          <w:t>http://creativecommons.org/licenses/by/3.0/au/legalcode</w:t>
        </w:r>
      </w:hyperlink>
      <w:r w:rsidRPr="000462F1">
        <w:rPr>
          <w:sz w:val="20"/>
          <w:szCs w:val="20"/>
        </w:rPr>
        <w:t xml:space="preserve">). The document must be attributed as </w:t>
      </w:r>
      <w:r w:rsidR="003E387D">
        <w:rPr>
          <w:sz w:val="20"/>
          <w:szCs w:val="20"/>
        </w:rPr>
        <w:t xml:space="preserve">the ‘DEEWR - Survey of Employers’ Recruitment Experiences – </w:t>
      </w:r>
      <w:r w:rsidR="002B5373">
        <w:rPr>
          <w:sz w:val="20"/>
          <w:szCs w:val="20"/>
        </w:rPr>
        <w:t>Ipswich-Logan</w:t>
      </w:r>
      <w:r w:rsidR="008E4642">
        <w:rPr>
          <w:sz w:val="20"/>
          <w:szCs w:val="20"/>
        </w:rPr>
        <w:t xml:space="preserve"> Priority Employment </w:t>
      </w:r>
      <w:r w:rsidR="003E387D">
        <w:rPr>
          <w:sz w:val="20"/>
          <w:szCs w:val="20"/>
        </w:rPr>
        <w:t xml:space="preserve">Area – </w:t>
      </w:r>
      <w:r w:rsidR="002B5373">
        <w:rPr>
          <w:sz w:val="20"/>
          <w:szCs w:val="20"/>
        </w:rPr>
        <w:t>February</w:t>
      </w:r>
      <w:r w:rsidR="002F7D71">
        <w:rPr>
          <w:sz w:val="20"/>
          <w:szCs w:val="20"/>
        </w:rPr>
        <w:t xml:space="preserve"> </w:t>
      </w:r>
      <w:r w:rsidR="002B5373">
        <w:rPr>
          <w:sz w:val="20"/>
          <w:szCs w:val="20"/>
        </w:rPr>
        <w:t>2013</w:t>
      </w:r>
      <w:r w:rsidR="003E387D">
        <w:rPr>
          <w:sz w:val="20"/>
          <w:szCs w:val="20"/>
        </w:rPr>
        <w:t xml:space="preserve">’. </w:t>
      </w:r>
    </w:p>
    <w:p w:rsidR="00D571C0" w:rsidRDefault="00D571C0" w:rsidP="003E387D">
      <w:pPr>
        <w:pStyle w:val="Default"/>
        <w:spacing w:before="120" w:after="120"/>
        <w:rPr>
          <w:sz w:val="20"/>
          <w:szCs w:val="20"/>
        </w:rPr>
      </w:pPr>
    </w:p>
    <w:p w:rsidR="00D571C0" w:rsidRDefault="00D571C0" w:rsidP="00D571C0">
      <w:pPr>
        <w:spacing w:after="180"/>
        <w:ind w:right="2514"/>
        <w:rPr>
          <w:rFonts w:cs="Arial"/>
          <w:szCs w:val="22"/>
        </w:rPr>
      </w:pPr>
    </w:p>
    <w:p w:rsidR="00D571C0" w:rsidRPr="00690AB6" w:rsidRDefault="00D571C0" w:rsidP="00D571C0">
      <w:pPr>
        <w:spacing w:after="180"/>
        <w:ind w:right="2514"/>
        <w:rPr>
          <w:rFonts w:cs="Arial"/>
          <w:szCs w:val="22"/>
        </w:rPr>
      </w:pPr>
      <w:r w:rsidRPr="00690AB6">
        <w:rPr>
          <w:rFonts w:cs="Arial"/>
          <w:szCs w:val="22"/>
        </w:rPr>
        <w:t>This report was prepared by the Labo</w:t>
      </w:r>
      <w:r>
        <w:rPr>
          <w:rFonts w:cs="Arial"/>
          <w:szCs w:val="22"/>
        </w:rPr>
        <w:t xml:space="preserve">ur Market Research and Analysis </w:t>
      </w:r>
      <w:r w:rsidRPr="00690AB6">
        <w:rPr>
          <w:rFonts w:cs="Arial"/>
          <w:szCs w:val="22"/>
        </w:rPr>
        <w:t>Branch and is based on research conducted by the Branch.</w:t>
      </w:r>
    </w:p>
    <w:p w:rsidR="00D571C0" w:rsidRPr="00A2366C" w:rsidRDefault="00577029" w:rsidP="00D571C0">
      <w:pPr>
        <w:pStyle w:val="Default"/>
        <w:spacing w:before="120" w:after="120"/>
        <w:rPr>
          <w:sz w:val="22"/>
          <w:szCs w:val="22"/>
        </w:rPr>
      </w:pPr>
      <w:r w:rsidRPr="00A2366C">
        <w:rPr>
          <w:rFonts w:cs="Arial"/>
          <w:noProof/>
          <w:sz w:val="22"/>
          <w:szCs w:val="22"/>
        </w:rPr>
        <mc:AlternateContent>
          <mc:Choice Requires="wps">
            <w:drawing>
              <wp:anchor distT="0" distB="0" distL="114300" distR="114300" simplePos="0" relativeHeight="251666432" behindDoc="0" locked="0" layoutInCell="1" allowOverlap="1" wp14:anchorId="3ABD5C15" wp14:editId="0D825D9C">
                <wp:simplePos x="0" y="0"/>
                <wp:positionH relativeFrom="column">
                  <wp:posOffset>2138045</wp:posOffset>
                </wp:positionH>
                <wp:positionV relativeFrom="paragraph">
                  <wp:posOffset>757555</wp:posOffset>
                </wp:positionV>
                <wp:extent cx="4665345" cy="457200"/>
                <wp:effectExtent l="4445" t="5080" r="6985" b="254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457200"/>
                        </a:xfrm>
                        <a:prstGeom prst="rect">
                          <a:avLst/>
                        </a:prstGeom>
                        <a:solidFill>
                          <a:schemeClr val="bg2">
                            <a:lumMod val="75000"/>
                            <a:lumOff val="0"/>
                            <a:alpha val="0"/>
                          </a:schemeClr>
                        </a:solidFill>
                        <a:ln>
                          <a:noFill/>
                        </a:ln>
                        <a:extLst>
                          <a:ext uri="{91240B29-F687-4F45-9708-019B960494DF}">
                            <a14:hiddenLine xmlns:a14="http://schemas.microsoft.com/office/drawing/2010/main" w="0">
                              <a:solidFill>
                                <a:schemeClr val="bg2">
                                  <a:lumMod val="90000"/>
                                  <a:lumOff val="0"/>
                                </a:schemeClr>
                              </a:solidFill>
                              <a:miter lim="800000"/>
                              <a:headEnd/>
                              <a:tailEnd/>
                            </a14:hiddenLine>
                          </a:ext>
                        </a:extLst>
                      </wps:spPr>
                      <wps:txbx>
                        <w:txbxContent>
                          <w:p w:rsidR="0077131B" w:rsidRDefault="0077131B" w:rsidP="00D571C0">
                            <w:r>
                              <w:rPr>
                                <w:sz w:val="20"/>
                              </w:rPr>
                              <w:tab/>
                            </w:r>
                            <w:r>
                              <w:rPr>
                                <w:sz w:val="20"/>
                              </w:rPr>
                              <w:tab/>
                            </w:r>
                            <w:r>
                              <w:rPr>
                                <w:sz w:val="20"/>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8.35pt;margin-top:59.65pt;width:367.35pt;height:36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" fillcolor="#c4bc96 [2414]" stroked="f" strokecolor="#ddd8c2 [2894]" strokeweight="0">
                <v:fill opacity="0"/>
                <v:textbox style="mso-fit-shape-to-text:t">
                  <w:txbxContent>
                    <w:p w:rsidR="0077131B" w:rsidRDefault="0077131B" w:rsidP="00D571C0">
                      <w:r>
                        <w:rPr>
                          <w:sz w:val="20"/>
                        </w:rPr>
                        <w:tab/>
                      </w:r>
                      <w:r>
                        <w:rPr>
                          <w:sz w:val="20"/>
                        </w:rPr>
                        <w:tab/>
                      </w:r>
                      <w:r>
                        <w:rPr>
                          <w:sz w:val="20"/>
                        </w:rPr>
                        <w:tab/>
                      </w:r>
                    </w:p>
                  </w:txbxContent>
                </v:textbox>
              </v:shape>
            </w:pict>
          </mc:Fallback>
        </mc:AlternateContent>
      </w:r>
      <w:r w:rsidR="00D571C0" w:rsidRPr="00A2366C">
        <w:rPr>
          <w:rFonts w:cs="Arial"/>
          <w:sz w:val="22"/>
          <w:szCs w:val="22"/>
        </w:rPr>
        <w:t>For further information: www.deewr.gov.au</w:t>
      </w:r>
      <w:r w:rsidR="00D571C0" w:rsidRPr="00A2366C">
        <w:rPr>
          <w:rFonts w:cs="Arial"/>
          <w:sz w:val="22"/>
          <w:szCs w:val="22"/>
        </w:rPr>
        <w:br/>
      </w:r>
      <w:proofErr w:type="spellStart"/>
      <w:r w:rsidR="00D571C0" w:rsidRPr="00A2366C">
        <w:rPr>
          <w:rFonts w:cs="Arial"/>
          <w:sz w:val="22"/>
          <w:szCs w:val="22"/>
        </w:rPr>
        <w:t>Ph</w:t>
      </w:r>
      <w:proofErr w:type="spellEnd"/>
      <w:r w:rsidR="00D571C0" w:rsidRPr="00A2366C">
        <w:rPr>
          <w:rFonts w:cs="Arial"/>
          <w:sz w:val="22"/>
          <w:szCs w:val="22"/>
        </w:rPr>
        <w:t xml:space="preserve">: 1800 059 439 | </w:t>
      </w:r>
      <w:hyperlink r:id="rId28" w:history="1">
        <w:r w:rsidR="00D571C0" w:rsidRPr="00A2366C">
          <w:rPr>
            <w:rFonts w:cs="Arial"/>
            <w:sz w:val="22"/>
            <w:szCs w:val="22"/>
          </w:rPr>
          <w:t>recruitmentsurveys@deewr.gov.au</w:t>
        </w:r>
      </w:hyperlink>
      <w:r w:rsidR="00D571C0" w:rsidRPr="00A2366C">
        <w:rPr>
          <w:sz w:val="22"/>
          <w:szCs w:val="22"/>
        </w:rPr>
        <w:tab/>
        <w:t xml:space="preserve">                      </w:t>
      </w:r>
      <w:r w:rsidR="00D571C0" w:rsidRPr="00A2366C">
        <w:rPr>
          <w:sz w:val="22"/>
          <w:szCs w:val="22"/>
        </w:rPr>
        <w:br/>
      </w:r>
      <w:r w:rsidR="00D571C0" w:rsidRPr="00A2366C">
        <w:rPr>
          <w:rFonts w:cs="Arial"/>
          <w:sz w:val="22"/>
          <w:szCs w:val="22"/>
        </w:rPr>
        <w:t>ABN: 63 578 775 294</w:t>
      </w:r>
    </w:p>
    <w:bookmarkStart w:id="38" w:name="_Toc357001746" w:displacedByCustomXml="next"/>
    <w:bookmarkStart w:id="39" w:name="_Toc355851303" w:displacedByCustomXml="next"/>
    <w:bookmarkStart w:id="40" w:name="_Toc348428584" w:displacedByCustomXml="next"/>
    <w:bookmarkStart w:id="41" w:name="_Toc346529976" w:displacedByCustomXml="next"/>
    <w:bookmarkStart w:id="42" w:name="_Toc346195462" w:displacedByCustomXml="next"/>
    <w:bookmarkStart w:id="43" w:name="_Toc345508531" w:displacedByCustomXml="next"/>
    <w:bookmarkStart w:id="44" w:name="_Toc346611101" w:displacedByCustomXml="next"/>
    <w:bookmarkStart w:id="45" w:name="_Toc355879916" w:displacedByCustomXml="next"/>
    <w:bookmarkStart w:id="46" w:name="_Toc357778745" w:displacedByCustomXml="next"/>
    <w:sdt>
      <w:sdtPr>
        <w:rPr>
          <w:rFonts w:asciiTheme="minorHAnsi" w:eastAsia="Times New Roman" w:hAnsiTheme="minorHAnsi" w:cs="Times New Roman"/>
          <w:b w:val="0"/>
          <w:bCs w:val="0"/>
          <w:smallCaps/>
          <w:color w:val="auto"/>
          <w:sz w:val="22"/>
          <w:szCs w:val="24"/>
        </w:rPr>
        <w:id w:val="86572131"/>
        <w:docPartObj>
          <w:docPartGallery w:val="Table of Contents"/>
          <w:docPartUnique/>
        </w:docPartObj>
      </w:sdtPr>
      <w:sdtEndPr>
        <w:rPr>
          <w:smallCaps w:val="0"/>
        </w:rPr>
      </w:sdtEndPr>
      <w:sdtContent>
        <w:p w:rsidR="00CE5498" w:rsidRDefault="0097493D" w:rsidP="00083669">
          <w:pPr>
            <w:pStyle w:val="Heading1"/>
            <w:rPr>
              <w:noProof/>
            </w:rPr>
          </w:pPr>
          <w:r w:rsidRPr="007F36DA">
            <w:rPr>
              <w:sz w:val="36"/>
              <w:szCs w:val="36"/>
            </w:rPr>
            <w:t>Contents</w:t>
          </w:r>
          <w:bookmarkEnd w:id="46"/>
          <w:bookmarkEnd w:id="45"/>
          <w:bookmarkEnd w:id="44"/>
          <w:bookmarkEnd w:id="43"/>
          <w:bookmarkEnd w:id="42"/>
          <w:bookmarkEnd w:id="41"/>
          <w:bookmarkEnd w:id="40"/>
          <w:bookmarkEnd w:id="39"/>
          <w:bookmarkEnd w:id="38"/>
          <w:r w:rsidR="00D76419">
            <w:fldChar w:fldCharType="begin"/>
          </w:r>
          <w:r>
            <w:instrText xml:space="preserve"> TOC \o "1-3" \h \z \u </w:instrText>
          </w:r>
          <w:r w:rsidR="00D76419">
            <w:fldChar w:fldCharType="separate"/>
          </w:r>
        </w:p>
        <w:p w:rsidR="00CE5498" w:rsidRDefault="00EA0152">
          <w:pPr>
            <w:pStyle w:val="TOC1"/>
            <w:rPr>
              <w:rFonts w:asciiTheme="minorHAnsi" w:eastAsiaTheme="minorEastAsia" w:hAnsiTheme="minorHAnsi" w:cstheme="minorBidi"/>
              <w:b w:val="0"/>
              <w:noProof/>
              <w:color w:val="auto"/>
              <w:szCs w:val="22"/>
            </w:rPr>
          </w:pPr>
          <w:hyperlink w:anchor="_Toc357778746" w:history="1">
            <w:r w:rsidR="00CE5498" w:rsidRPr="00BD5FDD">
              <w:rPr>
                <w:rStyle w:val="Hyperlink"/>
                <w:rFonts w:eastAsiaTheme="majorEastAsia"/>
                <w:noProof/>
              </w:rPr>
              <w:t>The Ipswich-Logan Priority Employment Area</w:t>
            </w:r>
            <w:r w:rsidR="00CE5498">
              <w:rPr>
                <w:noProof/>
                <w:webHidden/>
              </w:rPr>
              <w:tab/>
            </w:r>
            <w:r w:rsidR="00CE5498">
              <w:rPr>
                <w:noProof/>
                <w:webHidden/>
              </w:rPr>
              <w:fldChar w:fldCharType="begin"/>
            </w:r>
            <w:r w:rsidR="00CE5498">
              <w:rPr>
                <w:noProof/>
                <w:webHidden/>
              </w:rPr>
              <w:instrText xml:space="preserve"> PAGEREF _Toc357778746 \h </w:instrText>
            </w:r>
            <w:r w:rsidR="00CE5498">
              <w:rPr>
                <w:noProof/>
                <w:webHidden/>
              </w:rPr>
            </w:r>
            <w:r w:rsidR="00CE5498">
              <w:rPr>
                <w:noProof/>
                <w:webHidden/>
              </w:rPr>
              <w:fldChar w:fldCharType="separate"/>
            </w:r>
            <w:r w:rsidR="00CE5498">
              <w:rPr>
                <w:noProof/>
                <w:webHidden/>
              </w:rPr>
              <w:t>1</w:t>
            </w:r>
            <w:r w:rsidR="00CE5498">
              <w:rPr>
                <w:noProof/>
                <w:webHidden/>
              </w:rPr>
              <w:fldChar w:fldCharType="end"/>
            </w:r>
          </w:hyperlink>
        </w:p>
        <w:p w:rsidR="00CE5498" w:rsidRDefault="00EA0152">
          <w:pPr>
            <w:pStyle w:val="TOC1"/>
            <w:rPr>
              <w:rFonts w:asciiTheme="minorHAnsi" w:eastAsiaTheme="minorEastAsia" w:hAnsiTheme="minorHAnsi" w:cstheme="minorBidi"/>
              <w:b w:val="0"/>
              <w:noProof/>
              <w:color w:val="auto"/>
              <w:szCs w:val="22"/>
            </w:rPr>
          </w:pPr>
          <w:hyperlink w:anchor="_Toc357778747" w:history="1">
            <w:r w:rsidR="00CE5498" w:rsidRPr="00BD5FDD">
              <w:rPr>
                <w:rStyle w:val="Hyperlink"/>
                <w:rFonts w:eastAsiaTheme="majorEastAsia"/>
                <w:noProof/>
              </w:rPr>
              <w:t>Key Findings</w:t>
            </w:r>
            <w:r w:rsidR="00CE5498">
              <w:rPr>
                <w:noProof/>
                <w:webHidden/>
              </w:rPr>
              <w:tab/>
            </w:r>
            <w:r w:rsidR="00CE5498">
              <w:rPr>
                <w:noProof/>
                <w:webHidden/>
              </w:rPr>
              <w:fldChar w:fldCharType="begin"/>
            </w:r>
            <w:r w:rsidR="00CE5498">
              <w:rPr>
                <w:noProof/>
                <w:webHidden/>
              </w:rPr>
              <w:instrText xml:space="preserve"> PAGEREF _Toc357778747 \h </w:instrText>
            </w:r>
            <w:r w:rsidR="00CE5498">
              <w:rPr>
                <w:noProof/>
                <w:webHidden/>
              </w:rPr>
            </w:r>
            <w:r w:rsidR="00CE5498">
              <w:rPr>
                <w:noProof/>
                <w:webHidden/>
              </w:rPr>
              <w:fldChar w:fldCharType="separate"/>
            </w:r>
            <w:r w:rsidR="00CE5498">
              <w:rPr>
                <w:noProof/>
                <w:webHidden/>
              </w:rPr>
              <w:t>1</w:t>
            </w:r>
            <w:r w:rsidR="00CE5498">
              <w:rPr>
                <w:noProof/>
                <w:webHidden/>
              </w:rPr>
              <w:fldChar w:fldCharType="end"/>
            </w:r>
          </w:hyperlink>
        </w:p>
        <w:p w:rsidR="00CE5498" w:rsidRDefault="00EA0152">
          <w:pPr>
            <w:pStyle w:val="TOC1"/>
            <w:rPr>
              <w:rFonts w:asciiTheme="minorHAnsi" w:eastAsiaTheme="minorEastAsia" w:hAnsiTheme="minorHAnsi" w:cstheme="minorBidi"/>
              <w:b w:val="0"/>
              <w:noProof/>
              <w:color w:val="auto"/>
              <w:szCs w:val="22"/>
            </w:rPr>
          </w:pPr>
          <w:hyperlink w:anchor="_Toc357778748" w:history="1">
            <w:r w:rsidR="00CE5498" w:rsidRPr="00BD5FDD">
              <w:rPr>
                <w:rStyle w:val="Hyperlink"/>
                <w:rFonts w:eastAsiaTheme="majorEastAsia"/>
                <w:noProof/>
              </w:rPr>
              <w:t>Decline in employment in the Manufacturing industry</w:t>
            </w:r>
            <w:r w:rsidR="00CE5498">
              <w:rPr>
                <w:noProof/>
                <w:webHidden/>
              </w:rPr>
              <w:tab/>
            </w:r>
            <w:r w:rsidR="00CE5498">
              <w:rPr>
                <w:noProof/>
                <w:webHidden/>
              </w:rPr>
              <w:fldChar w:fldCharType="begin"/>
            </w:r>
            <w:r w:rsidR="00CE5498">
              <w:rPr>
                <w:noProof/>
                <w:webHidden/>
              </w:rPr>
              <w:instrText xml:space="preserve"> PAGEREF _Toc357778748 \h </w:instrText>
            </w:r>
            <w:r w:rsidR="00CE5498">
              <w:rPr>
                <w:noProof/>
                <w:webHidden/>
              </w:rPr>
            </w:r>
            <w:r w:rsidR="00CE5498">
              <w:rPr>
                <w:noProof/>
                <w:webHidden/>
              </w:rPr>
              <w:fldChar w:fldCharType="separate"/>
            </w:r>
            <w:r w:rsidR="00CE5498">
              <w:rPr>
                <w:noProof/>
                <w:webHidden/>
              </w:rPr>
              <w:t>2</w:t>
            </w:r>
            <w:r w:rsidR="00CE5498">
              <w:rPr>
                <w:noProof/>
                <w:webHidden/>
              </w:rPr>
              <w:fldChar w:fldCharType="end"/>
            </w:r>
          </w:hyperlink>
        </w:p>
        <w:p w:rsidR="00CE5498" w:rsidRDefault="00EA0152">
          <w:pPr>
            <w:pStyle w:val="TOC1"/>
            <w:rPr>
              <w:rFonts w:asciiTheme="minorHAnsi" w:eastAsiaTheme="minorEastAsia" w:hAnsiTheme="minorHAnsi" w:cstheme="minorBidi"/>
              <w:b w:val="0"/>
              <w:noProof/>
              <w:color w:val="auto"/>
              <w:szCs w:val="22"/>
            </w:rPr>
          </w:pPr>
          <w:hyperlink w:anchor="_Toc357778749" w:history="1">
            <w:r w:rsidR="00CE5498" w:rsidRPr="00BD5FDD">
              <w:rPr>
                <w:rStyle w:val="Hyperlink"/>
                <w:rFonts w:eastAsiaTheme="majorEastAsia"/>
                <w:noProof/>
              </w:rPr>
              <w:t>Large decrease in recruitment activity in the Ipswich LGA</w:t>
            </w:r>
            <w:r w:rsidR="00CE5498">
              <w:rPr>
                <w:noProof/>
                <w:webHidden/>
              </w:rPr>
              <w:tab/>
            </w:r>
            <w:r w:rsidR="00CE5498">
              <w:rPr>
                <w:noProof/>
                <w:webHidden/>
              </w:rPr>
              <w:fldChar w:fldCharType="begin"/>
            </w:r>
            <w:r w:rsidR="00CE5498">
              <w:rPr>
                <w:noProof/>
                <w:webHidden/>
              </w:rPr>
              <w:instrText xml:space="preserve"> PAGEREF _Toc357778749 \h </w:instrText>
            </w:r>
            <w:r w:rsidR="00CE5498">
              <w:rPr>
                <w:noProof/>
                <w:webHidden/>
              </w:rPr>
            </w:r>
            <w:r w:rsidR="00CE5498">
              <w:rPr>
                <w:noProof/>
                <w:webHidden/>
              </w:rPr>
              <w:fldChar w:fldCharType="separate"/>
            </w:r>
            <w:r w:rsidR="00CE5498">
              <w:rPr>
                <w:noProof/>
                <w:webHidden/>
              </w:rPr>
              <w:t>2</w:t>
            </w:r>
            <w:r w:rsidR="00CE5498">
              <w:rPr>
                <w:noProof/>
                <w:webHidden/>
              </w:rPr>
              <w:fldChar w:fldCharType="end"/>
            </w:r>
          </w:hyperlink>
        </w:p>
        <w:p w:rsidR="00CE5498" w:rsidRDefault="00EA0152">
          <w:pPr>
            <w:pStyle w:val="TOC1"/>
            <w:rPr>
              <w:rFonts w:asciiTheme="minorHAnsi" w:eastAsiaTheme="minorEastAsia" w:hAnsiTheme="minorHAnsi" w:cstheme="minorBidi"/>
              <w:b w:val="0"/>
              <w:noProof/>
              <w:color w:val="auto"/>
              <w:szCs w:val="22"/>
            </w:rPr>
          </w:pPr>
          <w:hyperlink w:anchor="_Toc357778750" w:history="1">
            <w:r w:rsidR="00CE5498" w:rsidRPr="00BD5FDD">
              <w:rPr>
                <w:rStyle w:val="Hyperlink"/>
                <w:rFonts w:eastAsiaTheme="majorEastAsia"/>
                <w:noProof/>
              </w:rPr>
              <w:t>Travel outside the region for work</w:t>
            </w:r>
            <w:r w:rsidR="00CE5498">
              <w:rPr>
                <w:noProof/>
                <w:webHidden/>
              </w:rPr>
              <w:tab/>
            </w:r>
            <w:r w:rsidR="00CE5498">
              <w:rPr>
                <w:noProof/>
                <w:webHidden/>
              </w:rPr>
              <w:fldChar w:fldCharType="begin"/>
            </w:r>
            <w:r w:rsidR="00CE5498">
              <w:rPr>
                <w:noProof/>
                <w:webHidden/>
              </w:rPr>
              <w:instrText xml:space="preserve"> PAGEREF _Toc357778750 \h </w:instrText>
            </w:r>
            <w:r w:rsidR="00CE5498">
              <w:rPr>
                <w:noProof/>
                <w:webHidden/>
              </w:rPr>
            </w:r>
            <w:r w:rsidR="00CE5498">
              <w:rPr>
                <w:noProof/>
                <w:webHidden/>
              </w:rPr>
              <w:fldChar w:fldCharType="separate"/>
            </w:r>
            <w:r w:rsidR="00CE5498">
              <w:rPr>
                <w:noProof/>
                <w:webHidden/>
              </w:rPr>
              <w:t>3</w:t>
            </w:r>
            <w:r w:rsidR="00CE5498">
              <w:rPr>
                <w:noProof/>
                <w:webHidden/>
              </w:rPr>
              <w:fldChar w:fldCharType="end"/>
            </w:r>
          </w:hyperlink>
        </w:p>
        <w:p w:rsidR="00CE5498" w:rsidRDefault="00EA0152">
          <w:pPr>
            <w:pStyle w:val="TOC1"/>
            <w:rPr>
              <w:rFonts w:asciiTheme="minorHAnsi" w:eastAsiaTheme="minorEastAsia" w:hAnsiTheme="minorHAnsi" w:cstheme="minorBidi"/>
              <w:b w:val="0"/>
              <w:noProof/>
              <w:color w:val="auto"/>
              <w:szCs w:val="22"/>
            </w:rPr>
          </w:pPr>
          <w:hyperlink w:anchor="_Toc357778751" w:history="1">
            <w:r w:rsidR="00CE5498" w:rsidRPr="00BD5FDD">
              <w:rPr>
                <w:rStyle w:val="Hyperlink"/>
                <w:rFonts w:eastAsiaTheme="majorEastAsia"/>
                <w:noProof/>
              </w:rPr>
              <w:t>The Future</w:t>
            </w:r>
            <w:r w:rsidR="00CE5498">
              <w:rPr>
                <w:noProof/>
                <w:webHidden/>
              </w:rPr>
              <w:tab/>
            </w:r>
            <w:r w:rsidR="00CE5498">
              <w:rPr>
                <w:noProof/>
                <w:webHidden/>
              </w:rPr>
              <w:fldChar w:fldCharType="begin"/>
            </w:r>
            <w:r w:rsidR="00CE5498">
              <w:rPr>
                <w:noProof/>
                <w:webHidden/>
              </w:rPr>
              <w:instrText xml:space="preserve"> PAGEREF _Toc357778751 \h </w:instrText>
            </w:r>
            <w:r w:rsidR="00CE5498">
              <w:rPr>
                <w:noProof/>
                <w:webHidden/>
              </w:rPr>
            </w:r>
            <w:r w:rsidR="00CE5498">
              <w:rPr>
                <w:noProof/>
                <w:webHidden/>
              </w:rPr>
              <w:fldChar w:fldCharType="separate"/>
            </w:r>
            <w:r w:rsidR="00CE5498">
              <w:rPr>
                <w:noProof/>
                <w:webHidden/>
              </w:rPr>
              <w:t>3</w:t>
            </w:r>
            <w:r w:rsidR="00CE5498">
              <w:rPr>
                <w:noProof/>
                <w:webHidden/>
              </w:rPr>
              <w:fldChar w:fldCharType="end"/>
            </w:r>
          </w:hyperlink>
        </w:p>
        <w:p w:rsidR="00CE5498" w:rsidRDefault="00EA0152">
          <w:pPr>
            <w:pStyle w:val="TOC1"/>
            <w:rPr>
              <w:rFonts w:asciiTheme="minorHAnsi" w:eastAsiaTheme="minorEastAsia" w:hAnsiTheme="minorHAnsi" w:cstheme="minorBidi"/>
              <w:b w:val="0"/>
              <w:noProof/>
              <w:color w:val="auto"/>
              <w:szCs w:val="22"/>
            </w:rPr>
          </w:pPr>
          <w:hyperlink w:anchor="_Toc357778752" w:history="1">
            <w:r w:rsidR="00CE5498" w:rsidRPr="00BD5FDD">
              <w:rPr>
                <w:rStyle w:val="Hyperlink"/>
                <w:rFonts w:eastAsiaTheme="majorEastAsia"/>
                <w:noProof/>
              </w:rPr>
              <w:t>Where are the jobs?</w:t>
            </w:r>
            <w:r w:rsidR="00CE5498">
              <w:rPr>
                <w:noProof/>
                <w:webHidden/>
              </w:rPr>
              <w:tab/>
            </w:r>
            <w:r w:rsidR="00CE5498">
              <w:rPr>
                <w:noProof/>
                <w:webHidden/>
              </w:rPr>
              <w:fldChar w:fldCharType="begin"/>
            </w:r>
            <w:r w:rsidR="00CE5498">
              <w:rPr>
                <w:noProof/>
                <w:webHidden/>
              </w:rPr>
              <w:instrText xml:space="preserve"> PAGEREF _Toc357778752 \h </w:instrText>
            </w:r>
            <w:r w:rsidR="00CE5498">
              <w:rPr>
                <w:noProof/>
                <w:webHidden/>
              </w:rPr>
            </w:r>
            <w:r w:rsidR="00CE5498">
              <w:rPr>
                <w:noProof/>
                <w:webHidden/>
              </w:rPr>
              <w:fldChar w:fldCharType="separate"/>
            </w:r>
            <w:r w:rsidR="00CE5498">
              <w:rPr>
                <w:noProof/>
                <w:webHidden/>
              </w:rPr>
              <w:t>4</w:t>
            </w:r>
            <w:r w:rsidR="00CE5498">
              <w:rPr>
                <w:noProof/>
                <w:webHidden/>
              </w:rPr>
              <w:fldChar w:fldCharType="end"/>
            </w:r>
          </w:hyperlink>
        </w:p>
        <w:p w:rsidR="00CE5498" w:rsidRDefault="00EA0152">
          <w:pPr>
            <w:pStyle w:val="TOC1"/>
            <w:rPr>
              <w:rFonts w:asciiTheme="minorHAnsi" w:eastAsiaTheme="minorEastAsia" w:hAnsiTheme="minorHAnsi" w:cstheme="minorBidi"/>
              <w:b w:val="0"/>
              <w:noProof/>
              <w:color w:val="auto"/>
              <w:szCs w:val="22"/>
            </w:rPr>
          </w:pPr>
          <w:hyperlink w:anchor="_Toc357778753" w:history="1">
            <w:r w:rsidR="00CE5498" w:rsidRPr="00BD5FDD">
              <w:rPr>
                <w:rStyle w:val="Hyperlink"/>
                <w:rFonts w:eastAsiaTheme="majorEastAsia"/>
                <w:noProof/>
              </w:rPr>
              <w:t>More Information</w:t>
            </w:r>
            <w:r w:rsidR="00CE5498">
              <w:rPr>
                <w:noProof/>
                <w:webHidden/>
              </w:rPr>
              <w:tab/>
            </w:r>
            <w:r w:rsidR="00CE5498">
              <w:rPr>
                <w:noProof/>
                <w:webHidden/>
              </w:rPr>
              <w:fldChar w:fldCharType="begin"/>
            </w:r>
            <w:r w:rsidR="00CE5498">
              <w:rPr>
                <w:noProof/>
                <w:webHidden/>
              </w:rPr>
              <w:instrText xml:space="preserve"> PAGEREF _Toc357778753 \h </w:instrText>
            </w:r>
            <w:r w:rsidR="00CE5498">
              <w:rPr>
                <w:noProof/>
                <w:webHidden/>
              </w:rPr>
            </w:r>
            <w:r w:rsidR="00CE5498">
              <w:rPr>
                <w:noProof/>
                <w:webHidden/>
              </w:rPr>
              <w:fldChar w:fldCharType="separate"/>
            </w:r>
            <w:r w:rsidR="00CE5498">
              <w:rPr>
                <w:noProof/>
                <w:webHidden/>
              </w:rPr>
              <w:t>4</w:t>
            </w:r>
            <w:r w:rsidR="00CE5498">
              <w:rPr>
                <w:noProof/>
                <w:webHidden/>
              </w:rPr>
              <w:fldChar w:fldCharType="end"/>
            </w:r>
          </w:hyperlink>
        </w:p>
        <w:p w:rsidR="006C6F4D" w:rsidRDefault="00D76419" w:rsidP="00CD7EC2">
          <w:pPr>
            <w:sectPr w:rsidR="006C6F4D" w:rsidSect="00667CB1">
              <w:pgSz w:w="11907" w:h="16839" w:code="9"/>
              <w:pgMar w:top="1440" w:right="1559" w:bottom="1440" w:left="1440" w:header="709" w:footer="794" w:gutter="0"/>
              <w:pgNumType w:fmt="lowerRoman" w:start="2"/>
              <w:cols w:space="708"/>
              <w:titlePg/>
              <w:docGrid w:linePitch="360"/>
            </w:sectPr>
          </w:pPr>
          <w:r>
            <w:fldChar w:fldCharType="end"/>
          </w:r>
        </w:p>
      </w:sdtContent>
    </w:sdt>
    <w:p w:rsidR="00CD7EC2" w:rsidRDefault="00CD7EC2" w:rsidP="007858E9">
      <w:pPr>
        <w:pStyle w:val="Heading1"/>
        <w:rPr>
          <w:sz w:val="36"/>
          <w:szCs w:val="36"/>
        </w:rPr>
        <w:sectPr w:rsidR="00CD7EC2" w:rsidSect="00CD7EC2">
          <w:type w:val="continuous"/>
          <w:pgSz w:w="11907" w:h="16839" w:code="9"/>
          <w:pgMar w:top="1440" w:right="1559" w:bottom="1440" w:left="1440" w:header="709" w:footer="0" w:gutter="0"/>
          <w:pgNumType w:start="1"/>
          <w:cols w:space="708"/>
          <w:titlePg/>
          <w:docGrid w:linePitch="360"/>
        </w:sectPr>
      </w:pPr>
      <w:bookmarkStart w:id="47" w:name="_Toc339462198"/>
    </w:p>
    <w:p w:rsidR="00EB4AFE" w:rsidRPr="00F838DE" w:rsidRDefault="00887E9C" w:rsidP="00D171F5">
      <w:pPr>
        <w:pStyle w:val="Heading1"/>
        <w:spacing w:line="240" w:lineRule="auto"/>
        <w:rPr>
          <w:sz w:val="28"/>
        </w:rPr>
      </w:pPr>
      <w:bookmarkStart w:id="48" w:name="_Toc357778746"/>
      <w:bookmarkEnd w:id="47"/>
      <w:r w:rsidRPr="00F838DE">
        <w:rPr>
          <w:sz w:val="28"/>
        </w:rPr>
        <w:lastRenderedPageBreak/>
        <w:t xml:space="preserve">The </w:t>
      </w:r>
      <w:r w:rsidR="002B5373" w:rsidRPr="00F838DE">
        <w:rPr>
          <w:sz w:val="28"/>
        </w:rPr>
        <w:t>Ipswich-Logan</w:t>
      </w:r>
      <w:r w:rsidR="00D86FB7" w:rsidRPr="00F838DE">
        <w:rPr>
          <w:sz w:val="28"/>
        </w:rPr>
        <w:t xml:space="preserve"> Priority Employment </w:t>
      </w:r>
      <w:r w:rsidR="002F7D71" w:rsidRPr="00F838DE">
        <w:rPr>
          <w:sz w:val="28"/>
        </w:rPr>
        <w:t>Area</w:t>
      </w:r>
      <w:bookmarkEnd w:id="48"/>
    </w:p>
    <w:p w:rsidR="00D0622C" w:rsidRDefault="002F7D71" w:rsidP="00574D1C">
      <w:pPr>
        <w:spacing w:before="0" w:after="0" w:line="240" w:lineRule="auto"/>
        <w:ind w:right="57"/>
        <w:contextualSpacing/>
        <w:jc w:val="both"/>
        <w:rPr>
          <w:rFonts w:cstheme="minorHAnsi"/>
          <w:sz w:val="24"/>
        </w:rPr>
      </w:pPr>
      <w:r w:rsidRPr="00003A96">
        <w:rPr>
          <w:rFonts w:cstheme="minorHAnsi"/>
          <w:sz w:val="24"/>
        </w:rPr>
        <w:t xml:space="preserve">The </w:t>
      </w:r>
      <w:r w:rsidR="002B5373">
        <w:rPr>
          <w:rFonts w:cstheme="minorHAnsi"/>
          <w:sz w:val="24"/>
        </w:rPr>
        <w:t>Ipswich-Logan Priority Employment Area</w:t>
      </w:r>
      <w:r w:rsidR="0000048F">
        <w:rPr>
          <w:rFonts w:cstheme="minorHAnsi"/>
          <w:sz w:val="24"/>
        </w:rPr>
        <w:t xml:space="preserve"> (PEA) is comprised of the Ipswich and Logan</w:t>
      </w:r>
      <w:r w:rsidR="003136CF">
        <w:rPr>
          <w:rFonts w:cstheme="minorHAnsi"/>
          <w:sz w:val="24"/>
        </w:rPr>
        <w:t xml:space="preserve"> Local Government Areas</w:t>
      </w:r>
      <w:r w:rsidR="0000048F">
        <w:rPr>
          <w:rFonts w:cstheme="minorHAnsi"/>
          <w:sz w:val="24"/>
        </w:rPr>
        <w:t xml:space="preserve"> </w:t>
      </w:r>
      <w:r w:rsidR="003136CF">
        <w:rPr>
          <w:rFonts w:cstheme="minorHAnsi"/>
          <w:sz w:val="24"/>
        </w:rPr>
        <w:t>(</w:t>
      </w:r>
      <w:proofErr w:type="spellStart"/>
      <w:r w:rsidR="0000048F">
        <w:rPr>
          <w:rFonts w:cstheme="minorHAnsi"/>
          <w:sz w:val="24"/>
        </w:rPr>
        <w:t>LGAs</w:t>
      </w:r>
      <w:proofErr w:type="spellEnd"/>
      <w:r w:rsidR="003136CF">
        <w:rPr>
          <w:rFonts w:cstheme="minorHAnsi"/>
          <w:sz w:val="24"/>
        </w:rPr>
        <w:t>)</w:t>
      </w:r>
      <w:r w:rsidR="0000048F">
        <w:rPr>
          <w:rFonts w:cstheme="minorHAnsi"/>
          <w:sz w:val="24"/>
        </w:rPr>
        <w:t>.</w:t>
      </w:r>
      <w:r w:rsidR="008E287D">
        <w:rPr>
          <w:rStyle w:val="FootnoteReference"/>
          <w:rFonts w:cstheme="minorHAnsi"/>
          <w:sz w:val="24"/>
        </w:rPr>
        <w:footnoteReference w:id="1"/>
      </w:r>
      <w:r w:rsidR="0000048F">
        <w:rPr>
          <w:rFonts w:cstheme="minorHAnsi"/>
          <w:sz w:val="24"/>
        </w:rPr>
        <w:t xml:space="preserve"> </w:t>
      </w:r>
      <w:r w:rsidR="004756EC">
        <w:rPr>
          <w:rFonts w:cstheme="minorHAnsi"/>
          <w:sz w:val="24"/>
        </w:rPr>
        <w:t>In</w:t>
      </w:r>
      <w:r w:rsidR="00EA4DE0">
        <w:rPr>
          <w:rFonts w:cstheme="minorHAnsi"/>
          <w:sz w:val="24"/>
        </w:rPr>
        <w:t xml:space="preserve"> 2011, the adult p</w:t>
      </w:r>
      <w:r w:rsidR="00A85302">
        <w:rPr>
          <w:rFonts w:cstheme="minorHAnsi"/>
          <w:sz w:val="24"/>
        </w:rPr>
        <w:t>opulation of the PEA was 281,063</w:t>
      </w:r>
      <w:r w:rsidR="00EA4DE0">
        <w:rPr>
          <w:rFonts w:cstheme="minorHAnsi"/>
          <w:sz w:val="24"/>
        </w:rPr>
        <w:t>.</w:t>
      </w:r>
      <w:r w:rsidR="00A85302">
        <w:rPr>
          <w:rStyle w:val="FootnoteReference"/>
          <w:rFonts w:cstheme="minorHAnsi"/>
          <w:sz w:val="24"/>
        </w:rPr>
        <w:footnoteReference w:id="2"/>
      </w:r>
      <w:r w:rsidR="0000048F">
        <w:rPr>
          <w:rFonts w:cstheme="minorHAnsi"/>
          <w:sz w:val="24"/>
        </w:rPr>
        <w:t xml:space="preserve"> </w:t>
      </w:r>
    </w:p>
    <w:p w:rsidR="004649B5" w:rsidRPr="004649B5" w:rsidRDefault="005C6A9C" w:rsidP="00574D1C">
      <w:pPr>
        <w:pStyle w:val="ListParagraph"/>
        <w:numPr>
          <w:ilvl w:val="0"/>
          <w:numId w:val="9"/>
        </w:numPr>
        <w:spacing w:after="0" w:line="240" w:lineRule="auto"/>
        <w:ind w:right="57"/>
        <w:jc w:val="both"/>
        <w:rPr>
          <w:rFonts w:cs="Calibri"/>
          <w:iCs/>
        </w:rPr>
      </w:pPr>
      <w:r>
        <w:rPr>
          <w:rFonts w:asciiTheme="minorHAnsi" w:hAnsiTheme="minorHAnsi" w:cstheme="minorHAnsi"/>
          <w:iCs/>
          <w:color w:val="auto"/>
        </w:rPr>
        <w:t xml:space="preserve">The unemployment rate in the PEA has been consistently high, and was </w:t>
      </w:r>
      <w:r w:rsidR="00706644">
        <w:rPr>
          <w:rFonts w:asciiTheme="minorHAnsi" w:hAnsiTheme="minorHAnsi" w:cstheme="minorHAnsi"/>
          <w:iCs/>
          <w:color w:val="auto"/>
        </w:rPr>
        <w:br/>
      </w:r>
      <w:r w:rsidR="004756EC">
        <w:rPr>
          <w:rFonts w:asciiTheme="minorHAnsi" w:hAnsiTheme="minorHAnsi" w:cstheme="minorHAnsi"/>
          <w:iCs/>
          <w:color w:val="auto"/>
        </w:rPr>
        <w:t>6.7 per cent in the</w:t>
      </w:r>
      <w:r>
        <w:rPr>
          <w:rFonts w:asciiTheme="minorHAnsi" w:hAnsiTheme="minorHAnsi" w:cstheme="minorHAnsi"/>
          <w:iCs/>
          <w:color w:val="auto"/>
        </w:rPr>
        <w:t xml:space="preserve"> December</w:t>
      </w:r>
      <w:r w:rsidR="00333970">
        <w:rPr>
          <w:rFonts w:asciiTheme="minorHAnsi" w:hAnsiTheme="minorHAnsi" w:cstheme="minorHAnsi"/>
          <w:iCs/>
          <w:color w:val="auto"/>
        </w:rPr>
        <w:t xml:space="preserve"> quarter</w:t>
      </w:r>
      <w:r w:rsidR="004756EC">
        <w:rPr>
          <w:rFonts w:asciiTheme="minorHAnsi" w:hAnsiTheme="minorHAnsi" w:cstheme="minorHAnsi"/>
          <w:iCs/>
          <w:color w:val="auto"/>
        </w:rPr>
        <w:t xml:space="preserve"> </w:t>
      </w:r>
      <w:r>
        <w:rPr>
          <w:rFonts w:asciiTheme="minorHAnsi" w:hAnsiTheme="minorHAnsi" w:cstheme="minorHAnsi"/>
          <w:iCs/>
          <w:color w:val="auto"/>
        </w:rPr>
        <w:t>2012</w:t>
      </w:r>
      <w:r w:rsidR="004756EC">
        <w:rPr>
          <w:rFonts w:asciiTheme="minorHAnsi" w:hAnsiTheme="minorHAnsi" w:cstheme="minorHAnsi"/>
          <w:iCs/>
          <w:color w:val="auto"/>
        </w:rPr>
        <w:t>, higher than both the</w:t>
      </w:r>
      <w:r>
        <w:rPr>
          <w:rFonts w:asciiTheme="minorHAnsi" w:hAnsiTheme="minorHAnsi" w:cstheme="minorHAnsi"/>
          <w:iCs/>
          <w:color w:val="auto"/>
        </w:rPr>
        <w:t xml:space="preserve"> Queensland</w:t>
      </w:r>
      <w:r w:rsidR="004756EC">
        <w:rPr>
          <w:rFonts w:asciiTheme="minorHAnsi" w:hAnsiTheme="minorHAnsi" w:cstheme="minorHAnsi"/>
          <w:iCs/>
          <w:color w:val="auto"/>
        </w:rPr>
        <w:t xml:space="preserve"> and Australian unemployment rates </w:t>
      </w:r>
      <w:r w:rsidR="00574D1C">
        <w:rPr>
          <w:rFonts w:asciiTheme="minorHAnsi" w:hAnsiTheme="minorHAnsi" w:cstheme="minorHAnsi"/>
          <w:iCs/>
          <w:color w:val="auto"/>
        </w:rPr>
        <w:t>(5.6</w:t>
      </w:r>
      <w:r w:rsidR="004756EC">
        <w:rPr>
          <w:rFonts w:asciiTheme="minorHAnsi" w:hAnsiTheme="minorHAnsi" w:cstheme="minorHAnsi"/>
          <w:iCs/>
          <w:color w:val="auto"/>
        </w:rPr>
        <w:t xml:space="preserve"> per cent and </w:t>
      </w:r>
      <w:r w:rsidR="00574D1C">
        <w:rPr>
          <w:rFonts w:asciiTheme="minorHAnsi" w:hAnsiTheme="minorHAnsi" w:cstheme="minorHAnsi"/>
          <w:iCs/>
          <w:color w:val="auto"/>
        </w:rPr>
        <w:t>5.5</w:t>
      </w:r>
      <w:r>
        <w:rPr>
          <w:rFonts w:asciiTheme="minorHAnsi" w:hAnsiTheme="minorHAnsi" w:cstheme="minorHAnsi"/>
          <w:iCs/>
          <w:color w:val="auto"/>
        </w:rPr>
        <w:t xml:space="preserve"> per cent</w:t>
      </w:r>
      <w:r w:rsidR="004756EC">
        <w:rPr>
          <w:rFonts w:asciiTheme="minorHAnsi" w:hAnsiTheme="minorHAnsi" w:cstheme="minorHAnsi"/>
          <w:iCs/>
          <w:color w:val="auto"/>
        </w:rPr>
        <w:t xml:space="preserve"> respectively</w:t>
      </w:r>
      <w:r>
        <w:rPr>
          <w:rFonts w:asciiTheme="minorHAnsi" w:hAnsiTheme="minorHAnsi" w:cstheme="minorHAnsi"/>
          <w:iCs/>
          <w:color w:val="auto"/>
        </w:rPr>
        <w:t>).</w:t>
      </w:r>
      <w:r w:rsidR="004649B5">
        <w:rPr>
          <w:rStyle w:val="FootnoteReference"/>
          <w:rFonts w:asciiTheme="minorHAnsi" w:hAnsiTheme="minorHAnsi" w:cstheme="minorHAnsi"/>
          <w:iCs/>
          <w:color w:val="auto"/>
        </w:rPr>
        <w:footnoteReference w:id="3"/>
      </w:r>
      <w:r>
        <w:rPr>
          <w:rFonts w:asciiTheme="minorHAnsi" w:hAnsiTheme="minorHAnsi" w:cstheme="minorHAnsi"/>
          <w:iCs/>
          <w:color w:val="auto"/>
        </w:rPr>
        <w:t xml:space="preserve"> </w:t>
      </w:r>
    </w:p>
    <w:p w:rsidR="00E833F9" w:rsidRPr="004E78FE" w:rsidRDefault="005C6A9C" w:rsidP="00574D1C">
      <w:pPr>
        <w:pStyle w:val="ListParagraph"/>
        <w:numPr>
          <w:ilvl w:val="0"/>
          <w:numId w:val="9"/>
        </w:numPr>
        <w:spacing w:after="0" w:line="240" w:lineRule="auto"/>
        <w:ind w:right="57"/>
        <w:jc w:val="both"/>
        <w:rPr>
          <w:rFonts w:cs="Calibri"/>
          <w:iCs/>
        </w:rPr>
      </w:pPr>
      <w:r>
        <w:rPr>
          <w:rFonts w:asciiTheme="minorHAnsi" w:hAnsiTheme="minorHAnsi" w:cstheme="minorHAnsi"/>
          <w:iCs/>
          <w:color w:val="auto"/>
        </w:rPr>
        <w:t>There is large dis</w:t>
      </w:r>
      <w:r w:rsidR="00A3184E">
        <w:rPr>
          <w:rFonts w:asciiTheme="minorHAnsi" w:hAnsiTheme="minorHAnsi" w:cstheme="minorHAnsi"/>
          <w:iCs/>
          <w:color w:val="auto"/>
        </w:rPr>
        <w:t>parity</w:t>
      </w:r>
      <w:r>
        <w:rPr>
          <w:rFonts w:asciiTheme="minorHAnsi" w:hAnsiTheme="minorHAnsi" w:cstheme="minorHAnsi"/>
          <w:iCs/>
          <w:color w:val="auto"/>
        </w:rPr>
        <w:t>,</w:t>
      </w:r>
      <w:r w:rsidR="001F5F58">
        <w:rPr>
          <w:rFonts w:asciiTheme="minorHAnsi" w:hAnsiTheme="minorHAnsi" w:cstheme="minorHAnsi"/>
          <w:iCs/>
          <w:color w:val="auto"/>
        </w:rPr>
        <w:t xml:space="preserve"> especially in the Logan </w:t>
      </w:r>
      <w:proofErr w:type="spellStart"/>
      <w:r w:rsidR="001F5F58">
        <w:rPr>
          <w:rFonts w:asciiTheme="minorHAnsi" w:hAnsiTheme="minorHAnsi" w:cstheme="minorHAnsi"/>
          <w:iCs/>
          <w:color w:val="auto"/>
        </w:rPr>
        <w:t>LGA</w:t>
      </w:r>
      <w:proofErr w:type="spellEnd"/>
      <w:r w:rsidR="001F5F58">
        <w:rPr>
          <w:rFonts w:asciiTheme="minorHAnsi" w:hAnsiTheme="minorHAnsi" w:cstheme="minorHAnsi"/>
          <w:iCs/>
          <w:color w:val="auto"/>
        </w:rPr>
        <w:t>,</w:t>
      </w:r>
      <w:r>
        <w:rPr>
          <w:rFonts w:asciiTheme="minorHAnsi" w:hAnsiTheme="minorHAnsi" w:cstheme="minorHAnsi"/>
          <w:iCs/>
          <w:color w:val="auto"/>
        </w:rPr>
        <w:t xml:space="preserve"> </w:t>
      </w:r>
      <w:r w:rsidR="00A3184E">
        <w:rPr>
          <w:rFonts w:asciiTheme="minorHAnsi" w:hAnsiTheme="minorHAnsi" w:cstheme="minorHAnsi"/>
          <w:iCs/>
          <w:color w:val="auto"/>
        </w:rPr>
        <w:t>with persistently high rates of u</w:t>
      </w:r>
      <w:r>
        <w:rPr>
          <w:rFonts w:asciiTheme="minorHAnsi" w:hAnsiTheme="minorHAnsi" w:cstheme="minorHAnsi"/>
          <w:iCs/>
          <w:color w:val="auto"/>
        </w:rPr>
        <w:t>nemployment in</w:t>
      </w:r>
      <w:r w:rsidR="004756EC">
        <w:rPr>
          <w:rFonts w:asciiTheme="minorHAnsi" w:hAnsiTheme="minorHAnsi" w:cstheme="minorHAnsi"/>
          <w:iCs/>
          <w:color w:val="auto"/>
        </w:rPr>
        <w:t xml:space="preserve"> the </w:t>
      </w:r>
      <w:proofErr w:type="spellStart"/>
      <w:r w:rsidR="004756EC">
        <w:rPr>
          <w:rFonts w:asciiTheme="minorHAnsi" w:hAnsiTheme="minorHAnsi" w:cstheme="minorHAnsi"/>
          <w:iCs/>
          <w:color w:val="auto"/>
        </w:rPr>
        <w:t>SLAs</w:t>
      </w:r>
      <w:proofErr w:type="spellEnd"/>
      <w:r w:rsidR="004756EC">
        <w:rPr>
          <w:rFonts w:asciiTheme="minorHAnsi" w:hAnsiTheme="minorHAnsi" w:cstheme="minorHAnsi"/>
          <w:iCs/>
          <w:color w:val="auto"/>
        </w:rPr>
        <w:t xml:space="preserve"> of</w:t>
      </w:r>
      <w:r>
        <w:rPr>
          <w:rFonts w:asciiTheme="minorHAnsi" w:hAnsiTheme="minorHAnsi" w:cstheme="minorHAnsi"/>
          <w:iCs/>
          <w:color w:val="auto"/>
        </w:rPr>
        <w:t xml:space="preserve"> Woodridge (18.1 per cent), Kingston </w:t>
      </w:r>
      <w:r w:rsidR="004756EC">
        <w:rPr>
          <w:rFonts w:asciiTheme="minorHAnsi" w:hAnsiTheme="minorHAnsi" w:cstheme="minorHAnsi"/>
          <w:iCs/>
          <w:color w:val="auto"/>
        </w:rPr>
        <w:br/>
      </w:r>
      <w:r>
        <w:rPr>
          <w:rFonts w:asciiTheme="minorHAnsi" w:hAnsiTheme="minorHAnsi" w:cstheme="minorHAnsi"/>
          <w:iCs/>
          <w:color w:val="auto"/>
        </w:rPr>
        <w:t xml:space="preserve">(18.0 per cent), Marsden (11.7 per cent) and </w:t>
      </w:r>
      <w:proofErr w:type="spellStart"/>
      <w:r>
        <w:rPr>
          <w:rFonts w:asciiTheme="minorHAnsi" w:hAnsiTheme="minorHAnsi" w:cstheme="minorHAnsi"/>
          <w:iCs/>
          <w:color w:val="auto"/>
        </w:rPr>
        <w:t>Loganlea</w:t>
      </w:r>
      <w:proofErr w:type="spellEnd"/>
      <w:r>
        <w:rPr>
          <w:rFonts w:asciiTheme="minorHAnsi" w:hAnsiTheme="minorHAnsi" w:cstheme="minorHAnsi"/>
          <w:iCs/>
          <w:color w:val="auto"/>
        </w:rPr>
        <w:t xml:space="preserve"> (10.9 per cent).</w:t>
      </w:r>
      <w:r w:rsidR="004649B5">
        <w:rPr>
          <w:rStyle w:val="FootnoteReference"/>
          <w:rFonts w:asciiTheme="minorHAnsi" w:hAnsiTheme="minorHAnsi" w:cstheme="minorHAnsi"/>
          <w:iCs/>
          <w:color w:val="auto"/>
        </w:rPr>
        <w:footnoteReference w:id="4"/>
      </w:r>
      <w:r>
        <w:rPr>
          <w:rFonts w:asciiTheme="minorHAnsi" w:hAnsiTheme="minorHAnsi" w:cstheme="minorHAnsi"/>
          <w:iCs/>
          <w:color w:val="auto"/>
        </w:rPr>
        <w:t xml:space="preserve">  </w:t>
      </w:r>
    </w:p>
    <w:p w:rsidR="00A3184E" w:rsidRPr="003136CF" w:rsidRDefault="00A3184E" w:rsidP="00574D1C">
      <w:pPr>
        <w:pStyle w:val="ListParagraph"/>
        <w:numPr>
          <w:ilvl w:val="0"/>
          <w:numId w:val="9"/>
        </w:numPr>
        <w:spacing w:after="0" w:line="240" w:lineRule="auto"/>
        <w:ind w:right="57"/>
        <w:jc w:val="both"/>
        <w:rPr>
          <w:rFonts w:cs="Calibri"/>
          <w:iCs/>
        </w:rPr>
      </w:pPr>
      <w:r>
        <w:rPr>
          <w:rFonts w:asciiTheme="minorHAnsi" w:hAnsiTheme="minorHAnsi" w:cstheme="minorHAnsi"/>
          <w:iCs/>
          <w:color w:val="auto"/>
        </w:rPr>
        <w:t xml:space="preserve">The main employing industries in the Ipswich and Logan </w:t>
      </w:r>
      <w:proofErr w:type="spellStart"/>
      <w:r>
        <w:rPr>
          <w:rFonts w:asciiTheme="minorHAnsi" w:hAnsiTheme="minorHAnsi" w:cstheme="minorHAnsi"/>
          <w:iCs/>
          <w:color w:val="auto"/>
        </w:rPr>
        <w:t>LGAs</w:t>
      </w:r>
      <w:proofErr w:type="spellEnd"/>
      <w:r>
        <w:rPr>
          <w:rFonts w:asciiTheme="minorHAnsi" w:hAnsiTheme="minorHAnsi" w:cstheme="minorHAnsi"/>
          <w:iCs/>
          <w:color w:val="auto"/>
        </w:rPr>
        <w:t xml:space="preserve"> at the time of the 2011 Census were Retail Trade, Manufacturing, Health Care and Social Assistance and Education and Training.</w:t>
      </w:r>
      <w:r>
        <w:rPr>
          <w:rStyle w:val="FootnoteReference"/>
          <w:rFonts w:asciiTheme="minorHAnsi" w:hAnsiTheme="minorHAnsi" w:cstheme="minorHAnsi"/>
          <w:iCs/>
          <w:color w:val="auto"/>
        </w:rPr>
        <w:footnoteReference w:id="5"/>
      </w:r>
      <w:r>
        <w:rPr>
          <w:rFonts w:asciiTheme="minorHAnsi" w:hAnsiTheme="minorHAnsi" w:cstheme="minorHAnsi"/>
          <w:iCs/>
          <w:color w:val="auto"/>
        </w:rPr>
        <w:t xml:space="preserve"> </w:t>
      </w:r>
    </w:p>
    <w:p w:rsidR="003136CF" w:rsidRPr="00574D1C" w:rsidRDefault="003136CF" w:rsidP="00574D1C">
      <w:pPr>
        <w:pStyle w:val="ListParagraph"/>
        <w:numPr>
          <w:ilvl w:val="0"/>
          <w:numId w:val="9"/>
        </w:numPr>
        <w:spacing w:after="0" w:line="240" w:lineRule="auto"/>
        <w:ind w:right="57"/>
        <w:jc w:val="both"/>
        <w:rPr>
          <w:rFonts w:asciiTheme="minorHAnsi" w:hAnsiTheme="minorHAnsi" w:cstheme="minorHAnsi"/>
          <w:iCs/>
          <w:color w:val="auto"/>
        </w:rPr>
      </w:pPr>
      <w:r w:rsidRPr="003136CF">
        <w:rPr>
          <w:rFonts w:asciiTheme="minorHAnsi" w:hAnsiTheme="minorHAnsi" w:cstheme="minorHAnsi"/>
          <w:iCs/>
          <w:color w:val="auto"/>
        </w:rPr>
        <w:t xml:space="preserve">The department conducted a survey of employers’ recruitment experiences in the Ipswich-Logan PEA in February 2013, collecting responses from </w:t>
      </w:r>
      <w:r w:rsidR="004118E1">
        <w:rPr>
          <w:rFonts w:asciiTheme="minorHAnsi" w:hAnsiTheme="minorHAnsi" w:cstheme="minorHAnsi"/>
          <w:iCs/>
          <w:color w:val="auto"/>
        </w:rPr>
        <w:br/>
      </w:r>
      <w:r w:rsidRPr="003136CF">
        <w:rPr>
          <w:rFonts w:asciiTheme="minorHAnsi" w:hAnsiTheme="minorHAnsi" w:cstheme="minorHAnsi"/>
          <w:iCs/>
          <w:color w:val="auto"/>
        </w:rPr>
        <w:t xml:space="preserve">379 employers. The region was previously surveyed in January 2012. </w:t>
      </w:r>
    </w:p>
    <w:p w:rsidR="00112DB9" w:rsidRPr="00F838DE" w:rsidRDefault="00D0622C" w:rsidP="00112DB9">
      <w:pPr>
        <w:pStyle w:val="Heading1"/>
        <w:contextualSpacing/>
        <w:rPr>
          <w:sz w:val="28"/>
        </w:rPr>
      </w:pPr>
      <w:bookmarkStart w:id="49" w:name="_Toc357778747"/>
      <w:bookmarkStart w:id="50" w:name="_Toc346611105"/>
      <w:r w:rsidRPr="00F838DE">
        <w:rPr>
          <w:sz w:val="28"/>
        </w:rPr>
        <w:t>Key Findings</w:t>
      </w:r>
      <w:bookmarkEnd w:id="49"/>
    </w:p>
    <w:p w:rsidR="00A3184E" w:rsidRDefault="0085256F" w:rsidP="00A3184E">
      <w:pPr>
        <w:spacing w:before="0" w:after="0" w:line="240" w:lineRule="auto"/>
        <w:contextualSpacing/>
        <w:jc w:val="both"/>
        <w:rPr>
          <w:rFonts w:cstheme="minorHAnsi"/>
          <w:sz w:val="24"/>
        </w:rPr>
      </w:pPr>
      <w:r>
        <w:rPr>
          <w:rFonts w:cstheme="minorHAnsi"/>
          <w:sz w:val="24"/>
        </w:rPr>
        <w:t>Overall,</w:t>
      </w:r>
      <w:r w:rsidR="006E5CD7">
        <w:rPr>
          <w:rFonts w:cstheme="minorHAnsi"/>
          <w:sz w:val="24"/>
        </w:rPr>
        <w:t xml:space="preserve"> labour </w:t>
      </w:r>
      <w:r w:rsidR="004756EC">
        <w:rPr>
          <w:rFonts w:cstheme="minorHAnsi"/>
          <w:sz w:val="24"/>
        </w:rPr>
        <w:t>market conditions in the PEA remain</w:t>
      </w:r>
      <w:r w:rsidR="006E5CD7">
        <w:rPr>
          <w:rFonts w:cstheme="minorHAnsi"/>
          <w:sz w:val="24"/>
        </w:rPr>
        <w:t xml:space="preserve"> subdued. The survey results show</w:t>
      </w:r>
      <w:r>
        <w:rPr>
          <w:rFonts w:cstheme="minorHAnsi"/>
          <w:sz w:val="24"/>
        </w:rPr>
        <w:t xml:space="preserve"> that recruitment activity </w:t>
      </w:r>
      <w:r w:rsidR="006E5CD7">
        <w:rPr>
          <w:rFonts w:cstheme="minorHAnsi"/>
          <w:sz w:val="24"/>
        </w:rPr>
        <w:t>remains soft, and has</w:t>
      </w:r>
      <w:r w:rsidR="00C72500">
        <w:rPr>
          <w:rFonts w:cstheme="minorHAnsi"/>
          <w:sz w:val="24"/>
        </w:rPr>
        <w:t xml:space="preserve"> weake</w:t>
      </w:r>
      <w:r w:rsidR="009E4E8E">
        <w:rPr>
          <w:rFonts w:cstheme="minorHAnsi"/>
          <w:sz w:val="24"/>
        </w:rPr>
        <w:t>ned since the previous s</w:t>
      </w:r>
      <w:r w:rsidR="008E287D">
        <w:rPr>
          <w:rFonts w:cstheme="minorHAnsi"/>
          <w:sz w:val="24"/>
        </w:rPr>
        <w:t>urvey. There were</w:t>
      </w:r>
      <w:r w:rsidR="00A3184E">
        <w:rPr>
          <w:rFonts w:cstheme="minorHAnsi"/>
          <w:sz w:val="24"/>
        </w:rPr>
        <w:t xml:space="preserve"> fewer</w:t>
      </w:r>
      <w:r w:rsidR="009E4E8E">
        <w:rPr>
          <w:rFonts w:cstheme="minorHAnsi"/>
          <w:sz w:val="24"/>
        </w:rPr>
        <w:t xml:space="preserve"> recruiting e</w:t>
      </w:r>
      <w:r w:rsidR="00A3184E">
        <w:rPr>
          <w:rFonts w:cstheme="minorHAnsi"/>
          <w:sz w:val="24"/>
        </w:rPr>
        <w:t>mployers, unfilled vacancies, lower</w:t>
      </w:r>
      <w:r w:rsidR="008E287D">
        <w:rPr>
          <w:rFonts w:cstheme="minorHAnsi"/>
          <w:sz w:val="24"/>
        </w:rPr>
        <w:t xml:space="preserve"> recruitment difficulty, and</w:t>
      </w:r>
      <w:r w:rsidR="009E4E8E">
        <w:rPr>
          <w:rFonts w:cstheme="minorHAnsi"/>
          <w:sz w:val="24"/>
        </w:rPr>
        <w:t xml:space="preserve"> strong competiti</w:t>
      </w:r>
      <w:r w:rsidR="00004D59">
        <w:rPr>
          <w:rFonts w:cstheme="minorHAnsi"/>
          <w:sz w:val="24"/>
        </w:rPr>
        <w:t>on for limited vacancies</w:t>
      </w:r>
      <w:r w:rsidR="009E4E8E">
        <w:rPr>
          <w:rFonts w:cstheme="minorHAnsi"/>
          <w:sz w:val="24"/>
        </w:rPr>
        <w:t>.</w:t>
      </w:r>
      <w:r w:rsidR="00181916" w:rsidRPr="00181916">
        <w:rPr>
          <w:rFonts w:cstheme="minorHAnsi"/>
          <w:sz w:val="24"/>
        </w:rPr>
        <w:t xml:space="preserve"> </w:t>
      </w:r>
      <w:r w:rsidR="00181916">
        <w:rPr>
          <w:rFonts w:cstheme="minorHAnsi"/>
          <w:sz w:val="24"/>
        </w:rPr>
        <w:t xml:space="preserve">The decrease in recruitment activity in the Ipswich </w:t>
      </w:r>
      <w:proofErr w:type="spellStart"/>
      <w:r w:rsidR="00181916">
        <w:rPr>
          <w:rFonts w:cstheme="minorHAnsi"/>
          <w:sz w:val="24"/>
        </w:rPr>
        <w:t>LGA</w:t>
      </w:r>
      <w:proofErr w:type="spellEnd"/>
      <w:r w:rsidR="00181916">
        <w:rPr>
          <w:rFonts w:cstheme="minorHAnsi"/>
          <w:sz w:val="24"/>
        </w:rPr>
        <w:t xml:space="preserve"> was particularly pronounced. </w:t>
      </w:r>
    </w:p>
    <w:tbl>
      <w:tblPr>
        <w:tblpPr w:leftFromText="180" w:rightFromText="180" w:vertAnchor="text" w:tblpY="112"/>
        <w:tblW w:w="90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43"/>
        <w:gridCol w:w="2127"/>
        <w:gridCol w:w="1984"/>
        <w:gridCol w:w="1985"/>
      </w:tblGrid>
      <w:tr w:rsidR="00083669" w:rsidRPr="00EF6DA1" w:rsidTr="00CE5498">
        <w:trPr>
          <w:cantSplit/>
          <w:trHeight w:val="927"/>
          <w:tblHeader/>
        </w:trPr>
        <w:tc>
          <w:tcPr>
            <w:tcW w:w="2943" w:type="dxa"/>
            <w:tcBorders>
              <w:bottom w:val="single" w:sz="4" w:space="0" w:color="A6A6A6"/>
            </w:tcBorders>
            <w:shd w:val="clear" w:color="auto" w:fill="165788"/>
            <w:vAlign w:val="center"/>
          </w:tcPr>
          <w:p w:rsidR="00083669" w:rsidRPr="00574D1C" w:rsidRDefault="00083669" w:rsidP="00083669">
            <w:pPr>
              <w:pStyle w:val="TableHeading"/>
              <w:spacing w:line="240" w:lineRule="auto"/>
              <w:jc w:val="center"/>
              <w:rPr>
                <w:szCs w:val="22"/>
              </w:rPr>
            </w:pPr>
            <w:r w:rsidRPr="00574D1C">
              <w:rPr>
                <w:szCs w:val="22"/>
              </w:rPr>
              <w:t xml:space="preserve">Key Indicators </w:t>
            </w:r>
            <w:r w:rsidRPr="00574D1C">
              <w:rPr>
                <w:szCs w:val="22"/>
              </w:rPr>
              <w:br/>
              <w:t>(previous 12 months)</w:t>
            </w:r>
          </w:p>
        </w:tc>
        <w:tc>
          <w:tcPr>
            <w:tcW w:w="2127" w:type="dxa"/>
            <w:shd w:val="clear" w:color="auto" w:fill="165788"/>
            <w:vAlign w:val="center"/>
          </w:tcPr>
          <w:p w:rsidR="00083669" w:rsidRPr="00574D1C" w:rsidRDefault="00083669" w:rsidP="00083669">
            <w:pPr>
              <w:pStyle w:val="TableHeading"/>
              <w:spacing w:after="0" w:afterAutospacing="0" w:line="240" w:lineRule="auto"/>
              <w:contextualSpacing/>
              <w:jc w:val="center"/>
              <w:rPr>
                <w:szCs w:val="22"/>
                <w:lang w:bidi="en-US"/>
              </w:rPr>
            </w:pPr>
            <w:r w:rsidRPr="00574D1C">
              <w:rPr>
                <w:szCs w:val="22"/>
                <w:lang w:bidi="en-US"/>
              </w:rPr>
              <w:t>Recruiting employers</w:t>
            </w:r>
          </w:p>
        </w:tc>
        <w:tc>
          <w:tcPr>
            <w:tcW w:w="1984" w:type="dxa"/>
            <w:shd w:val="clear" w:color="auto" w:fill="165788"/>
            <w:vAlign w:val="center"/>
          </w:tcPr>
          <w:p w:rsidR="00083669" w:rsidRPr="00574D1C" w:rsidRDefault="00083669" w:rsidP="00083669">
            <w:pPr>
              <w:pStyle w:val="TableHeading"/>
              <w:spacing w:after="0" w:afterAutospacing="0" w:line="240" w:lineRule="auto"/>
              <w:contextualSpacing/>
              <w:jc w:val="center"/>
              <w:rPr>
                <w:szCs w:val="22"/>
                <w:lang w:bidi="en-US"/>
              </w:rPr>
            </w:pPr>
            <w:r w:rsidRPr="00574D1C">
              <w:rPr>
                <w:szCs w:val="22"/>
                <w:lang w:bidi="en-US"/>
              </w:rPr>
              <w:t xml:space="preserve">Unfilled vacancies </w:t>
            </w:r>
          </w:p>
        </w:tc>
        <w:tc>
          <w:tcPr>
            <w:tcW w:w="1985" w:type="dxa"/>
            <w:shd w:val="clear" w:color="auto" w:fill="165788"/>
            <w:vAlign w:val="center"/>
          </w:tcPr>
          <w:p w:rsidR="00083669" w:rsidRPr="00574D1C" w:rsidRDefault="00083669" w:rsidP="00083669">
            <w:pPr>
              <w:pStyle w:val="TableHeading"/>
              <w:spacing w:after="0" w:afterAutospacing="0" w:line="240" w:lineRule="auto"/>
              <w:contextualSpacing/>
              <w:jc w:val="center"/>
              <w:rPr>
                <w:szCs w:val="22"/>
                <w:lang w:bidi="en-US"/>
              </w:rPr>
            </w:pPr>
            <w:r w:rsidRPr="00574D1C">
              <w:rPr>
                <w:szCs w:val="22"/>
                <w:lang w:bidi="en-US"/>
              </w:rPr>
              <w:t xml:space="preserve">Recruitment difficulty </w:t>
            </w:r>
          </w:p>
        </w:tc>
      </w:tr>
      <w:tr w:rsidR="00083669" w:rsidRPr="00EF6DA1" w:rsidTr="00CE5498">
        <w:trPr>
          <w:trHeight w:val="562"/>
        </w:trPr>
        <w:tc>
          <w:tcPr>
            <w:tcW w:w="2943" w:type="dxa"/>
            <w:tcBorders>
              <w:bottom w:val="single" w:sz="4" w:space="0" w:color="A6A6A6"/>
            </w:tcBorders>
            <w:shd w:val="clear" w:color="auto" w:fill="auto"/>
            <w:vAlign w:val="center"/>
          </w:tcPr>
          <w:p w:rsidR="00083669" w:rsidRPr="00574D1C" w:rsidRDefault="00083669" w:rsidP="00083669">
            <w:pPr>
              <w:keepNext/>
              <w:spacing w:line="240" w:lineRule="auto"/>
              <w:contextualSpacing/>
              <w:rPr>
                <w:rFonts w:cstheme="minorHAnsi"/>
                <w:b/>
                <w:szCs w:val="22"/>
              </w:rPr>
            </w:pPr>
            <w:r w:rsidRPr="00574D1C">
              <w:rPr>
                <w:rFonts w:cstheme="minorHAnsi"/>
                <w:b/>
                <w:szCs w:val="22"/>
              </w:rPr>
              <w:t>February 2013</w:t>
            </w:r>
          </w:p>
        </w:tc>
        <w:tc>
          <w:tcPr>
            <w:tcW w:w="2127" w:type="dxa"/>
            <w:vAlign w:val="center"/>
          </w:tcPr>
          <w:p w:rsidR="00083669" w:rsidRPr="00574D1C" w:rsidRDefault="00083669" w:rsidP="00083669">
            <w:pPr>
              <w:keepNext/>
              <w:spacing w:line="240" w:lineRule="auto"/>
              <w:contextualSpacing/>
              <w:jc w:val="center"/>
              <w:rPr>
                <w:rFonts w:cstheme="minorHAnsi"/>
                <w:b/>
                <w:szCs w:val="22"/>
              </w:rPr>
            </w:pPr>
            <w:r w:rsidRPr="00574D1C">
              <w:rPr>
                <w:rFonts w:cstheme="minorHAnsi"/>
                <w:b/>
                <w:szCs w:val="22"/>
              </w:rPr>
              <w:t>50%</w:t>
            </w:r>
          </w:p>
        </w:tc>
        <w:tc>
          <w:tcPr>
            <w:tcW w:w="1984" w:type="dxa"/>
            <w:vAlign w:val="center"/>
          </w:tcPr>
          <w:p w:rsidR="00083669" w:rsidRPr="00574D1C" w:rsidRDefault="00083669" w:rsidP="00083669">
            <w:pPr>
              <w:keepNext/>
              <w:spacing w:line="240" w:lineRule="auto"/>
              <w:contextualSpacing/>
              <w:jc w:val="center"/>
              <w:rPr>
                <w:rFonts w:cstheme="minorHAnsi"/>
                <w:b/>
                <w:szCs w:val="22"/>
              </w:rPr>
            </w:pPr>
            <w:r w:rsidRPr="00574D1C">
              <w:rPr>
                <w:rFonts w:cstheme="minorHAnsi"/>
                <w:b/>
                <w:szCs w:val="22"/>
              </w:rPr>
              <w:t>3.8%</w:t>
            </w:r>
          </w:p>
        </w:tc>
        <w:tc>
          <w:tcPr>
            <w:tcW w:w="1985" w:type="dxa"/>
            <w:vAlign w:val="center"/>
          </w:tcPr>
          <w:p w:rsidR="00083669" w:rsidRPr="00574D1C" w:rsidRDefault="00083669" w:rsidP="00083669">
            <w:pPr>
              <w:keepNext/>
              <w:spacing w:line="240" w:lineRule="auto"/>
              <w:contextualSpacing/>
              <w:jc w:val="center"/>
              <w:rPr>
                <w:rFonts w:cstheme="minorHAnsi"/>
                <w:b/>
                <w:szCs w:val="22"/>
              </w:rPr>
            </w:pPr>
            <w:r w:rsidRPr="00574D1C">
              <w:rPr>
                <w:rFonts w:cstheme="minorHAnsi"/>
                <w:b/>
                <w:szCs w:val="22"/>
              </w:rPr>
              <w:t>43%</w:t>
            </w:r>
          </w:p>
        </w:tc>
      </w:tr>
      <w:tr w:rsidR="00083669" w:rsidRPr="00EF6DA1" w:rsidTr="00CE5498">
        <w:trPr>
          <w:cantSplit/>
          <w:trHeight w:val="571"/>
        </w:trPr>
        <w:tc>
          <w:tcPr>
            <w:tcW w:w="2943" w:type="dxa"/>
            <w:shd w:val="clear" w:color="auto" w:fill="auto"/>
            <w:vAlign w:val="center"/>
          </w:tcPr>
          <w:p w:rsidR="00083669" w:rsidRPr="00574D1C" w:rsidRDefault="00083669" w:rsidP="00083669">
            <w:pPr>
              <w:keepNext/>
              <w:spacing w:line="240" w:lineRule="auto"/>
              <w:contextualSpacing/>
              <w:rPr>
                <w:rFonts w:cstheme="minorHAnsi"/>
                <w:szCs w:val="22"/>
              </w:rPr>
            </w:pPr>
            <w:r w:rsidRPr="00574D1C">
              <w:rPr>
                <w:rFonts w:cstheme="minorHAnsi"/>
                <w:szCs w:val="22"/>
              </w:rPr>
              <w:t>January 2012</w:t>
            </w:r>
          </w:p>
        </w:tc>
        <w:tc>
          <w:tcPr>
            <w:tcW w:w="2127" w:type="dxa"/>
            <w:vAlign w:val="center"/>
          </w:tcPr>
          <w:p w:rsidR="00083669" w:rsidRPr="00574D1C" w:rsidRDefault="00083669" w:rsidP="00083669">
            <w:pPr>
              <w:keepNext/>
              <w:spacing w:line="240" w:lineRule="auto"/>
              <w:contextualSpacing/>
              <w:jc w:val="center"/>
              <w:rPr>
                <w:rFonts w:cstheme="minorHAnsi"/>
                <w:szCs w:val="22"/>
              </w:rPr>
            </w:pPr>
            <w:r w:rsidRPr="00574D1C">
              <w:rPr>
                <w:rFonts w:cstheme="minorHAnsi"/>
                <w:szCs w:val="22"/>
              </w:rPr>
              <w:t>66%</w:t>
            </w:r>
          </w:p>
        </w:tc>
        <w:tc>
          <w:tcPr>
            <w:tcW w:w="1984" w:type="dxa"/>
            <w:vAlign w:val="center"/>
          </w:tcPr>
          <w:p w:rsidR="00083669" w:rsidRPr="00574D1C" w:rsidRDefault="00083669" w:rsidP="00083669">
            <w:pPr>
              <w:keepNext/>
              <w:spacing w:line="240" w:lineRule="auto"/>
              <w:contextualSpacing/>
              <w:jc w:val="center"/>
              <w:rPr>
                <w:rFonts w:cstheme="minorHAnsi"/>
                <w:szCs w:val="22"/>
              </w:rPr>
            </w:pPr>
            <w:r w:rsidRPr="00574D1C">
              <w:rPr>
                <w:rFonts w:cstheme="minorHAnsi"/>
                <w:szCs w:val="22"/>
              </w:rPr>
              <w:t>4.2%</w:t>
            </w:r>
          </w:p>
        </w:tc>
        <w:tc>
          <w:tcPr>
            <w:tcW w:w="1985" w:type="dxa"/>
            <w:vAlign w:val="center"/>
          </w:tcPr>
          <w:p w:rsidR="00083669" w:rsidRPr="00574D1C" w:rsidRDefault="00083669" w:rsidP="00083669">
            <w:pPr>
              <w:keepNext/>
              <w:spacing w:line="240" w:lineRule="auto"/>
              <w:contextualSpacing/>
              <w:jc w:val="center"/>
              <w:rPr>
                <w:rFonts w:cstheme="minorHAnsi"/>
                <w:szCs w:val="22"/>
              </w:rPr>
            </w:pPr>
            <w:r w:rsidRPr="00574D1C">
              <w:rPr>
                <w:rFonts w:cstheme="minorHAnsi"/>
                <w:szCs w:val="22"/>
              </w:rPr>
              <w:t>47%</w:t>
            </w:r>
          </w:p>
        </w:tc>
      </w:tr>
      <w:tr w:rsidR="00083669" w:rsidRPr="00EF6DA1" w:rsidTr="00CE5498">
        <w:trPr>
          <w:cantSplit/>
          <w:trHeight w:val="187"/>
        </w:trPr>
        <w:tc>
          <w:tcPr>
            <w:tcW w:w="2943" w:type="dxa"/>
            <w:shd w:val="clear" w:color="auto" w:fill="auto"/>
            <w:vAlign w:val="center"/>
          </w:tcPr>
          <w:p w:rsidR="00083669" w:rsidRPr="00574D1C" w:rsidRDefault="00083669" w:rsidP="00083669">
            <w:pPr>
              <w:keepNext/>
              <w:spacing w:line="240" w:lineRule="auto"/>
              <w:contextualSpacing/>
              <w:rPr>
                <w:rFonts w:cstheme="minorHAnsi"/>
                <w:szCs w:val="22"/>
              </w:rPr>
            </w:pPr>
            <w:r w:rsidRPr="00574D1C">
              <w:rPr>
                <w:rFonts w:cstheme="minorHAnsi"/>
                <w:szCs w:val="22"/>
              </w:rPr>
              <w:t xml:space="preserve">All </w:t>
            </w:r>
            <w:proofErr w:type="spellStart"/>
            <w:r w:rsidRPr="00574D1C">
              <w:rPr>
                <w:rFonts w:cstheme="minorHAnsi"/>
                <w:szCs w:val="22"/>
              </w:rPr>
              <w:t>PEAs</w:t>
            </w:r>
            <w:proofErr w:type="spellEnd"/>
            <w:r w:rsidRPr="00574D1C">
              <w:rPr>
                <w:rFonts w:cstheme="minorHAnsi"/>
                <w:szCs w:val="22"/>
              </w:rPr>
              <w:t xml:space="preserve"> surveyed</w:t>
            </w:r>
            <w:r w:rsidRPr="00574D1C">
              <w:rPr>
                <w:rFonts w:cstheme="minorHAnsi"/>
                <w:szCs w:val="22"/>
              </w:rPr>
              <w:br/>
              <w:t>(12 months to March 2013)</w:t>
            </w:r>
          </w:p>
        </w:tc>
        <w:tc>
          <w:tcPr>
            <w:tcW w:w="2127" w:type="dxa"/>
            <w:vAlign w:val="center"/>
          </w:tcPr>
          <w:p w:rsidR="00083669" w:rsidRPr="00574D1C" w:rsidRDefault="00083669" w:rsidP="00083669">
            <w:pPr>
              <w:keepNext/>
              <w:spacing w:line="240" w:lineRule="auto"/>
              <w:contextualSpacing/>
              <w:jc w:val="center"/>
              <w:rPr>
                <w:rFonts w:cstheme="minorHAnsi"/>
                <w:szCs w:val="22"/>
              </w:rPr>
            </w:pPr>
            <w:r w:rsidRPr="00574D1C">
              <w:rPr>
                <w:rFonts w:cstheme="minorHAnsi"/>
                <w:szCs w:val="22"/>
              </w:rPr>
              <w:t>60%</w:t>
            </w:r>
          </w:p>
        </w:tc>
        <w:tc>
          <w:tcPr>
            <w:tcW w:w="1984" w:type="dxa"/>
            <w:vAlign w:val="center"/>
          </w:tcPr>
          <w:p w:rsidR="00083669" w:rsidRPr="00574D1C" w:rsidRDefault="00083669" w:rsidP="00083669">
            <w:pPr>
              <w:keepNext/>
              <w:spacing w:line="240" w:lineRule="auto"/>
              <w:contextualSpacing/>
              <w:jc w:val="center"/>
              <w:rPr>
                <w:rFonts w:cstheme="minorHAnsi"/>
                <w:szCs w:val="22"/>
              </w:rPr>
            </w:pPr>
            <w:r w:rsidRPr="00574D1C">
              <w:rPr>
                <w:rFonts w:cstheme="minorHAnsi"/>
                <w:szCs w:val="22"/>
              </w:rPr>
              <w:t>4.5%</w:t>
            </w:r>
          </w:p>
        </w:tc>
        <w:tc>
          <w:tcPr>
            <w:tcW w:w="1985" w:type="dxa"/>
            <w:vAlign w:val="center"/>
          </w:tcPr>
          <w:p w:rsidR="00083669" w:rsidRPr="00574D1C" w:rsidRDefault="00083669" w:rsidP="00083669">
            <w:pPr>
              <w:keepNext/>
              <w:spacing w:line="240" w:lineRule="auto"/>
              <w:contextualSpacing/>
              <w:jc w:val="center"/>
              <w:rPr>
                <w:rFonts w:cstheme="minorHAnsi"/>
                <w:szCs w:val="22"/>
              </w:rPr>
            </w:pPr>
            <w:r w:rsidRPr="00574D1C">
              <w:rPr>
                <w:rFonts w:cstheme="minorHAnsi"/>
                <w:szCs w:val="22"/>
              </w:rPr>
              <w:t>48%</w:t>
            </w:r>
          </w:p>
        </w:tc>
      </w:tr>
    </w:tbl>
    <w:p w:rsidR="00C77AEA" w:rsidRPr="00574D1C" w:rsidRDefault="00C77AEA" w:rsidP="00574D1C">
      <w:pPr>
        <w:spacing w:after="0" w:line="240" w:lineRule="auto"/>
        <w:jc w:val="both"/>
        <w:rPr>
          <w:rFonts w:cstheme="minorHAnsi"/>
        </w:rPr>
      </w:pPr>
    </w:p>
    <w:p w:rsidR="0096063A" w:rsidRPr="0075375E" w:rsidRDefault="00621988" w:rsidP="0075375E">
      <w:pPr>
        <w:pStyle w:val="ListParagraph"/>
        <w:numPr>
          <w:ilvl w:val="0"/>
          <w:numId w:val="12"/>
        </w:numPr>
        <w:spacing w:after="0" w:line="240" w:lineRule="auto"/>
        <w:jc w:val="both"/>
        <w:rPr>
          <w:rFonts w:asciiTheme="minorHAnsi" w:hAnsiTheme="minorHAnsi" w:cstheme="minorHAnsi"/>
          <w:color w:val="auto"/>
        </w:rPr>
      </w:pPr>
      <w:r w:rsidRPr="0075375E">
        <w:rPr>
          <w:rFonts w:asciiTheme="minorHAnsi" w:hAnsiTheme="minorHAnsi" w:cstheme="minorHAnsi"/>
          <w:color w:val="auto"/>
        </w:rPr>
        <w:lastRenderedPageBreak/>
        <w:t>The average number of applicants per vacancy (16.1)</w:t>
      </w:r>
      <w:r w:rsidR="00507DC0" w:rsidRPr="0075375E">
        <w:rPr>
          <w:rFonts w:asciiTheme="minorHAnsi" w:hAnsiTheme="minorHAnsi" w:cstheme="minorHAnsi"/>
          <w:color w:val="auto"/>
        </w:rPr>
        <w:t xml:space="preserve"> in</w:t>
      </w:r>
      <w:r w:rsidR="004756EC">
        <w:rPr>
          <w:rFonts w:asciiTheme="minorHAnsi" w:hAnsiTheme="minorHAnsi" w:cstheme="minorHAnsi"/>
          <w:color w:val="auto"/>
        </w:rPr>
        <w:t xml:space="preserve"> the</w:t>
      </w:r>
      <w:r w:rsidR="00507DC0" w:rsidRPr="0075375E">
        <w:rPr>
          <w:rFonts w:asciiTheme="minorHAnsi" w:hAnsiTheme="minorHAnsi" w:cstheme="minorHAnsi"/>
          <w:color w:val="auto"/>
        </w:rPr>
        <w:t xml:space="preserve"> most recent recruitment round</w:t>
      </w:r>
      <w:r w:rsidR="004756EC">
        <w:rPr>
          <w:rFonts w:asciiTheme="minorHAnsi" w:hAnsiTheme="minorHAnsi" w:cstheme="minorHAnsi"/>
          <w:color w:val="auto"/>
        </w:rPr>
        <w:t xml:space="preserve"> has</w:t>
      </w:r>
      <w:r w:rsidRPr="0075375E">
        <w:rPr>
          <w:rFonts w:asciiTheme="minorHAnsi" w:hAnsiTheme="minorHAnsi" w:cstheme="minorHAnsi"/>
          <w:color w:val="auto"/>
        </w:rPr>
        <w:t xml:space="preserve"> increased since the previou</w:t>
      </w:r>
      <w:r w:rsidR="00DE7B00" w:rsidRPr="0075375E">
        <w:rPr>
          <w:rFonts w:asciiTheme="minorHAnsi" w:hAnsiTheme="minorHAnsi" w:cstheme="minorHAnsi"/>
          <w:color w:val="auto"/>
        </w:rPr>
        <w:t>s survey (11.2), indicating</w:t>
      </w:r>
      <w:r w:rsidRPr="0075375E">
        <w:rPr>
          <w:rFonts w:asciiTheme="minorHAnsi" w:hAnsiTheme="minorHAnsi" w:cstheme="minorHAnsi"/>
          <w:color w:val="auto"/>
        </w:rPr>
        <w:t xml:space="preserve"> </w:t>
      </w:r>
      <w:r w:rsidR="00DE7B00" w:rsidRPr="0075375E">
        <w:rPr>
          <w:rFonts w:asciiTheme="minorHAnsi" w:hAnsiTheme="minorHAnsi" w:cstheme="minorHAnsi"/>
          <w:color w:val="auto"/>
        </w:rPr>
        <w:t>strong competition</w:t>
      </w:r>
      <w:r w:rsidRPr="0075375E">
        <w:rPr>
          <w:rFonts w:asciiTheme="minorHAnsi" w:hAnsiTheme="minorHAnsi" w:cstheme="minorHAnsi"/>
          <w:color w:val="auto"/>
        </w:rPr>
        <w:t xml:space="preserve"> for</w:t>
      </w:r>
      <w:r w:rsidR="00A3184E" w:rsidRPr="0075375E">
        <w:rPr>
          <w:rFonts w:asciiTheme="minorHAnsi" w:hAnsiTheme="minorHAnsi" w:cstheme="minorHAnsi"/>
          <w:color w:val="auto"/>
        </w:rPr>
        <w:t xml:space="preserve"> a</w:t>
      </w:r>
      <w:r w:rsidRPr="0075375E">
        <w:rPr>
          <w:rFonts w:asciiTheme="minorHAnsi" w:hAnsiTheme="minorHAnsi" w:cstheme="minorHAnsi"/>
          <w:color w:val="auto"/>
        </w:rPr>
        <w:t xml:space="preserve"> limited</w:t>
      </w:r>
      <w:r w:rsidR="00A3184E" w:rsidRPr="0075375E">
        <w:rPr>
          <w:rFonts w:asciiTheme="minorHAnsi" w:hAnsiTheme="minorHAnsi" w:cstheme="minorHAnsi"/>
          <w:color w:val="auto"/>
        </w:rPr>
        <w:t xml:space="preserve"> number of</w:t>
      </w:r>
      <w:r w:rsidRPr="0075375E">
        <w:rPr>
          <w:rFonts w:asciiTheme="minorHAnsi" w:hAnsiTheme="minorHAnsi" w:cstheme="minorHAnsi"/>
          <w:color w:val="auto"/>
        </w:rPr>
        <w:t xml:space="preserve"> vacancies.</w:t>
      </w:r>
      <w:r w:rsidR="008C7B3E">
        <w:rPr>
          <w:rFonts w:asciiTheme="minorHAnsi" w:hAnsiTheme="minorHAnsi" w:cstheme="minorHAnsi"/>
          <w:color w:val="auto"/>
        </w:rPr>
        <w:t xml:space="preserve"> While</w:t>
      </w:r>
      <w:r w:rsidR="00BC3699" w:rsidRPr="0075375E">
        <w:rPr>
          <w:rFonts w:asciiTheme="minorHAnsi" w:hAnsiTheme="minorHAnsi" w:cstheme="minorHAnsi"/>
          <w:color w:val="auto"/>
        </w:rPr>
        <w:t xml:space="preserve"> employers</w:t>
      </w:r>
      <w:r w:rsidR="008C7B3E">
        <w:rPr>
          <w:rFonts w:asciiTheme="minorHAnsi" w:hAnsiTheme="minorHAnsi" w:cstheme="minorHAnsi"/>
          <w:color w:val="auto"/>
        </w:rPr>
        <w:t xml:space="preserve"> found more applicants </w:t>
      </w:r>
      <w:r w:rsidR="00BC3699" w:rsidRPr="0075375E">
        <w:rPr>
          <w:rFonts w:asciiTheme="minorHAnsi" w:hAnsiTheme="minorHAnsi" w:cstheme="minorHAnsi"/>
          <w:color w:val="auto"/>
        </w:rPr>
        <w:t xml:space="preserve">suitable (3.6) </w:t>
      </w:r>
      <w:r w:rsidR="008C7B3E">
        <w:rPr>
          <w:rFonts w:asciiTheme="minorHAnsi" w:hAnsiTheme="minorHAnsi" w:cstheme="minorHAnsi"/>
          <w:color w:val="auto"/>
        </w:rPr>
        <w:t>compared with January 2012 (2.9), the average number</w:t>
      </w:r>
      <w:r w:rsidR="0096063A" w:rsidRPr="0075375E">
        <w:rPr>
          <w:rFonts w:asciiTheme="minorHAnsi" w:hAnsiTheme="minorHAnsi" w:cstheme="minorHAnsi"/>
          <w:color w:val="auto"/>
        </w:rPr>
        <w:t xml:space="preserve"> was</w:t>
      </w:r>
      <w:r w:rsidR="00BC3699" w:rsidRPr="0075375E">
        <w:rPr>
          <w:rFonts w:asciiTheme="minorHAnsi" w:hAnsiTheme="minorHAnsi" w:cstheme="minorHAnsi"/>
          <w:color w:val="auto"/>
        </w:rPr>
        <w:t xml:space="preserve"> low as a proport</w:t>
      </w:r>
      <w:r w:rsidR="0096063A" w:rsidRPr="0075375E">
        <w:rPr>
          <w:rFonts w:asciiTheme="minorHAnsi" w:hAnsiTheme="minorHAnsi" w:cstheme="minorHAnsi"/>
          <w:color w:val="auto"/>
        </w:rPr>
        <w:t>ion of total applicants.</w:t>
      </w:r>
    </w:p>
    <w:p w:rsidR="00BC3699" w:rsidRPr="0096063A" w:rsidRDefault="0096063A" w:rsidP="000D2BC1">
      <w:pPr>
        <w:pStyle w:val="ListParagraph"/>
        <w:numPr>
          <w:ilvl w:val="0"/>
          <w:numId w:val="7"/>
        </w:numPr>
        <w:spacing w:after="0" w:line="240" w:lineRule="auto"/>
        <w:jc w:val="both"/>
        <w:rPr>
          <w:rFonts w:asciiTheme="minorHAnsi" w:hAnsiTheme="minorHAnsi" w:cstheme="minorHAnsi"/>
        </w:rPr>
      </w:pPr>
      <w:r>
        <w:rPr>
          <w:rFonts w:asciiTheme="minorHAnsi" w:hAnsiTheme="minorHAnsi" w:cstheme="minorHAnsi"/>
          <w:color w:val="auto"/>
        </w:rPr>
        <w:t>These findings suggest</w:t>
      </w:r>
      <w:r w:rsidR="00BC3699" w:rsidRPr="0096063A">
        <w:rPr>
          <w:rFonts w:asciiTheme="minorHAnsi" w:hAnsiTheme="minorHAnsi" w:cstheme="minorHAnsi"/>
          <w:color w:val="auto"/>
        </w:rPr>
        <w:t xml:space="preserve"> that</w:t>
      </w:r>
      <w:r w:rsidR="001B7783">
        <w:rPr>
          <w:rFonts w:asciiTheme="minorHAnsi" w:hAnsiTheme="minorHAnsi" w:cstheme="minorHAnsi"/>
          <w:color w:val="auto"/>
        </w:rPr>
        <w:t xml:space="preserve">, due to the soft </w:t>
      </w:r>
      <w:proofErr w:type="spellStart"/>
      <w:r w:rsidR="001B7783">
        <w:rPr>
          <w:rFonts w:asciiTheme="minorHAnsi" w:hAnsiTheme="minorHAnsi" w:cstheme="minorHAnsi"/>
          <w:color w:val="auto"/>
        </w:rPr>
        <w:t>labour</w:t>
      </w:r>
      <w:proofErr w:type="spellEnd"/>
      <w:r w:rsidR="001B7783">
        <w:rPr>
          <w:rFonts w:asciiTheme="minorHAnsi" w:hAnsiTheme="minorHAnsi" w:cstheme="minorHAnsi"/>
          <w:color w:val="auto"/>
        </w:rPr>
        <w:t xml:space="preserve"> market,</w:t>
      </w:r>
      <w:r w:rsidR="00BC3699" w:rsidRPr="0096063A">
        <w:rPr>
          <w:rFonts w:asciiTheme="minorHAnsi" w:hAnsiTheme="minorHAnsi" w:cstheme="minorHAnsi"/>
          <w:color w:val="auto"/>
        </w:rPr>
        <w:t xml:space="preserve"> those employers who recruited have a large pool of </w:t>
      </w:r>
      <w:r w:rsidR="001B7783">
        <w:rPr>
          <w:rFonts w:asciiTheme="minorHAnsi" w:hAnsiTheme="minorHAnsi" w:cstheme="minorHAnsi"/>
          <w:color w:val="auto"/>
        </w:rPr>
        <w:t>applicants from which to choose, and</w:t>
      </w:r>
      <w:r w:rsidR="004756EC">
        <w:rPr>
          <w:rFonts w:asciiTheme="minorHAnsi" w:hAnsiTheme="minorHAnsi" w:cstheme="minorHAnsi"/>
          <w:color w:val="auto"/>
        </w:rPr>
        <w:t xml:space="preserve"> may not need </w:t>
      </w:r>
      <w:r w:rsidR="00A3184E">
        <w:rPr>
          <w:rFonts w:asciiTheme="minorHAnsi" w:hAnsiTheme="minorHAnsi" w:cstheme="minorHAnsi"/>
          <w:color w:val="auto"/>
        </w:rPr>
        <w:t>to employ</w:t>
      </w:r>
      <w:r w:rsidR="00BC3699" w:rsidRPr="0096063A">
        <w:rPr>
          <w:rFonts w:asciiTheme="minorHAnsi" w:hAnsiTheme="minorHAnsi" w:cstheme="minorHAnsi"/>
          <w:color w:val="auto"/>
        </w:rPr>
        <w:t xml:space="preserve"> applicants without relevant skills or experience.</w:t>
      </w:r>
    </w:p>
    <w:p w:rsidR="00166216" w:rsidRPr="00166216" w:rsidRDefault="00181916" w:rsidP="00166216">
      <w:pPr>
        <w:pStyle w:val="Heading1"/>
        <w:rPr>
          <w:sz w:val="28"/>
        </w:rPr>
      </w:pPr>
      <w:bookmarkStart w:id="51" w:name="_Toc357778748"/>
      <w:r>
        <w:rPr>
          <w:sz w:val="28"/>
        </w:rPr>
        <w:t>D</w:t>
      </w:r>
      <w:r w:rsidR="00166216">
        <w:rPr>
          <w:sz w:val="28"/>
        </w:rPr>
        <w:t>ecline in</w:t>
      </w:r>
      <w:r>
        <w:rPr>
          <w:sz w:val="28"/>
        </w:rPr>
        <w:t xml:space="preserve"> employment in</w:t>
      </w:r>
      <w:r w:rsidR="00166216">
        <w:rPr>
          <w:sz w:val="28"/>
        </w:rPr>
        <w:t xml:space="preserve"> the Manufacturing industry</w:t>
      </w:r>
      <w:bookmarkEnd w:id="51"/>
    </w:p>
    <w:p w:rsidR="00181916" w:rsidRPr="00181916" w:rsidRDefault="00181916" w:rsidP="00181916">
      <w:pPr>
        <w:spacing w:after="0" w:line="240" w:lineRule="auto"/>
        <w:jc w:val="both"/>
        <w:rPr>
          <w:rFonts w:cstheme="minorHAnsi"/>
          <w:sz w:val="24"/>
        </w:rPr>
      </w:pPr>
      <w:r w:rsidRPr="00181916">
        <w:rPr>
          <w:rFonts w:cstheme="minorHAnsi"/>
          <w:sz w:val="24"/>
        </w:rPr>
        <w:t xml:space="preserve">Employment in the Manufacturing industry has decreased in both the Ipswich and Logan </w:t>
      </w:r>
      <w:proofErr w:type="spellStart"/>
      <w:r w:rsidRPr="00181916">
        <w:rPr>
          <w:rFonts w:cstheme="minorHAnsi"/>
          <w:sz w:val="24"/>
        </w:rPr>
        <w:t>LGAs</w:t>
      </w:r>
      <w:proofErr w:type="spellEnd"/>
      <w:r w:rsidRPr="00181916">
        <w:rPr>
          <w:rFonts w:cstheme="minorHAnsi"/>
          <w:sz w:val="24"/>
        </w:rPr>
        <w:t>, and recruitment activity in this industry was weak.</w:t>
      </w:r>
    </w:p>
    <w:p w:rsidR="00166216" w:rsidRPr="003F7908" w:rsidRDefault="00A3184E" w:rsidP="000D2BC1">
      <w:pPr>
        <w:pStyle w:val="ListParagraph"/>
        <w:numPr>
          <w:ilvl w:val="0"/>
          <w:numId w:val="7"/>
        </w:numPr>
        <w:spacing w:after="0" w:line="240" w:lineRule="auto"/>
        <w:ind w:hanging="357"/>
        <w:jc w:val="both"/>
        <w:rPr>
          <w:rFonts w:asciiTheme="minorHAnsi" w:hAnsiTheme="minorHAnsi" w:cstheme="minorHAnsi"/>
        </w:rPr>
      </w:pPr>
      <w:r>
        <w:rPr>
          <w:rFonts w:asciiTheme="minorHAnsi" w:hAnsiTheme="minorHAnsi" w:cstheme="minorHAnsi"/>
          <w:color w:val="auto"/>
        </w:rPr>
        <w:t>Between</w:t>
      </w:r>
      <w:r w:rsidR="002D65A8">
        <w:rPr>
          <w:rFonts w:asciiTheme="minorHAnsi" w:hAnsiTheme="minorHAnsi" w:cstheme="minorHAnsi"/>
          <w:color w:val="auto"/>
        </w:rPr>
        <w:t xml:space="preserve"> 2006 and</w:t>
      </w:r>
      <w:r>
        <w:rPr>
          <w:rFonts w:asciiTheme="minorHAnsi" w:hAnsiTheme="minorHAnsi" w:cstheme="minorHAnsi"/>
          <w:color w:val="auto"/>
        </w:rPr>
        <w:t xml:space="preserve"> 2011</w:t>
      </w:r>
      <w:r w:rsidR="00166216">
        <w:rPr>
          <w:rFonts w:asciiTheme="minorHAnsi" w:hAnsiTheme="minorHAnsi" w:cstheme="minorHAnsi"/>
          <w:color w:val="auto"/>
        </w:rPr>
        <w:t>, the number of people of working age employed in the M</w:t>
      </w:r>
      <w:r w:rsidR="00EB698C">
        <w:rPr>
          <w:rFonts w:asciiTheme="minorHAnsi" w:hAnsiTheme="minorHAnsi" w:cstheme="minorHAnsi"/>
          <w:color w:val="auto"/>
        </w:rPr>
        <w:t>anufacturing industry</w:t>
      </w:r>
      <w:r w:rsidR="00166216">
        <w:rPr>
          <w:rFonts w:asciiTheme="minorHAnsi" w:hAnsiTheme="minorHAnsi" w:cstheme="minorHAnsi"/>
          <w:color w:val="auto"/>
        </w:rPr>
        <w:t xml:space="preserve"> decreased by </w:t>
      </w:r>
      <w:r w:rsidR="002D65A8">
        <w:rPr>
          <w:rFonts w:asciiTheme="minorHAnsi" w:hAnsiTheme="minorHAnsi" w:cstheme="minorHAnsi"/>
          <w:color w:val="auto"/>
        </w:rPr>
        <w:t xml:space="preserve">11 per cent in both the Ipswich and Logan </w:t>
      </w:r>
      <w:proofErr w:type="spellStart"/>
      <w:r w:rsidR="002D65A8">
        <w:rPr>
          <w:rFonts w:asciiTheme="minorHAnsi" w:hAnsiTheme="minorHAnsi" w:cstheme="minorHAnsi"/>
          <w:color w:val="auto"/>
        </w:rPr>
        <w:t>LGAs</w:t>
      </w:r>
      <w:proofErr w:type="spellEnd"/>
      <w:r w:rsidR="003D5EA7">
        <w:rPr>
          <w:rFonts w:asciiTheme="minorHAnsi" w:hAnsiTheme="minorHAnsi" w:cstheme="minorHAnsi"/>
          <w:color w:val="auto"/>
        </w:rPr>
        <w:t xml:space="preserve">. </w:t>
      </w:r>
      <w:r w:rsidR="005143CA">
        <w:rPr>
          <w:rFonts w:asciiTheme="minorHAnsi" w:hAnsiTheme="minorHAnsi" w:cstheme="minorHAnsi"/>
          <w:color w:val="auto"/>
        </w:rPr>
        <w:t>By contrast</w:t>
      </w:r>
      <w:r w:rsidR="003B5D1D">
        <w:rPr>
          <w:rFonts w:asciiTheme="minorHAnsi" w:hAnsiTheme="minorHAnsi" w:cstheme="minorHAnsi"/>
          <w:color w:val="auto"/>
        </w:rPr>
        <w:t>,</w:t>
      </w:r>
      <w:r w:rsidR="005143CA">
        <w:rPr>
          <w:rFonts w:asciiTheme="minorHAnsi" w:hAnsiTheme="minorHAnsi" w:cstheme="minorHAnsi"/>
          <w:color w:val="auto"/>
        </w:rPr>
        <w:t xml:space="preserve"> employment in Manufacturing fell by</w:t>
      </w:r>
      <w:r w:rsidR="002D65A8">
        <w:rPr>
          <w:rFonts w:asciiTheme="minorHAnsi" w:hAnsiTheme="minorHAnsi" w:cstheme="minorHAnsi"/>
          <w:color w:val="auto"/>
        </w:rPr>
        <w:t xml:space="preserve"> </w:t>
      </w:r>
      <w:r w:rsidR="005143CA">
        <w:rPr>
          <w:rFonts w:asciiTheme="minorHAnsi" w:hAnsiTheme="minorHAnsi" w:cstheme="minorHAnsi"/>
          <w:color w:val="auto"/>
        </w:rPr>
        <w:t>3 per cent in Queensland and 4 per cent in Australia</w:t>
      </w:r>
      <w:r>
        <w:rPr>
          <w:rFonts w:asciiTheme="minorHAnsi" w:hAnsiTheme="minorHAnsi" w:cstheme="minorHAnsi"/>
          <w:color w:val="auto"/>
        </w:rPr>
        <w:t xml:space="preserve"> over the same period</w:t>
      </w:r>
      <w:r w:rsidR="005143CA">
        <w:rPr>
          <w:rFonts w:asciiTheme="minorHAnsi" w:hAnsiTheme="minorHAnsi" w:cstheme="minorHAnsi"/>
          <w:color w:val="auto"/>
        </w:rPr>
        <w:t>.</w:t>
      </w:r>
      <w:r w:rsidR="00DE7B00">
        <w:rPr>
          <w:rStyle w:val="FootnoteReference"/>
          <w:rFonts w:asciiTheme="minorHAnsi" w:hAnsiTheme="minorHAnsi" w:cstheme="minorHAnsi"/>
          <w:color w:val="auto"/>
        </w:rPr>
        <w:footnoteReference w:id="6"/>
      </w:r>
    </w:p>
    <w:p w:rsidR="006E74C6" w:rsidRPr="006E74C6" w:rsidRDefault="00697D73" w:rsidP="000D2BC1">
      <w:pPr>
        <w:pStyle w:val="ListParagraph"/>
        <w:numPr>
          <w:ilvl w:val="0"/>
          <w:numId w:val="7"/>
        </w:numPr>
        <w:spacing w:after="0" w:line="240" w:lineRule="auto"/>
        <w:ind w:hanging="357"/>
        <w:jc w:val="both"/>
        <w:rPr>
          <w:rFonts w:asciiTheme="minorHAnsi" w:hAnsiTheme="minorHAnsi" w:cstheme="minorHAnsi"/>
        </w:rPr>
      </w:pPr>
      <w:r>
        <w:rPr>
          <w:rFonts w:asciiTheme="minorHAnsi" w:hAnsiTheme="minorHAnsi" w:cstheme="minorHAnsi"/>
          <w:color w:val="auto"/>
        </w:rPr>
        <w:t>The results from the February</w:t>
      </w:r>
      <w:r w:rsidR="00A320DD">
        <w:rPr>
          <w:rFonts w:asciiTheme="minorHAnsi" w:hAnsiTheme="minorHAnsi" w:cstheme="minorHAnsi"/>
          <w:color w:val="auto"/>
        </w:rPr>
        <w:t xml:space="preserve"> 2013 survey suggest that recruitment activity</w:t>
      </w:r>
      <w:r>
        <w:rPr>
          <w:rFonts w:asciiTheme="minorHAnsi" w:hAnsiTheme="minorHAnsi" w:cstheme="minorHAnsi"/>
          <w:color w:val="auto"/>
        </w:rPr>
        <w:t xml:space="preserve"> in the</w:t>
      </w:r>
      <w:r w:rsidR="00A320DD">
        <w:rPr>
          <w:rFonts w:asciiTheme="minorHAnsi" w:hAnsiTheme="minorHAnsi" w:cstheme="minorHAnsi"/>
          <w:color w:val="auto"/>
        </w:rPr>
        <w:t xml:space="preserve"> Manufacturing industry decreased substantially since</w:t>
      </w:r>
      <w:r>
        <w:rPr>
          <w:rFonts w:asciiTheme="minorHAnsi" w:hAnsiTheme="minorHAnsi" w:cstheme="minorHAnsi"/>
          <w:color w:val="auto"/>
        </w:rPr>
        <w:t xml:space="preserve"> the previous survey. There was a lower proportion of recruiting employer</w:t>
      </w:r>
      <w:r w:rsidR="00EE17D8">
        <w:rPr>
          <w:rFonts w:asciiTheme="minorHAnsi" w:hAnsiTheme="minorHAnsi" w:cstheme="minorHAnsi"/>
          <w:color w:val="auto"/>
        </w:rPr>
        <w:t>s, unfilled vacancies and</w:t>
      </w:r>
      <w:r>
        <w:rPr>
          <w:rFonts w:asciiTheme="minorHAnsi" w:hAnsiTheme="minorHAnsi" w:cstheme="minorHAnsi"/>
          <w:color w:val="auto"/>
        </w:rPr>
        <w:t xml:space="preserve"> employers reporting recruitment difficulty.</w:t>
      </w:r>
    </w:p>
    <w:p w:rsidR="00564097" w:rsidRPr="00666A8E" w:rsidRDefault="00974A8E" w:rsidP="00564097">
      <w:pPr>
        <w:pStyle w:val="ListParagraph"/>
        <w:numPr>
          <w:ilvl w:val="0"/>
          <w:numId w:val="7"/>
        </w:numPr>
        <w:spacing w:after="0" w:line="240" w:lineRule="auto"/>
        <w:ind w:hanging="357"/>
        <w:jc w:val="both"/>
        <w:rPr>
          <w:rFonts w:asciiTheme="minorHAnsi" w:hAnsiTheme="minorHAnsi" w:cstheme="minorHAnsi"/>
        </w:rPr>
      </w:pPr>
      <w:r w:rsidRPr="00666A8E">
        <w:rPr>
          <w:rFonts w:asciiTheme="minorHAnsi" w:hAnsiTheme="minorHAnsi" w:cstheme="minorHAnsi"/>
          <w:color w:val="auto"/>
        </w:rPr>
        <w:t>The</w:t>
      </w:r>
      <w:r w:rsidR="001F5F58" w:rsidRPr="00666A8E">
        <w:rPr>
          <w:rFonts w:asciiTheme="minorHAnsi" w:hAnsiTheme="minorHAnsi" w:cstheme="minorHAnsi"/>
          <w:color w:val="auto"/>
        </w:rPr>
        <w:t xml:space="preserve"> large decrease</w:t>
      </w:r>
      <w:r w:rsidRPr="00666A8E">
        <w:rPr>
          <w:rFonts w:asciiTheme="minorHAnsi" w:hAnsiTheme="minorHAnsi" w:cstheme="minorHAnsi"/>
          <w:color w:val="auto"/>
        </w:rPr>
        <w:t xml:space="preserve"> in</w:t>
      </w:r>
      <w:r w:rsidR="001F5F58" w:rsidRPr="00666A8E">
        <w:rPr>
          <w:rFonts w:asciiTheme="minorHAnsi" w:hAnsiTheme="minorHAnsi" w:cstheme="minorHAnsi"/>
          <w:color w:val="auto"/>
        </w:rPr>
        <w:t xml:space="preserve"> both</w:t>
      </w:r>
      <w:r w:rsidRPr="00666A8E">
        <w:rPr>
          <w:rFonts w:asciiTheme="minorHAnsi" w:hAnsiTheme="minorHAnsi" w:cstheme="minorHAnsi"/>
          <w:color w:val="auto"/>
        </w:rPr>
        <w:t xml:space="preserve"> the</w:t>
      </w:r>
      <w:r w:rsidR="001F5F58" w:rsidRPr="00666A8E">
        <w:rPr>
          <w:rFonts w:asciiTheme="minorHAnsi" w:hAnsiTheme="minorHAnsi" w:cstheme="minorHAnsi"/>
          <w:color w:val="auto"/>
        </w:rPr>
        <w:t xml:space="preserve"> proportion of</w:t>
      </w:r>
      <w:r w:rsidRPr="00666A8E">
        <w:rPr>
          <w:rFonts w:asciiTheme="minorHAnsi" w:hAnsiTheme="minorHAnsi" w:cstheme="minorHAnsi"/>
          <w:color w:val="auto"/>
        </w:rPr>
        <w:t xml:space="preserve"> Manufacturing</w:t>
      </w:r>
      <w:r w:rsidR="001F5F58" w:rsidRPr="00666A8E">
        <w:rPr>
          <w:rFonts w:asciiTheme="minorHAnsi" w:hAnsiTheme="minorHAnsi" w:cstheme="minorHAnsi"/>
          <w:color w:val="auto"/>
        </w:rPr>
        <w:t xml:space="preserve"> employers who expected to recruit (from 54 per cent to 31 per cent) and those who expected to increase staff numbers (from 30 per cent to 15 per cent)</w:t>
      </w:r>
      <w:r w:rsidRPr="00666A8E">
        <w:rPr>
          <w:rFonts w:asciiTheme="minorHAnsi" w:hAnsiTheme="minorHAnsi" w:cstheme="minorHAnsi"/>
          <w:color w:val="auto"/>
        </w:rPr>
        <w:t xml:space="preserve"> indicate</w:t>
      </w:r>
      <w:r w:rsidR="001B7783">
        <w:rPr>
          <w:rFonts w:asciiTheme="minorHAnsi" w:hAnsiTheme="minorHAnsi" w:cstheme="minorHAnsi"/>
          <w:color w:val="auto"/>
        </w:rPr>
        <w:t>s</w:t>
      </w:r>
      <w:r w:rsidRPr="00666A8E">
        <w:rPr>
          <w:rFonts w:asciiTheme="minorHAnsi" w:hAnsiTheme="minorHAnsi" w:cstheme="minorHAnsi"/>
          <w:color w:val="auto"/>
        </w:rPr>
        <w:t xml:space="preserve"> that most</w:t>
      </w:r>
      <w:r w:rsidR="00842CDE" w:rsidRPr="00666A8E">
        <w:rPr>
          <w:rFonts w:asciiTheme="minorHAnsi" w:hAnsiTheme="minorHAnsi" w:cstheme="minorHAnsi"/>
          <w:color w:val="auto"/>
        </w:rPr>
        <w:t xml:space="preserve"> employers do not expect conditions in the industry to improve</w:t>
      </w:r>
      <w:r w:rsidR="00564097" w:rsidRPr="00666A8E">
        <w:rPr>
          <w:rFonts w:asciiTheme="minorHAnsi" w:hAnsiTheme="minorHAnsi" w:cstheme="minorHAnsi"/>
          <w:color w:val="auto"/>
        </w:rPr>
        <w:t xml:space="preserve"> in the near future</w:t>
      </w:r>
      <w:r w:rsidR="00842CDE" w:rsidRPr="00666A8E">
        <w:rPr>
          <w:rFonts w:asciiTheme="minorHAnsi" w:hAnsiTheme="minorHAnsi" w:cstheme="minorHAnsi"/>
          <w:color w:val="auto"/>
        </w:rPr>
        <w:t>.</w:t>
      </w:r>
      <w:r w:rsidRPr="00666A8E">
        <w:rPr>
          <w:rFonts w:asciiTheme="minorHAnsi" w:hAnsiTheme="minorHAnsi" w:cstheme="minorHAnsi"/>
          <w:color w:val="auto"/>
        </w:rPr>
        <w:t xml:space="preserve"> </w:t>
      </w:r>
    </w:p>
    <w:tbl>
      <w:tblPr>
        <w:tblpPr w:leftFromText="180" w:rightFromText="180" w:vertAnchor="text" w:horzAnchor="margin" w:tblpY="249"/>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376"/>
        <w:gridCol w:w="1701"/>
        <w:gridCol w:w="1701"/>
        <w:gridCol w:w="1843"/>
        <w:gridCol w:w="1843"/>
      </w:tblGrid>
      <w:tr w:rsidR="00666A8E" w:rsidRPr="008F15E4" w:rsidTr="00666A8E">
        <w:trPr>
          <w:cantSplit/>
          <w:trHeight w:val="873"/>
          <w:tblHeader/>
        </w:trPr>
        <w:tc>
          <w:tcPr>
            <w:tcW w:w="2376" w:type="dxa"/>
            <w:tcBorders>
              <w:bottom w:val="single" w:sz="4" w:space="0" w:color="A6A6A6"/>
            </w:tcBorders>
            <w:shd w:val="clear" w:color="auto" w:fill="165788"/>
            <w:vAlign w:val="center"/>
          </w:tcPr>
          <w:p w:rsidR="00666A8E" w:rsidRPr="008F15E4" w:rsidRDefault="00666A8E" w:rsidP="00666A8E">
            <w:pPr>
              <w:pStyle w:val="TableHeading"/>
              <w:spacing w:line="240" w:lineRule="auto"/>
              <w:jc w:val="center"/>
              <w:rPr>
                <w:szCs w:val="22"/>
              </w:rPr>
            </w:pPr>
            <w:r w:rsidRPr="008F15E4">
              <w:rPr>
                <w:szCs w:val="22"/>
              </w:rPr>
              <w:t>Key Indicators</w:t>
            </w:r>
            <w:r w:rsidRPr="008F15E4">
              <w:rPr>
                <w:szCs w:val="22"/>
              </w:rPr>
              <w:br/>
              <w:t>(Manufacturing industry)</w:t>
            </w:r>
          </w:p>
        </w:tc>
        <w:tc>
          <w:tcPr>
            <w:tcW w:w="1701" w:type="dxa"/>
            <w:shd w:val="clear" w:color="auto" w:fill="165788"/>
            <w:vAlign w:val="center"/>
          </w:tcPr>
          <w:p w:rsidR="00666A8E" w:rsidRPr="008F15E4" w:rsidRDefault="00666A8E" w:rsidP="00666A8E">
            <w:pPr>
              <w:pStyle w:val="TableHeading"/>
              <w:spacing w:after="0" w:afterAutospacing="0" w:line="240" w:lineRule="auto"/>
              <w:contextualSpacing/>
              <w:jc w:val="center"/>
              <w:rPr>
                <w:szCs w:val="22"/>
                <w:lang w:bidi="en-US"/>
              </w:rPr>
            </w:pPr>
            <w:r w:rsidRPr="008F15E4">
              <w:rPr>
                <w:szCs w:val="22"/>
                <w:lang w:bidi="en-US"/>
              </w:rPr>
              <w:t>Recruited (previous 12 months)</w:t>
            </w:r>
          </w:p>
        </w:tc>
        <w:tc>
          <w:tcPr>
            <w:tcW w:w="1701" w:type="dxa"/>
            <w:shd w:val="clear" w:color="auto" w:fill="165788"/>
            <w:vAlign w:val="center"/>
          </w:tcPr>
          <w:p w:rsidR="00666A8E" w:rsidRPr="008F15E4" w:rsidRDefault="00666A8E" w:rsidP="00666A8E">
            <w:pPr>
              <w:pStyle w:val="TableHeading"/>
              <w:spacing w:after="0" w:afterAutospacing="0" w:line="240" w:lineRule="auto"/>
              <w:contextualSpacing/>
              <w:jc w:val="center"/>
              <w:rPr>
                <w:szCs w:val="22"/>
                <w:lang w:bidi="en-US"/>
              </w:rPr>
            </w:pPr>
            <w:r w:rsidRPr="008F15E4">
              <w:rPr>
                <w:szCs w:val="22"/>
                <w:lang w:bidi="en-US"/>
              </w:rPr>
              <w:t>Unfilled vacancies (previous 12 months)</w:t>
            </w:r>
          </w:p>
        </w:tc>
        <w:tc>
          <w:tcPr>
            <w:tcW w:w="1843" w:type="dxa"/>
            <w:shd w:val="clear" w:color="auto" w:fill="165788"/>
            <w:vAlign w:val="center"/>
          </w:tcPr>
          <w:p w:rsidR="00666A8E" w:rsidRPr="008F15E4" w:rsidRDefault="00666A8E" w:rsidP="00666A8E">
            <w:pPr>
              <w:pStyle w:val="TableHeading"/>
              <w:spacing w:after="0" w:afterAutospacing="0" w:line="240" w:lineRule="auto"/>
              <w:contextualSpacing/>
              <w:jc w:val="center"/>
              <w:rPr>
                <w:szCs w:val="22"/>
                <w:lang w:bidi="en-US"/>
              </w:rPr>
            </w:pPr>
            <w:r w:rsidRPr="008F15E4">
              <w:rPr>
                <w:szCs w:val="22"/>
                <w:lang w:bidi="en-US"/>
              </w:rPr>
              <w:t>Recruitment difficulty (previous 12 months)</w:t>
            </w:r>
          </w:p>
        </w:tc>
        <w:tc>
          <w:tcPr>
            <w:tcW w:w="1843" w:type="dxa"/>
            <w:shd w:val="clear" w:color="auto" w:fill="165788"/>
            <w:vAlign w:val="center"/>
          </w:tcPr>
          <w:p w:rsidR="00666A8E" w:rsidRPr="008F15E4" w:rsidRDefault="00666A8E" w:rsidP="00666A8E">
            <w:pPr>
              <w:pStyle w:val="TableHeading"/>
              <w:spacing w:after="0" w:afterAutospacing="0" w:line="240" w:lineRule="auto"/>
              <w:contextualSpacing/>
              <w:jc w:val="center"/>
              <w:rPr>
                <w:szCs w:val="22"/>
                <w:lang w:bidi="en-US"/>
              </w:rPr>
            </w:pPr>
            <w:r w:rsidRPr="008F15E4">
              <w:rPr>
                <w:szCs w:val="22"/>
                <w:lang w:bidi="en-US"/>
              </w:rPr>
              <w:t>Expect to recruit (next 12 months)</w:t>
            </w:r>
          </w:p>
        </w:tc>
      </w:tr>
      <w:tr w:rsidR="00666A8E" w:rsidRPr="008F15E4" w:rsidTr="00666A8E">
        <w:trPr>
          <w:trHeight w:val="315"/>
        </w:trPr>
        <w:tc>
          <w:tcPr>
            <w:tcW w:w="2376" w:type="dxa"/>
            <w:tcBorders>
              <w:bottom w:val="single" w:sz="4" w:space="0" w:color="A6A6A6"/>
            </w:tcBorders>
            <w:shd w:val="clear" w:color="auto" w:fill="auto"/>
            <w:vAlign w:val="center"/>
          </w:tcPr>
          <w:p w:rsidR="00666A8E" w:rsidRPr="008F15E4" w:rsidRDefault="00666A8E" w:rsidP="00666A8E">
            <w:pPr>
              <w:keepNext/>
              <w:spacing w:line="240" w:lineRule="auto"/>
              <w:contextualSpacing/>
              <w:rPr>
                <w:rFonts w:cstheme="minorHAnsi"/>
                <w:b/>
                <w:szCs w:val="22"/>
              </w:rPr>
            </w:pPr>
            <w:r w:rsidRPr="008F15E4">
              <w:rPr>
                <w:rFonts w:cstheme="minorHAnsi"/>
                <w:b/>
                <w:szCs w:val="22"/>
              </w:rPr>
              <w:t>February 2013</w:t>
            </w:r>
          </w:p>
        </w:tc>
        <w:tc>
          <w:tcPr>
            <w:tcW w:w="1701" w:type="dxa"/>
            <w:vAlign w:val="center"/>
          </w:tcPr>
          <w:p w:rsidR="00666A8E" w:rsidRPr="008F15E4" w:rsidRDefault="00666A8E" w:rsidP="00666A8E">
            <w:pPr>
              <w:keepNext/>
              <w:spacing w:line="240" w:lineRule="auto"/>
              <w:contextualSpacing/>
              <w:jc w:val="center"/>
              <w:rPr>
                <w:rFonts w:cstheme="minorHAnsi"/>
                <w:b/>
                <w:szCs w:val="22"/>
              </w:rPr>
            </w:pPr>
            <w:r w:rsidRPr="008F15E4">
              <w:rPr>
                <w:rFonts w:cstheme="minorHAnsi"/>
                <w:b/>
                <w:szCs w:val="22"/>
              </w:rPr>
              <w:t>47%</w:t>
            </w:r>
          </w:p>
        </w:tc>
        <w:tc>
          <w:tcPr>
            <w:tcW w:w="1701" w:type="dxa"/>
            <w:vAlign w:val="center"/>
          </w:tcPr>
          <w:p w:rsidR="00666A8E" w:rsidRPr="008F15E4" w:rsidRDefault="00666A8E" w:rsidP="00666A8E">
            <w:pPr>
              <w:keepNext/>
              <w:spacing w:line="240" w:lineRule="auto"/>
              <w:contextualSpacing/>
              <w:jc w:val="center"/>
              <w:rPr>
                <w:rFonts w:cstheme="minorHAnsi"/>
                <w:b/>
                <w:szCs w:val="22"/>
              </w:rPr>
            </w:pPr>
            <w:r w:rsidRPr="008F15E4">
              <w:rPr>
                <w:rFonts w:cstheme="minorHAnsi"/>
                <w:b/>
                <w:szCs w:val="22"/>
              </w:rPr>
              <w:t>2.6%</w:t>
            </w:r>
          </w:p>
        </w:tc>
        <w:tc>
          <w:tcPr>
            <w:tcW w:w="1843" w:type="dxa"/>
            <w:vAlign w:val="center"/>
          </w:tcPr>
          <w:p w:rsidR="00666A8E" w:rsidRPr="008F15E4" w:rsidRDefault="00666A8E" w:rsidP="00666A8E">
            <w:pPr>
              <w:keepNext/>
              <w:spacing w:line="240" w:lineRule="auto"/>
              <w:contextualSpacing/>
              <w:jc w:val="center"/>
              <w:rPr>
                <w:rFonts w:cstheme="minorHAnsi"/>
                <w:b/>
                <w:szCs w:val="22"/>
              </w:rPr>
            </w:pPr>
            <w:r w:rsidRPr="008F15E4">
              <w:rPr>
                <w:rFonts w:cstheme="minorHAnsi"/>
                <w:b/>
                <w:szCs w:val="22"/>
              </w:rPr>
              <w:t>35%</w:t>
            </w:r>
          </w:p>
        </w:tc>
        <w:tc>
          <w:tcPr>
            <w:tcW w:w="1843" w:type="dxa"/>
            <w:vAlign w:val="center"/>
          </w:tcPr>
          <w:p w:rsidR="00666A8E" w:rsidRPr="008F15E4" w:rsidRDefault="00666A8E" w:rsidP="00666A8E">
            <w:pPr>
              <w:keepNext/>
              <w:spacing w:line="240" w:lineRule="auto"/>
              <w:contextualSpacing/>
              <w:jc w:val="center"/>
              <w:rPr>
                <w:rFonts w:cstheme="minorHAnsi"/>
                <w:b/>
                <w:szCs w:val="22"/>
              </w:rPr>
            </w:pPr>
            <w:r w:rsidRPr="008F15E4">
              <w:rPr>
                <w:rFonts w:cstheme="minorHAnsi"/>
                <w:b/>
                <w:szCs w:val="22"/>
              </w:rPr>
              <w:t>31%</w:t>
            </w:r>
          </w:p>
        </w:tc>
      </w:tr>
      <w:tr w:rsidR="00666A8E" w:rsidRPr="008F15E4" w:rsidTr="00666A8E">
        <w:trPr>
          <w:cantSplit/>
          <w:trHeight w:val="357"/>
        </w:trPr>
        <w:tc>
          <w:tcPr>
            <w:tcW w:w="2376" w:type="dxa"/>
            <w:shd w:val="clear" w:color="auto" w:fill="auto"/>
            <w:vAlign w:val="center"/>
          </w:tcPr>
          <w:p w:rsidR="00666A8E" w:rsidRPr="008F15E4" w:rsidRDefault="00666A8E" w:rsidP="00666A8E">
            <w:pPr>
              <w:keepNext/>
              <w:spacing w:line="240" w:lineRule="auto"/>
              <w:contextualSpacing/>
              <w:rPr>
                <w:rFonts w:cstheme="minorHAnsi"/>
                <w:b/>
                <w:szCs w:val="22"/>
              </w:rPr>
            </w:pPr>
            <w:r w:rsidRPr="008F15E4">
              <w:rPr>
                <w:rFonts w:cstheme="minorHAnsi"/>
                <w:b/>
                <w:szCs w:val="22"/>
              </w:rPr>
              <w:t>Change since previous survey (2012)</w:t>
            </w:r>
          </w:p>
        </w:tc>
        <w:tc>
          <w:tcPr>
            <w:tcW w:w="1701" w:type="dxa"/>
            <w:vAlign w:val="center"/>
          </w:tcPr>
          <w:p w:rsidR="00666A8E" w:rsidRPr="008F15E4" w:rsidRDefault="00666A8E" w:rsidP="00666A8E">
            <w:pPr>
              <w:keepNext/>
              <w:spacing w:line="240" w:lineRule="auto"/>
              <w:contextualSpacing/>
              <w:jc w:val="center"/>
              <w:rPr>
                <w:rFonts w:cstheme="minorHAnsi"/>
                <w:b/>
                <w:szCs w:val="22"/>
              </w:rPr>
            </w:pPr>
            <w:r w:rsidRPr="008F15E4">
              <w:rPr>
                <w:rFonts w:cstheme="minorHAnsi"/>
                <w:b/>
                <w:szCs w:val="22"/>
              </w:rPr>
              <w:t>-14%</w:t>
            </w:r>
          </w:p>
        </w:tc>
        <w:tc>
          <w:tcPr>
            <w:tcW w:w="1701" w:type="dxa"/>
            <w:vAlign w:val="center"/>
          </w:tcPr>
          <w:p w:rsidR="00666A8E" w:rsidRPr="008F15E4" w:rsidRDefault="00666A8E" w:rsidP="00666A8E">
            <w:pPr>
              <w:keepNext/>
              <w:spacing w:line="240" w:lineRule="auto"/>
              <w:contextualSpacing/>
              <w:jc w:val="center"/>
              <w:rPr>
                <w:rFonts w:cstheme="minorHAnsi"/>
                <w:b/>
                <w:szCs w:val="22"/>
              </w:rPr>
            </w:pPr>
            <w:r w:rsidRPr="008F15E4">
              <w:rPr>
                <w:rFonts w:cstheme="minorHAnsi"/>
                <w:b/>
                <w:szCs w:val="22"/>
              </w:rPr>
              <w:t>-3.4%</w:t>
            </w:r>
          </w:p>
        </w:tc>
        <w:tc>
          <w:tcPr>
            <w:tcW w:w="1843" w:type="dxa"/>
            <w:vAlign w:val="center"/>
          </w:tcPr>
          <w:p w:rsidR="00666A8E" w:rsidRPr="008F15E4" w:rsidRDefault="00666A8E" w:rsidP="00666A8E">
            <w:pPr>
              <w:keepNext/>
              <w:spacing w:line="240" w:lineRule="auto"/>
              <w:contextualSpacing/>
              <w:jc w:val="center"/>
              <w:rPr>
                <w:rFonts w:cstheme="minorHAnsi"/>
                <w:b/>
                <w:szCs w:val="22"/>
              </w:rPr>
            </w:pPr>
            <w:r w:rsidRPr="008F15E4">
              <w:rPr>
                <w:rFonts w:cstheme="minorHAnsi"/>
                <w:b/>
                <w:szCs w:val="22"/>
              </w:rPr>
              <w:t>-25%</w:t>
            </w:r>
          </w:p>
        </w:tc>
        <w:tc>
          <w:tcPr>
            <w:tcW w:w="1843" w:type="dxa"/>
            <w:vAlign w:val="center"/>
          </w:tcPr>
          <w:p w:rsidR="00666A8E" w:rsidRPr="008F15E4" w:rsidRDefault="00666A8E" w:rsidP="00666A8E">
            <w:pPr>
              <w:keepNext/>
              <w:spacing w:line="240" w:lineRule="auto"/>
              <w:contextualSpacing/>
              <w:jc w:val="center"/>
              <w:rPr>
                <w:rFonts w:cstheme="minorHAnsi"/>
                <w:b/>
                <w:szCs w:val="22"/>
              </w:rPr>
            </w:pPr>
            <w:r w:rsidRPr="008F15E4">
              <w:rPr>
                <w:rFonts w:cstheme="minorHAnsi"/>
                <w:b/>
                <w:szCs w:val="22"/>
              </w:rPr>
              <w:t>-23%</w:t>
            </w:r>
          </w:p>
        </w:tc>
      </w:tr>
    </w:tbl>
    <w:p w:rsidR="00186D39" w:rsidRPr="00166216" w:rsidRDefault="0075375E" w:rsidP="00186D39">
      <w:pPr>
        <w:pStyle w:val="Heading1"/>
        <w:rPr>
          <w:sz w:val="28"/>
        </w:rPr>
      </w:pPr>
      <w:bookmarkStart w:id="52" w:name="_Toc357778749"/>
      <w:r>
        <w:rPr>
          <w:sz w:val="28"/>
        </w:rPr>
        <w:t>L</w:t>
      </w:r>
      <w:r w:rsidR="00564097">
        <w:rPr>
          <w:sz w:val="28"/>
        </w:rPr>
        <w:t xml:space="preserve">arge decrease in recruitment activity in the Ipswich </w:t>
      </w:r>
      <w:proofErr w:type="spellStart"/>
      <w:r w:rsidR="00564097">
        <w:rPr>
          <w:sz w:val="28"/>
        </w:rPr>
        <w:t>LGA</w:t>
      </w:r>
      <w:bookmarkEnd w:id="52"/>
      <w:proofErr w:type="spellEnd"/>
    </w:p>
    <w:p w:rsidR="00C77AEA" w:rsidRDefault="002B3206" w:rsidP="002B3206">
      <w:pPr>
        <w:spacing w:after="0" w:line="240" w:lineRule="auto"/>
        <w:jc w:val="both"/>
        <w:rPr>
          <w:rFonts w:cstheme="minorHAnsi"/>
          <w:sz w:val="24"/>
        </w:rPr>
      </w:pPr>
      <w:r>
        <w:rPr>
          <w:rFonts w:cstheme="minorHAnsi"/>
          <w:sz w:val="24"/>
        </w:rPr>
        <w:t>While the</w:t>
      </w:r>
      <w:r w:rsidR="00333970">
        <w:rPr>
          <w:rFonts w:cstheme="minorHAnsi"/>
          <w:sz w:val="24"/>
        </w:rPr>
        <w:t xml:space="preserve"> labour market in the</w:t>
      </w:r>
      <w:r>
        <w:rPr>
          <w:rFonts w:cstheme="minorHAnsi"/>
          <w:sz w:val="24"/>
        </w:rPr>
        <w:t xml:space="preserve"> </w:t>
      </w:r>
      <w:r w:rsidR="009E4E8E">
        <w:rPr>
          <w:rFonts w:cstheme="minorHAnsi"/>
          <w:sz w:val="24"/>
        </w:rPr>
        <w:t>L</w:t>
      </w:r>
      <w:r w:rsidR="004D282B">
        <w:rPr>
          <w:rFonts w:cstheme="minorHAnsi"/>
          <w:sz w:val="24"/>
        </w:rPr>
        <w:t xml:space="preserve">ogan </w:t>
      </w:r>
      <w:proofErr w:type="spellStart"/>
      <w:r w:rsidR="004D282B">
        <w:rPr>
          <w:rFonts w:cstheme="minorHAnsi"/>
          <w:sz w:val="24"/>
        </w:rPr>
        <w:t>LGA</w:t>
      </w:r>
      <w:proofErr w:type="spellEnd"/>
      <w:r w:rsidR="00333970">
        <w:rPr>
          <w:rFonts w:cstheme="minorHAnsi"/>
          <w:sz w:val="24"/>
        </w:rPr>
        <w:t xml:space="preserve"> continues to be softer than that in the Ipswich </w:t>
      </w:r>
      <w:proofErr w:type="spellStart"/>
      <w:r w:rsidR="00333970">
        <w:rPr>
          <w:rFonts w:cstheme="minorHAnsi"/>
          <w:sz w:val="24"/>
        </w:rPr>
        <w:t>LGA</w:t>
      </w:r>
      <w:proofErr w:type="spellEnd"/>
      <w:r w:rsidR="00333970">
        <w:rPr>
          <w:rFonts w:cstheme="minorHAnsi"/>
          <w:sz w:val="24"/>
        </w:rPr>
        <w:t xml:space="preserve">, </w:t>
      </w:r>
      <w:r w:rsidR="00916EF2">
        <w:rPr>
          <w:rFonts w:cstheme="minorHAnsi"/>
          <w:sz w:val="24"/>
        </w:rPr>
        <w:t>conditions</w:t>
      </w:r>
      <w:r w:rsidR="00333970">
        <w:rPr>
          <w:rFonts w:cstheme="minorHAnsi"/>
          <w:sz w:val="24"/>
        </w:rPr>
        <w:t xml:space="preserve"> in the Ipswich </w:t>
      </w:r>
      <w:proofErr w:type="spellStart"/>
      <w:r w:rsidR="00333970">
        <w:rPr>
          <w:rFonts w:cstheme="minorHAnsi"/>
          <w:sz w:val="24"/>
        </w:rPr>
        <w:t>LGA</w:t>
      </w:r>
      <w:proofErr w:type="spellEnd"/>
      <w:r w:rsidR="00916EF2">
        <w:rPr>
          <w:rFonts w:cstheme="minorHAnsi"/>
          <w:sz w:val="24"/>
        </w:rPr>
        <w:t xml:space="preserve"> have eased</w:t>
      </w:r>
      <w:r w:rsidR="00333970">
        <w:rPr>
          <w:rFonts w:cstheme="minorHAnsi"/>
          <w:sz w:val="24"/>
        </w:rPr>
        <w:t xml:space="preserve"> more</w:t>
      </w:r>
      <w:r w:rsidR="00916EF2">
        <w:rPr>
          <w:rFonts w:cstheme="minorHAnsi"/>
          <w:sz w:val="24"/>
        </w:rPr>
        <w:t xml:space="preserve"> </w:t>
      </w:r>
      <w:r w:rsidR="00333970">
        <w:rPr>
          <w:rFonts w:cstheme="minorHAnsi"/>
          <w:sz w:val="24"/>
        </w:rPr>
        <w:t>recently</w:t>
      </w:r>
      <w:r w:rsidR="00DC7C01">
        <w:rPr>
          <w:rFonts w:cstheme="minorHAnsi"/>
          <w:sz w:val="24"/>
        </w:rPr>
        <w:t>.</w:t>
      </w:r>
      <w:r w:rsidR="00916EF2">
        <w:rPr>
          <w:rFonts w:cstheme="minorHAnsi"/>
          <w:sz w:val="24"/>
        </w:rPr>
        <w:t xml:space="preserve"> </w:t>
      </w:r>
      <w:r w:rsidR="004D282B">
        <w:rPr>
          <w:rFonts w:cstheme="minorHAnsi"/>
          <w:sz w:val="24"/>
        </w:rPr>
        <w:t xml:space="preserve"> </w:t>
      </w:r>
    </w:p>
    <w:p w:rsidR="00B91F2E" w:rsidRPr="002F0627" w:rsidRDefault="0096063A" w:rsidP="002B3206">
      <w:pPr>
        <w:pStyle w:val="ListParagraph"/>
        <w:numPr>
          <w:ilvl w:val="0"/>
          <w:numId w:val="7"/>
        </w:numPr>
        <w:spacing w:after="0" w:line="240" w:lineRule="auto"/>
        <w:jc w:val="both"/>
        <w:rPr>
          <w:rFonts w:asciiTheme="minorHAnsi" w:hAnsiTheme="minorHAnsi" w:cstheme="minorHAnsi"/>
        </w:rPr>
      </w:pPr>
      <w:r>
        <w:rPr>
          <w:rFonts w:asciiTheme="minorHAnsi" w:hAnsiTheme="minorHAnsi" w:cstheme="minorHAnsi"/>
          <w:color w:val="auto"/>
        </w:rPr>
        <w:t>Unemploym</w:t>
      </w:r>
      <w:r w:rsidR="00BF476B">
        <w:rPr>
          <w:rFonts w:asciiTheme="minorHAnsi" w:hAnsiTheme="minorHAnsi" w:cstheme="minorHAnsi"/>
          <w:color w:val="auto"/>
        </w:rPr>
        <w:t xml:space="preserve">ent in the Logan </w:t>
      </w:r>
      <w:proofErr w:type="spellStart"/>
      <w:r w:rsidR="00BF476B">
        <w:rPr>
          <w:rFonts w:asciiTheme="minorHAnsi" w:hAnsiTheme="minorHAnsi" w:cstheme="minorHAnsi"/>
          <w:color w:val="auto"/>
        </w:rPr>
        <w:t>LGA</w:t>
      </w:r>
      <w:proofErr w:type="spellEnd"/>
      <w:r w:rsidR="00BF476B">
        <w:rPr>
          <w:rFonts w:asciiTheme="minorHAnsi" w:hAnsiTheme="minorHAnsi" w:cstheme="minorHAnsi"/>
          <w:color w:val="auto"/>
        </w:rPr>
        <w:t xml:space="preserve"> reached 8.4</w:t>
      </w:r>
      <w:r>
        <w:rPr>
          <w:rFonts w:asciiTheme="minorHAnsi" w:hAnsiTheme="minorHAnsi" w:cstheme="minorHAnsi"/>
          <w:color w:val="auto"/>
        </w:rPr>
        <w:t xml:space="preserve"> </w:t>
      </w:r>
      <w:r w:rsidR="00333970">
        <w:rPr>
          <w:rFonts w:asciiTheme="minorHAnsi" w:hAnsiTheme="minorHAnsi" w:cstheme="minorHAnsi"/>
          <w:color w:val="auto"/>
        </w:rPr>
        <w:t>per cent in September 2010, while</w:t>
      </w:r>
      <w:r>
        <w:rPr>
          <w:rFonts w:asciiTheme="minorHAnsi" w:hAnsiTheme="minorHAnsi" w:cstheme="minorHAnsi"/>
          <w:color w:val="auto"/>
        </w:rPr>
        <w:t xml:space="preserve"> in the Ipswich </w:t>
      </w:r>
      <w:proofErr w:type="spellStart"/>
      <w:r>
        <w:rPr>
          <w:rFonts w:asciiTheme="minorHAnsi" w:hAnsiTheme="minorHAnsi" w:cstheme="minorHAnsi"/>
          <w:color w:val="auto"/>
        </w:rPr>
        <w:t>LGA</w:t>
      </w:r>
      <w:proofErr w:type="spellEnd"/>
      <w:r w:rsidR="00333970">
        <w:rPr>
          <w:rFonts w:asciiTheme="minorHAnsi" w:hAnsiTheme="minorHAnsi" w:cstheme="minorHAnsi"/>
          <w:color w:val="auto"/>
        </w:rPr>
        <w:t xml:space="preserve"> it</w:t>
      </w:r>
      <w:r>
        <w:rPr>
          <w:rFonts w:asciiTheme="minorHAnsi" w:hAnsiTheme="minorHAnsi" w:cstheme="minorHAnsi"/>
          <w:color w:val="auto"/>
        </w:rPr>
        <w:t xml:space="preserve"> was 4.6 per cent. This </w:t>
      </w:r>
      <w:r w:rsidR="0075375E">
        <w:rPr>
          <w:rFonts w:asciiTheme="minorHAnsi" w:hAnsiTheme="minorHAnsi" w:cstheme="minorHAnsi"/>
          <w:color w:val="auto"/>
        </w:rPr>
        <w:t>g</w:t>
      </w:r>
      <w:r>
        <w:rPr>
          <w:rFonts w:asciiTheme="minorHAnsi" w:hAnsiTheme="minorHAnsi" w:cstheme="minorHAnsi"/>
          <w:color w:val="auto"/>
        </w:rPr>
        <w:t xml:space="preserve">ap has since narrowed, </w:t>
      </w:r>
      <w:r w:rsidR="00BF476B">
        <w:rPr>
          <w:rFonts w:asciiTheme="minorHAnsi" w:hAnsiTheme="minorHAnsi" w:cstheme="minorHAnsi"/>
          <w:color w:val="auto"/>
        </w:rPr>
        <w:t>with unemployment falling to 7.2</w:t>
      </w:r>
      <w:r>
        <w:rPr>
          <w:rFonts w:asciiTheme="minorHAnsi" w:hAnsiTheme="minorHAnsi" w:cstheme="minorHAnsi"/>
          <w:color w:val="auto"/>
        </w:rPr>
        <w:t xml:space="preserve"> per cent</w:t>
      </w:r>
      <w:r w:rsidR="00083669">
        <w:rPr>
          <w:rFonts w:asciiTheme="minorHAnsi" w:hAnsiTheme="minorHAnsi" w:cstheme="minorHAnsi"/>
          <w:color w:val="auto"/>
        </w:rPr>
        <w:t xml:space="preserve"> in the Logan </w:t>
      </w:r>
      <w:proofErr w:type="spellStart"/>
      <w:r w:rsidR="00083669">
        <w:rPr>
          <w:rFonts w:asciiTheme="minorHAnsi" w:hAnsiTheme="minorHAnsi" w:cstheme="minorHAnsi"/>
          <w:color w:val="auto"/>
        </w:rPr>
        <w:t>LGA</w:t>
      </w:r>
      <w:proofErr w:type="spellEnd"/>
      <w:r w:rsidR="00CE67E7">
        <w:rPr>
          <w:rFonts w:asciiTheme="minorHAnsi" w:hAnsiTheme="minorHAnsi" w:cstheme="minorHAnsi"/>
          <w:color w:val="auto"/>
        </w:rPr>
        <w:t xml:space="preserve"> in the December quarter 2012</w:t>
      </w:r>
      <w:r w:rsidR="00083669">
        <w:rPr>
          <w:rFonts w:asciiTheme="minorHAnsi" w:hAnsiTheme="minorHAnsi" w:cstheme="minorHAnsi"/>
          <w:color w:val="auto"/>
        </w:rPr>
        <w:t xml:space="preserve"> and rising to </w:t>
      </w:r>
      <w:r>
        <w:rPr>
          <w:rFonts w:asciiTheme="minorHAnsi" w:hAnsiTheme="minorHAnsi" w:cstheme="minorHAnsi"/>
          <w:color w:val="auto"/>
        </w:rPr>
        <w:t xml:space="preserve">5.6 per cent in the Ipswich </w:t>
      </w:r>
      <w:proofErr w:type="spellStart"/>
      <w:r>
        <w:rPr>
          <w:rFonts w:asciiTheme="minorHAnsi" w:hAnsiTheme="minorHAnsi" w:cstheme="minorHAnsi"/>
          <w:color w:val="auto"/>
        </w:rPr>
        <w:t>LGA</w:t>
      </w:r>
      <w:proofErr w:type="spellEnd"/>
      <w:r>
        <w:rPr>
          <w:rFonts w:asciiTheme="minorHAnsi" w:hAnsiTheme="minorHAnsi" w:cstheme="minorHAnsi"/>
          <w:color w:val="auto"/>
        </w:rPr>
        <w:t>.</w:t>
      </w:r>
      <w:r w:rsidR="00DC7C01">
        <w:rPr>
          <w:rStyle w:val="FootnoteReference"/>
          <w:rFonts w:asciiTheme="minorHAnsi" w:hAnsiTheme="minorHAnsi" w:cstheme="minorHAnsi"/>
          <w:color w:val="auto"/>
        </w:rPr>
        <w:footnoteReference w:id="7"/>
      </w:r>
    </w:p>
    <w:p w:rsidR="00CE5498" w:rsidRDefault="00CE5498" w:rsidP="001F5F58">
      <w:pPr>
        <w:spacing w:after="0" w:line="240" w:lineRule="auto"/>
        <w:jc w:val="both"/>
        <w:rPr>
          <w:rFonts w:cstheme="minorHAnsi"/>
          <w:sz w:val="24"/>
        </w:rPr>
      </w:pPr>
    </w:p>
    <w:p w:rsidR="001F5F58" w:rsidRPr="001F5F58" w:rsidRDefault="001F5F58" w:rsidP="001F5F58">
      <w:pPr>
        <w:spacing w:after="0" w:line="240" w:lineRule="auto"/>
        <w:jc w:val="both"/>
        <w:rPr>
          <w:rFonts w:cstheme="minorHAnsi"/>
          <w:sz w:val="24"/>
        </w:rPr>
      </w:pPr>
      <w:r>
        <w:rPr>
          <w:rFonts w:cstheme="minorHAnsi"/>
          <w:sz w:val="24"/>
        </w:rPr>
        <w:lastRenderedPageBreak/>
        <w:t>T</w:t>
      </w:r>
      <w:r w:rsidRPr="001F5F58">
        <w:rPr>
          <w:rFonts w:cstheme="minorHAnsi"/>
          <w:sz w:val="24"/>
        </w:rPr>
        <w:t>he survey results i</w:t>
      </w:r>
      <w:r w:rsidR="00DC7C01">
        <w:rPr>
          <w:rFonts w:cstheme="minorHAnsi"/>
          <w:sz w:val="24"/>
        </w:rPr>
        <w:t>ndicate that</w:t>
      </w:r>
      <w:r w:rsidR="00CE67E7">
        <w:rPr>
          <w:rFonts w:cstheme="minorHAnsi"/>
          <w:sz w:val="24"/>
        </w:rPr>
        <w:t xml:space="preserve"> the decrease in recruitment activity since the last survey was larger in Ipswich than in Logan</w:t>
      </w:r>
      <w:r w:rsidRPr="001F5F58">
        <w:rPr>
          <w:rFonts w:cstheme="minorHAnsi"/>
          <w:sz w:val="24"/>
        </w:rPr>
        <w:t>.</w:t>
      </w:r>
    </w:p>
    <w:p w:rsidR="002A0BD8" w:rsidRPr="001E09AB" w:rsidRDefault="002A0BD8" w:rsidP="00DE7B00">
      <w:pPr>
        <w:pStyle w:val="ListParagraph"/>
        <w:numPr>
          <w:ilvl w:val="0"/>
          <w:numId w:val="7"/>
        </w:numPr>
        <w:spacing w:after="0" w:line="240" w:lineRule="auto"/>
        <w:jc w:val="both"/>
        <w:rPr>
          <w:rFonts w:asciiTheme="minorHAnsi" w:hAnsiTheme="minorHAnsi" w:cstheme="minorHAnsi"/>
        </w:rPr>
      </w:pPr>
      <w:r w:rsidRPr="00DE7B00">
        <w:rPr>
          <w:rFonts w:asciiTheme="minorHAnsi" w:hAnsiTheme="minorHAnsi" w:cstheme="minorHAnsi"/>
          <w:color w:val="auto"/>
        </w:rPr>
        <w:t>The proportion of recruiting emplo</w:t>
      </w:r>
      <w:r w:rsidR="00A320DD" w:rsidRPr="00DE7B00">
        <w:rPr>
          <w:rFonts w:asciiTheme="minorHAnsi" w:hAnsiTheme="minorHAnsi" w:cstheme="minorHAnsi"/>
          <w:color w:val="auto"/>
        </w:rPr>
        <w:t>yers decreased by 25</w:t>
      </w:r>
      <w:r w:rsidRPr="00DE7B00">
        <w:rPr>
          <w:rFonts w:asciiTheme="minorHAnsi" w:hAnsiTheme="minorHAnsi" w:cstheme="minorHAnsi"/>
          <w:color w:val="auto"/>
        </w:rPr>
        <w:t xml:space="preserve"> per cent in the Ipswich </w:t>
      </w:r>
      <w:proofErr w:type="spellStart"/>
      <w:r w:rsidRPr="00DE7B00">
        <w:rPr>
          <w:rFonts w:asciiTheme="minorHAnsi" w:hAnsiTheme="minorHAnsi" w:cstheme="minorHAnsi"/>
          <w:color w:val="auto"/>
        </w:rPr>
        <w:t>LGA</w:t>
      </w:r>
      <w:proofErr w:type="spellEnd"/>
      <w:r w:rsidR="00A320DD" w:rsidRPr="00DE7B00">
        <w:rPr>
          <w:rFonts w:asciiTheme="minorHAnsi" w:hAnsiTheme="minorHAnsi" w:cstheme="minorHAnsi"/>
          <w:color w:val="auto"/>
        </w:rPr>
        <w:t xml:space="preserve"> (from 74 per cent to 49 per cent)</w:t>
      </w:r>
      <w:r w:rsidR="00520488" w:rsidRPr="00DE7B00">
        <w:rPr>
          <w:rFonts w:asciiTheme="minorHAnsi" w:hAnsiTheme="minorHAnsi" w:cstheme="minorHAnsi"/>
          <w:color w:val="auto"/>
        </w:rPr>
        <w:t>,</w:t>
      </w:r>
      <w:r w:rsidR="00A320DD" w:rsidRPr="00DE7B00">
        <w:rPr>
          <w:rFonts w:asciiTheme="minorHAnsi" w:hAnsiTheme="minorHAnsi" w:cstheme="minorHAnsi"/>
          <w:color w:val="auto"/>
        </w:rPr>
        <w:t xml:space="preserve"> compared with 9 per cent in the Logan </w:t>
      </w:r>
      <w:proofErr w:type="spellStart"/>
      <w:r w:rsidR="00A320DD" w:rsidRPr="00DE7B00">
        <w:rPr>
          <w:rFonts w:asciiTheme="minorHAnsi" w:hAnsiTheme="minorHAnsi" w:cstheme="minorHAnsi"/>
          <w:color w:val="auto"/>
        </w:rPr>
        <w:t>LGA</w:t>
      </w:r>
      <w:proofErr w:type="spellEnd"/>
      <w:r w:rsidR="00A320DD" w:rsidRPr="00DE7B00">
        <w:rPr>
          <w:rFonts w:asciiTheme="minorHAnsi" w:hAnsiTheme="minorHAnsi" w:cstheme="minorHAnsi"/>
          <w:color w:val="auto"/>
        </w:rPr>
        <w:t xml:space="preserve"> (from 60 per cent to 51 per cent).</w:t>
      </w:r>
      <w:r w:rsidR="00520488" w:rsidRPr="00DE7B00">
        <w:rPr>
          <w:rFonts w:asciiTheme="minorHAnsi" w:hAnsiTheme="minorHAnsi" w:cstheme="minorHAnsi"/>
          <w:color w:val="auto"/>
        </w:rPr>
        <w:t xml:space="preserve"> </w:t>
      </w:r>
    </w:p>
    <w:p w:rsidR="001E09AB" w:rsidRPr="00857D83" w:rsidRDefault="001E09AB" w:rsidP="00DE7B00">
      <w:pPr>
        <w:pStyle w:val="ListParagraph"/>
        <w:numPr>
          <w:ilvl w:val="0"/>
          <w:numId w:val="7"/>
        </w:numPr>
        <w:spacing w:after="0" w:line="240" w:lineRule="auto"/>
        <w:jc w:val="both"/>
        <w:rPr>
          <w:rFonts w:asciiTheme="minorHAnsi" w:hAnsiTheme="minorHAnsi" w:cstheme="minorHAnsi"/>
        </w:rPr>
      </w:pPr>
      <w:r>
        <w:rPr>
          <w:rFonts w:asciiTheme="minorHAnsi" w:hAnsiTheme="minorHAnsi" w:cstheme="minorHAnsi"/>
          <w:color w:val="auto"/>
        </w:rPr>
        <w:t xml:space="preserve">Of those employers who recruited, only 33 per cent in the Ipswich </w:t>
      </w:r>
      <w:proofErr w:type="spellStart"/>
      <w:r>
        <w:rPr>
          <w:rFonts w:asciiTheme="minorHAnsi" w:hAnsiTheme="minorHAnsi" w:cstheme="minorHAnsi"/>
          <w:color w:val="auto"/>
        </w:rPr>
        <w:t>LGA</w:t>
      </w:r>
      <w:proofErr w:type="spellEnd"/>
      <w:r>
        <w:rPr>
          <w:rFonts w:asciiTheme="minorHAnsi" w:hAnsiTheme="minorHAnsi" w:cstheme="minorHAnsi"/>
          <w:color w:val="auto"/>
        </w:rPr>
        <w:t xml:space="preserve"> did so to increase staff numbers (down from 49 per cent in 2012) compared with </w:t>
      </w:r>
      <w:r w:rsidR="00706644">
        <w:rPr>
          <w:rFonts w:asciiTheme="minorHAnsi" w:hAnsiTheme="minorHAnsi" w:cstheme="minorHAnsi"/>
          <w:color w:val="auto"/>
        </w:rPr>
        <w:br/>
      </w:r>
      <w:r>
        <w:rPr>
          <w:rFonts w:asciiTheme="minorHAnsi" w:hAnsiTheme="minorHAnsi" w:cstheme="minorHAnsi"/>
          <w:color w:val="auto"/>
        </w:rPr>
        <w:t xml:space="preserve">42 per cent in the Logan </w:t>
      </w:r>
      <w:proofErr w:type="spellStart"/>
      <w:r>
        <w:rPr>
          <w:rFonts w:asciiTheme="minorHAnsi" w:hAnsiTheme="minorHAnsi" w:cstheme="minorHAnsi"/>
          <w:color w:val="auto"/>
        </w:rPr>
        <w:t>LGA</w:t>
      </w:r>
      <w:proofErr w:type="spellEnd"/>
      <w:r>
        <w:rPr>
          <w:rFonts w:asciiTheme="minorHAnsi" w:hAnsiTheme="minorHAnsi" w:cstheme="minorHAnsi"/>
          <w:color w:val="auto"/>
        </w:rPr>
        <w:t>.</w:t>
      </w:r>
    </w:p>
    <w:p w:rsidR="00857D83" w:rsidRPr="00166216" w:rsidRDefault="008C7B3E" w:rsidP="00857D83">
      <w:pPr>
        <w:pStyle w:val="Heading1"/>
        <w:rPr>
          <w:sz w:val="28"/>
        </w:rPr>
      </w:pPr>
      <w:bookmarkStart w:id="53" w:name="_Toc357778750"/>
      <w:r>
        <w:rPr>
          <w:sz w:val="28"/>
        </w:rPr>
        <w:t>T</w:t>
      </w:r>
      <w:r w:rsidR="00143D12">
        <w:rPr>
          <w:sz w:val="28"/>
        </w:rPr>
        <w:t xml:space="preserve">ravel outside </w:t>
      </w:r>
      <w:r>
        <w:rPr>
          <w:sz w:val="28"/>
        </w:rPr>
        <w:t xml:space="preserve">the region </w:t>
      </w:r>
      <w:r w:rsidR="00143D12">
        <w:rPr>
          <w:sz w:val="28"/>
        </w:rPr>
        <w:t>for work</w:t>
      </w:r>
      <w:bookmarkEnd w:id="53"/>
    </w:p>
    <w:p w:rsidR="009C101D" w:rsidRDefault="00857D83" w:rsidP="00857D83">
      <w:pPr>
        <w:spacing w:after="0" w:line="240" w:lineRule="auto"/>
        <w:contextualSpacing/>
        <w:jc w:val="both"/>
        <w:rPr>
          <w:rFonts w:cstheme="minorHAnsi"/>
          <w:sz w:val="24"/>
        </w:rPr>
      </w:pPr>
      <w:r w:rsidRPr="00857D83">
        <w:rPr>
          <w:rFonts w:cstheme="minorHAnsi"/>
          <w:sz w:val="24"/>
        </w:rPr>
        <w:t xml:space="preserve">Just over half (51 per cent) of </w:t>
      </w:r>
      <w:r>
        <w:rPr>
          <w:rFonts w:cstheme="minorHAnsi"/>
          <w:sz w:val="24"/>
        </w:rPr>
        <w:t>employed people of working age in the combined</w:t>
      </w:r>
      <w:r w:rsidR="00E538EE">
        <w:rPr>
          <w:rFonts w:cstheme="minorHAnsi"/>
          <w:sz w:val="24"/>
        </w:rPr>
        <w:t xml:space="preserve"> Ipswich and Logan </w:t>
      </w:r>
      <w:proofErr w:type="spellStart"/>
      <w:r w:rsidR="00E538EE">
        <w:rPr>
          <w:rFonts w:cstheme="minorHAnsi"/>
          <w:sz w:val="24"/>
        </w:rPr>
        <w:t>LGAs</w:t>
      </w:r>
      <w:proofErr w:type="spellEnd"/>
      <w:r w:rsidR="00E538EE">
        <w:rPr>
          <w:rFonts w:cstheme="minorHAnsi"/>
          <w:sz w:val="24"/>
        </w:rPr>
        <w:t xml:space="preserve"> work outside these </w:t>
      </w:r>
      <w:proofErr w:type="spellStart"/>
      <w:r w:rsidR="00E538EE">
        <w:rPr>
          <w:rFonts w:cstheme="minorHAnsi"/>
          <w:sz w:val="24"/>
        </w:rPr>
        <w:t>LGAs</w:t>
      </w:r>
      <w:proofErr w:type="spellEnd"/>
      <w:r w:rsidR="0075375E">
        <w:rPr>
          <w:rFonts w:cstheme="minorHAnsi"/>
          <w:sz w:val="24"/>
        </w:rPr>
        <w:t xml:space="preserve">, with the Brisbane (43 per cent) and Gold Coast (4 per cent) </w:t>
      </w:r>
      <w:proofErr w:type="spellStart"/>
      <w:r w:rsidR="0075375E">
        <w:rPr>
          <w:rFonts w:cstheme="minorHAnsi"/>
          <w:sz w:val="24"/>
        </w:rPr>
        <w:t>LGAs</w:t>
      </w:r>
      <w:proofErr w:type="spellEnd"/>
      <w:r w:rsidR="0075375E">
        <w:rPr>
          <w:rFonts w:cstheme="minorHAnsi"/>
          <w:sz w:val="24"/>
        </w:rPr>
        <w:t xml:space="preserve"> being the most common destinations</w:t>
      </w:r>
      <w:r w:rsidR="00E538EE">
        <w:rPr>
          <w:rFonts w:cstheme="minorHAnsi"/>
          <w:sz w:val="24"/>
        </w:rPr>
        <w:t xml:space="preserve">. </w:t>
      </w:r>
      <w:r w:rsidR="00083669" w:rsidRPr="00501674">
        <w:rPr>
          <w:rFonts w:cstheme="minorHAnsi"/>
          <w:sz w:val="24"/>
        </w:rPr>
        <w:t xml:space="preserve">By contrast, 33 per cent of the employed working age population who work in the combined Ipswich and Logan </w:t>
      </w:r>
      <w:proofErr w:type="spellStart"/>
      <w:r w:rsidR="00083669" w:rsidRPr="00501674">
        <w:rPr>
          <w:rFonts w:cstheme="minorHAnsi"/>
          <w:sz w:val="24"/>
        </w:rPr>
        <w:t>LGAs</w:t>
      </w:r>
      <w:proofErr w:type="spellEnd"/>
      <w:r w:rsidR="00083669" w:rsidRPr="00501674">
        <w:rPr>
          <w:rFonts w:cstheme="minorHAnsi"/>
          <w:sz w:val="24"/>
        </w:rPr>
        <w:t xml:space="preserve"> travel from outside these </w:t>
      </w:r>
      <w:proofErr w:type="spellStart"/>
      <w:r w:rsidR="00083669" w:rsidRPr="00501674">
        <w:rPr>
          <w:rFonts w:cstheme="minorHAnsi"/>
          <w:sz w:val="24"/>
        </w:rPr>
        <w:t>LGAs</w:t>
      </w:r>
      <w:proofErr w:type="spellEnd"/>
      <w:r w:rsidR="00083669" w:rsidRPr="00501674">
        <w:rPr>
          <w:rFonts w:cstheme="minorHAnsi"/>
          <w:sz w:val="24"/>
        </w:rPr>
        <w:t xml:space="preserve"> to work</w:t>
      </w:r>
      <w:r w:rsidR="0075375E">
        <w:rPr>
          <w:rFonts w:cstheme="minorHAnsi"/>
          <w:sz w:val="24"/>
        </w:rPr>
        <w:t xml:space="preserve">, mostly from the Brisbane (19 per cent) and Gold Coast (6 per cent) </w:t>
      </w:r>
      <w:proofErr w:type="spellStart"/>
      <w:r w:rsidR="0075375E">
        <w:rPr>
          <w:rFonts w:cstheme="minorHAnsi"/>
          <w:sz w:val="24"/>
        </w:rPr>
        <w:t>LGAs</w:t>
      </w:r>
      <w:proofErr w:type="spellEnd"/>
      <w:r w:rsidR="00083669" w:rsidRPr="00501674">
        <w:rPr>
          <w:rFonts w:cstheme="minorHAnsi"/>
          <w:sz w:val="24"/>
        </w:rPr>
        <w:t>.</w:t>
      </w:r>
      <w:r w:rsidR="00083669">
        <w:rPr>
          <w:rStyle w:val="FootnoteReference"/>
          <w:rFonts w:cstheme="minorHAnsi"/>
          <w:sz w:val="24"/>
        </w:rPr>
        <w:footnoteReference w:id="8"/>
      </w:r>
      <w:r w:rsidR="00083669" w:rsidRPr="00501674">
        <w:rPr>
          <w:rFonts w:cstheme="minorHAnsi"/>
          <w:sz w:val="24"/>
        </w:rPr>
        <w:t xml:space="preserve">  </w:t>
      </w:r>
    </w:p>
    <w:p w:rsidR="00501674" w:rsidRPr="00501674" w:rsidRDefault="00501674" w:rsidP="00501674">
      <w:pPr>
        <w:pStyle w:val="ListParagraph"/>
        <w:numPr>
          <w:ilvl w:val="0"/>
          <w:numId w:val="11"/>
        </w:numPr>
        <w:spacing w:after="0" w:line="240" w:lineRule="auto"/>
        <w:jc w:val="both"/>
        <w:rPr>
          <w:rFonts w:cstheme="minorHAnsi"/>
        </w:rPr>
      </w:pPr>
      <w:r>
        <w:rPr>
          <w:rFonts w:asciiTheme="minorHAnsi" w:hAnsiTheme="minorHAnsi" w:cstheme="minorHAnsi"/>
          <w:color w:val="auto"/>
        </w:rPr>
        <w:t xml:space="preserve">Of the employed working age population who live in the combined Ipswich and Logan </w:t>
      </w:r>
      <w:proofErr w:type="spellStart"/>
      <w:r>
        <w:rPr>
          <w:rFonts w:asciiTheme="minorHAnsi" w:hAnsiTheme="minorHAnsi" w:cstheme="minorHAnsi"/>
          <w:color w:val="auto"/>
        </w:rPr>
        <w:t>LGAs</w:t>
      </w:r>
      <w:proofErr w:type="spellEnd"/>
      <w:r>
        <w:rPr>
          <w:rFonts w:asciiTheme="minorHAnsi" w:hAnsiTheme="minorHAnsi" w:cstheme="minorHAnsi"/>
          <w:color w:val="auto"/>
        </w:rPr>
        <w:t xml:space="preserve"> but work elsewhere, the most common occupation groups were Machinery Operators and Drivers (61 per cent) and Clerical and Administrative Workers (59 per cent).</w:t>
      </w:r>
      <w:r w:rsidR="00083669">
        <w:rPr>
          <w:rStyle w:val="FootnoteReference"/>
          <w:rFonts w:asciiTheme="minorHAnsi" w:hAnsiTheme="minorHAnsi" w:cstheme="minorHAnsi"/>
          <w:color w:val="auto"/>
        </w:rPr>
        <w:footnoteReference w:id="9"/>
      </w:r>
    </w:p>
    <w:p w:rsidR="00501674" w:rsidRPr="004379C4" w:rsidRDefault="00501674" w:rsidP="004379C4">
      <w:pPr>
        <w:pStyle w:val="ListParagraph"/>
        <w:numPr>
          <w:ilvl w:val="0"/>
          <w:numId w:val="11"/>
        </w:numPr>
        <w:spacing w:after="0" w:line="240" w:lineRule="auto"/>
        <w:jc w:val="both"/>
        <w:rPr>
          <w:rFonts w:cstheme="minorHAnsi"/>
          <w:szCs w:val="24"/>
        </w:rPr>
      </w:pPr>
      <w:r>
        <w:rPr>
          <w:rFonts w:asciiTheme="minorHAnsi" w:hAnsiTheme="minorHAnsi" w:cstheme="minorHAnsi"/>
          <w:color w:val="auto"/>
        </w:rPr>
        <w:t>Of the employed working ag</w:t>
      </w:r>
      <w:r w:rsidR="00655013">
        <w:rPr>
          <w:rFonts w:asciiTheme="minorHAnsi" w:hAnsiTheme="minorHAnsi" w:cstheme="minorHAnsi"/>
          <w:color w:val="auto"/>
        </w:rPr>
        <w:t>e population who work</w:t>
      </w:r>
      <w:r>
        <w:rPr>
          <w:rFonts w:asciiTheme="minorHAnsi" w:hAnsiTheme="minorHAnsi" w:cstheme="minorHAnsi"/>
          <w:color w:val="auto"/>
        </w:rPr>
        <w:t xml:space="preserve"> in the combined Ipswich and Logan </w:t>
      </w:r>
      <w:proofErr w:type="spellStart"/>
      <w:r>
        <w:rPr>
          <w:rFonts w:asciiTheme="minorHAnsi" w:hAnsiTheme="minorHAnsi" w:cstheme="minorHAnsi"/>
          <w:color w:val="auto"/>
        </w:rPr>
        <w:t>LGAs</w:t>
      </w:r>
      <w:proofErr w:type="spellEnd"/>
      <w:r>
        <w:rPr>
          <w:rFonts w:asciiTheme="minorHAnsi" w:hAnsiTheme="minorHAnsi" w:cstheme="minorHAnsi"/>
          <w:color w:val="auto"/>
        </w:rPr>
        <w:t xml:space="preserve"> but </w:t>
      </w:r>
      <w:r w:rsidR="00655013">
        <w:rPr>
          <w:rFonts w:asciiTheme="minorHAnsi" w:hAnsiTheme="minorHAnsi" w:cstheme="minorHAnsi"/>
          <w:color w:val="auto"/>
        </w:rPr>
        <w:t xml:space="preserve">live elsewhere, the most common occupation groups were Professionals (49 </w:t>
      </w:r>
      <w:r w:rsidR="00655013" w:rsidRPr="004379C4">
        <w:rPr>
          <w:rFonts w:asciiTheme="minorHAnsi" w:hAnsiTheme="minorHAnsi" w:cstheme="minorHAnsi"/>
          <w:color w:val="auto"/>
          <w:szCs w:val="24"/>
        </w:rPr>
        <w:t>per cent) and Managers (43 per cent)</w:t>
      </w:r>
      <w:r w:rsidR="00083669">
        <w:rPr>
          <w:rFonts w:asciiTheme="minorHAnsi" w:hAnsiTheme="minorHAnsi" w:cstheme="minorHAnsi"/>
          <w:color w:val="auto"/>
          <w:szCs w:val="24"/>
        </w:rPr>
        <w:t>.</w:t>
      </w:r>
      <w:r w:rsidR="00083669">
        <w:rPr>
          <w:rStyle w:val="FootnoteReference"/>
          <w:rFonts w:asciiTheme="minorHAnsi" w:hAnsiTheme="minorHAnsi" w:cstheme="minorHAnsi"/>
          <w:color w:val="auto"/>
          <w:szCs w:val="24"/>
        </w:rPr>
        <w:footnoteReference w:id="10"/>
      </w:r>
    </w:p>
    <w:p w:rsidR="004379C4" w:rsidRPr="004379C4" w:rsidRDefault="004379C4" w:rsidP="004379C4">
      <w:pPr>
        <w:spacing w:after="0" w:line="240" w:lineRule="auto"/>
        <w:contextualSpacing/>
        <w:jc w:val="both"/>
        <w:rPr>
          <w:rFonts w:cstheme="minorHAnsi"/>
          <w:sz w:val="24"/>
        </w:rPr>
      </w:pPr>
      <w:r>
        <w:rPr>
          <w:rFonts w:cstheme="minorHAnsi"/>
          <w:sz w:val="24"/>
        </w:rPr>
        <w:t xml:space="preserve">This suggests that there may be limited vacancies for lower to medium skilled workers in these </w:t>
      </w:r>
      <w:proofErr w:type="spellStart"/>
      <w:r>
        <w:rPr>
          <w:rFonts w:cstheme="minorHAnsi"/>
          <w:sz w:val="24"/>
        </w:rPr>
        <w:t>LGAs</w:t>
      </w:r>
      <w:proofErr w:type="spellEnd"/>
      <w:r>
        <w:rPr>
          <w:rFonts w:cstheme="minorHAnsi"/>
          <w:sz w:val="24"/>
        </w:rPr>
        <w:t>, while employers may strugg</w:t>
      </w:r>
      <w:r w:rsidR="00CE67E7">
        <w:rPr>
          <w:rFonts w:cstheme="minorHAnsi"/>
          <w:sz w:val="24"/>
        </w:rPr>
        <w:t xml:space="preserve">le to fill vacancies for higher </w:t>
      </w:r>
      <w:r>
        <w:rPr>
          <w:rFonts w:cstheme="minorHAnsi"/>
          <w:sz w:val="24"/>
        </w:rPr>
        <w:t>skilled vacancies with local applicants.</w:t>
      </w:r>
    </w:p>
    <w:p w:rsidR="00D05D47" w:rsidRPr="00C74722" w:rsidRDefault="00D05D47" w:rsidP="00D05D47">
      <w:pPr>
        <w:pStyle w:val="Heading1"/>
        <w:rPr>
          <w:sz w:val="28"/>
        </w:rPr>
      </w:pPr>
      <w:bookmarkStart w:id="54" w:name="_Toc357778751"/>
      <w:r w:rsidRPr="00CD25F5">
        <w:rPr>
          <w:sz w:val="28"/>
        </w:rPr>
        <w:t>The Future</w:t>
      </w:r>
      <w:bookmarkEnd w:id="54"/>
      <w:r w:rsidRPr="00CD25F5">
        <w:rPr>
          <w:sz w:val="28"/>
        </w:rPr>
        <w:t xml:space="preserve"> </w:t>
      </w:r>
    </w:p>
    <w:p w:rsidR="00D05D47" w:rsidRDefault="00D05D47" w:rsidP="00D05D47">
      <w:pPr>
        <w:spacing w:before="0" w:after="0" w:line="240" w:lineRule="auto"/>
        <w:ind w:right="54"/>
        <w:contextualSpacing/>
        <w:rPr>
          <w:rFonts w:cstheme="minorHAnsi"/>
          <w:sz w:val="24"/>
        </w:rPr>
      </w:pPr>
      <w:r>
        <w:rPr>
          <w:rFonts w:cstheme="minorHAnsi"/>
          <w:sz w:val="24"/>
        </w:rPr>
        <w:t>Employers’ recruitment expec</w:t>
      </w:r>
      <w:r w:rsidR="008C7B3E">
        <w:rPr>
          <w:rFonts w:cstheme="minorHAnsi"/>
          <w:sz w:val="24"/>
        </w:rPr>
        <w:t>tations for the year</w:t>
      </w:r>
      <w:r>
        <w:rPr>
          <w:rFonts w:cstheme="minorHAnsi"/>
          <w:sz w:val="24"/>
        </w:rPr>
        <w:t xml:space="preserve"> following the survey were subdued compared with January 2012.</w:t>
      </w:r>
    </w:p>
    <w:p w:rsidR="00C77AEA" w:rsidRPr="00CE5498" w:rsidRDefault="00D05D47" w:rsidP="00C77AEA">
      <w:pPr>
        <w:pStyle w:val="ListParagraph"/>
        <w:numPr>
          <w:ilvl w:val="0"/>
          <w:numId w:val="7"/>
        </w:numPr>
        <w:spacing w:after="0" w:line="240" w:lineRule="auto"/>
        <w:jc w:val="both"/>
        <w:rPr>
          <w:rFonts w:asciiTheme="minorHAnsi" w:hAnsiTheme="minorHAnsi" w:cstheme="minorHAnsi"/>
        </w:rPr>
      </w:pPr>
      <w:r w:rsidRPr="00CE5498">
        <w:rPr>
          <w:rFonts w:asciiTheme="minorHAnsi" w:hAnsiTheme="minorHAnsi" w:cstheme="minorHAnsi"/>
          <w:color w:val="auto"/>
        </w:rPr>
        <w:t>A substantially lower proportion of employers (39 per cent) expected to recruit in the year following the survey compared with the previous survey (55 per cent).</w:t>
      </w:r>
      <w:r w:rsidR="0013403C" w:rsidRPr="00CE5498">
        <w:rPr>
          <w:rFonts w:asciiTheme="minorHAnsi" w:hAnsiTheme="minorHAnsi" w:cstheme="minorHAnsi"/>
          <w:color w:val="auto"/>
        </w:rPr>
        <w:t xml:space="preserve"> In addition, t</w:t>
      </w:r>
      <w:r w:rsidRPr="00CE5498">
        <w:rPr>
          <w:rFonts w:asciiTheme="minorHAnsi" w:hAnsiTheme="minorHAnsi" w:cstheme="minorHAnsi"/>
          <w:color w:val="auto"/>
        </w:rPr>
        <w:t>he proportion of employers who expected to increase staff numbers had also decreased from 27 per cent to 19 per cent.</w:t>
      </w:r>
    </w:p>
    <w:p w:rsidR="00574D1C" w:rsidRPr="00C77AEA" w:rsidRDefault="0013403C" w:rsidP="00574D1C">
      <w:pPr>
        <w:pStyle w:val="ListParagraph"/>
        <w:numPr>
          <w:ilvl w:val="0"/>
          <w:numId w:val="7"/>
        </w:numPr>
        <w:spacing w:after="0" w:line="240" w:lineRule="auto"/>
        <w:jc w:val="both"/>
        <w:rPr>
          <w:rFonts w:asciiTheme="minorHAnsi" w:hAnsiTheme="minorHAnsi" w:cstheme="minorHAnsi"/>
        </w:rPr>
      </w:pPr>
      <w:r>
        <w:rPr>
          <w:rFonts w:asciiTheme="minorHAnsi" w:hAnsiTheme="minorHAnsi" w:cstheme="minorHAnsi"/>
          <w:color w:val="auto"/>
        </w:rPr>
        <w:t>While t</w:t>
      </w:r>
      <w:r w:rsidR="003B7869">
        <w:rPr>
          <w:rFonts w:asciiTheme="minorHAnsi" w:hAnsiTheme="minorHAnsi" w:cstheme="minorHAnsi"/>
          <w:color w:val="auto"/>
        </w:rPr>
        <w:t>he proportion of employers who expected challenges (46 per cent) was similar to the previou</w:t>
      </w:r>
      <w:r>
        <w:rPr>
          <w:rFonts w:asciiTheme="minorHAnsi" w:hAnsiTheme="minorHAnsi" w:cstheme="minorHAnsi"/>
          <w:color w:val="auto"/>
        </w:rPr>
        <w:t>s survey,</w:t>
      </w:r>
      <w:r w:rsidR="003B7869">
        <w:rPr>
          <w:rFonts w:asciiTheme="minorHAnsi" w:hAnsiTheme="minorHAnsi" w:cstheme="minorHAnsi"/>
          <w:color w:val="auto"/>
        </w:rPr>
        <w:t xml:space="preserve"> reduced business activity was a greater concern among employers than previously, having increased from 33 per cent to </w:t>
      </w:r>
      <w:r w:rsidR="00706644">
        <w:rPr>
          <w:rFonts w:asciiTheme="minorHAnsi" w:hAnsiTheme="minorHAnsi" w:cstheme="minorHAnsi"/>
          <w:color w:val="auto"/>
        </w:rPr>
        <w:br/>
      </w:r>
      <w:r w:rsidR="003B7869">
        <w:rPr>
          <w:rFonts w:asciiTheme="minorHAnsi" w:hAnsiTheme="minorHAnsi" w:cstheme="minorHAnsi"/>
          <w:color w:val="auto"/>
        </w:rPr>
        <w:t>50 per cent.</w:t>
      </w:r>
    </w:p>
    <w:p w:rsidR="003F7908" w:rsidRPr="00CD25F5" w:rsidRDefault="008C7B3E" w:rsidP="003F7908">
      <w:pPr>
        <w:pStyle w:val="Heading1"/>
        <w:rPr>
          <w:sz w:val="28"/>
        </w:rPr>
      </w:pPr>
      <w:bookmarkStart w:id="55" w:name="_Toc357778752"/>
      <w:r>
        <w:rPr>
          <w:sz w:val="28"/>
        </w:rPr>
        <w:lastRenderedPageBreak/>
        <w:t>Where are the jobs?</w:t>
      </w:r>
      <w:bookmarkEnd w:id="55"/>
    </w:p>
    <w:p w:rsidR="003F7908" w:rsidRPr="00810A91" w:rsidRDefault="00810A91" w:rsidP="00F27355">
      <w:pPr>
        <w:spacing w:after="200" w:line="240" w:lineRule="auto"/>
        <w:contextualSpacing/>
        <w:jc w:val="both"/>
        <w:rPr>
          <w:rFonts w:cstheme="minorHAnsi"/>
          <w:sz w:val="24"/>
        </w:rPr>
      </w:pPr>
      <w:r w:rsidRPr="00810A91">
        <w:rPr>
          <w:rFonts w:cstheme="minorHAnsi"/>
          <w:sz w:val="24"/>
        </w:rPr>
        <w:t xml:space="preserve">Despite the weakness in recruitment activity, opportunities for job seekers </w:t>
      </w:r>
      <w:r w:rsidR="000D1C0B">
        <w:rPr>
          <w:rFonts w:cstheme="minorHAnsi"/>
          <w:sz w:val="24"/>
        </w:rPr>
        <w:t>exist in those industries which have experienced</w:t>
      </w:r>
      <w:r w:rsidR="00F27355">
        <w:rPr>
          <w:rFonts w:cstheme="minorHAnsi"/>
          <w:sz w:val="24"/>
        </w:rPr>
        <w:t xml:space="preserve"> employment</w:t>
      </w:r>
      <w:r w:rsidR="000D1C0B">
        <w:rPr>
          <w:rFonts w:cstheme="minorHAnsi"/>
          <w:sz w:val="24"/>
        </w:rPr>
        <w:t xml:space="preserve"> growth</w:t>
      </w:r>
      <w:r w:rsidR="00F27355">
        <w:rPr>
          <w:rFonts w:cstheme="minorHAnsi"/>
          <w:sz w:val="24"/>
        </w:rPr>
        <w:t>,</w:t>
      </w:r>
      <w:r w:rsidR="000D1C0B">
        <w:rPr>
          <w:rFonts w:cstheme="minorHAnsi"/>
          <w:sz w:val="24"/>
        </w:rPr>
        <w:t xml:space="preserve"> and where employers’ recrui</w:t>
      </w:r>
      <w:r w:rsidR="004E78FE">
        <w:rPr>
          <w:rFonts w:cstheme="minorHAnsi"/>
          <w:sz w:val="24"/>
        </w:rPr>
        <w:t>tment outlook is more positive, particularly the Health Care and Social Assistance industry.</w:t>
      </w:r>
      <w:r w:rsidR="00F27355">
        <w:rPr>
          <w:rFonts w:cstheme="minorHAnsi"/>
          <w:sz w:val="24"/>
        </w:rPr>
        <w:t xml:space="preserve"> </w:t>
      </w:r>
      <w:r w:rsidR="00F27355" w:rsidRPr="004E78FE">
        <w:rPr>
          <w:rFonts w:cstheme="minorHAnsi"/>
          <w:sz w:val="24"/>
        </w:rPr>
        <w:t>Likewise, there are also opportunities in those occupations with low numbers of suitable applicants and which employers found difficult to fill.</w:t>
      </w:r>
    </w:p>
    <w:p w:rsidR="00810A91" w:rsidRPr="00CE67E7" w:rsidRDefault="00810A91" w:rsidP="00CE67E7">
      <w:pPr>
        <w:pStyle w:val="ListParagraph"/>
        <w:numPr>
          <w:ilvl w:val="0"/>
          <w:numId w:val="7"/>
        </w:numPr>
        <w:spacing w:after="200" w:line="240" w:lineRule="auto"/>
        <w:jc w:val="both"/>
        <w:rPr>
          <w:rFonts w:eastAsiaTheme="minorEastAsia" w:cstheme="minorBidi"/>
        </w:rPr>
      </w:pPr>
      <w:r>
        <w:rPr>
          <w:rFonts w:asciiTheme="minorHAnsi" w:hAnsiTheme="minorHAnsi" w:cstheme="minorHAnsi"/>
          <w:color w:val="auto"/>
        </w:rPr>
        <w:t>Employment in the Health Care and Social Ass</w:t>
      </w:r>
      <w:r w:rsidR="00480F66">
        <w:rPr>
          <w:rFonts w:asciiTheme="minorHAnsi" w:hAnsiTheme="minorHAnsi" w:cstheme="minorHAnsi"/>
          <w:color w:val="auto"/>
        </w:rPr>
        <w:t xml:space="preserve">istance industry increased by </w:t>
      </w:r>
      <w:r w:rsidR="00706644">
        <w:rPr>
          <w:rFonts w:asciiTheme="minorHAnsi" w:hAnsiTheme="minorHAnsi" w:cstheme="minorHAnsi"/>
          <w:color w:val="auto"/>
        </w:rPr>
        <w:br/>
      </w:r>
      <w:r w:rsidR="00480F66">
        <w:rPr>
          <w:rFonts w:asciiTheme="minorHAnsi" w:hAnsiTheme="minorHAnsi" w:cstheme="minorHAnsi"/>
          <w:color w:val="auto"/>
        </w:rPr>
        <w:t>27</w:t>
      </w:r>
      <w:r>
        <w:rPr>
          <w:rFonts w:asciiTheme="minorHAnsi" w:hAnsiTheme="minorHAnsi" w:cstheme="minorHAnsi"/>
          <w:color w:val="auto"/>
        </w:rPr>
        <w:t xml:space="preserve"> per cent between 2006 and 2011.</w:t>
      </w:r>
      <w:r>
        <w:rPr>
          <w:rStyle w:val="FootnoteReference"/>
          <w:rFonts w:asciiTheme="minorHAnsi" w:hAnsiTheme="minorHAnsi" w:cstheme="minorHAnsi"/>
          <w:color w:val="auto"/>
        </w:rPr>
        <w:footnoteReference w:id="11"/>
      </w:r>
      <w:r>
        <w:rPr>
          <w:rFonts w:asciiTheme="minorHAnsi" w:hAnsiTheme="minorHAnsi" w:cstheme="minorHAnsi"/>
          <w:color w:val="auto"/>
        </w:rPr>
        <w:t xml:space="preserve"> </w:t>
      </w:r>
      <w:r w:rsidR="004E0C66" w:rsidRPr="00CE67E7">
        <w:rPr>
          <w:rFonts w:asciiTheme="minorHAnsi" w:hAnsiTheme="minorHAnsi" w:cstheme="minorHAnsi"/>
          <w:color w:val="auto"/>
        </w:rPr>
        <w:t>R</w:t>
      </w:r>
      <w:r w:rsidR="00CE67E7" w:rsidRPr="00CE67E7">
        <w:rPr>
          <w:rFonts w:asciiTheme="minorHAnsi" w:hAnsiTheme="minorHAnsi" w:cstheme="minorHAnsi"/>
          <w:color w:val="auto"/>
        </w:rPr>
        <w:t>ecruitment activity in this</w:t>
      </w:r>
      <w:r w:rsidRPr="00CE67E7">
        <w:rPr>
          <w:rFonts w:asciiTheme="minorHAnsi" w:hAnsiTheme="minorHAnsi" w:cstheme="minorHAnsi"/>
          <w:color w:val="auto"/>
        </w:rPr>
        <w:t xml:space="preserve"> industry</w:t>
      </w:r>
      <w:r w:rsidR="00CE67E7">
        <w:rPr>
          <w:rFonts w:asciiTheme="minorHAnsi" w:hAnsiTheme="minorHAnsi" w:cstheme="minorHAnsi"/>
          <w:color w:val="auto"/>
        </w:rPr>
        <w:t xml:space="preserve"> has been</w:t>
      </w:r>
      <w:r w:rsidR="00BD4AEC" w:rsidRPr="00CE67E7">
        <w:rPr>
          <w:rFonts w:asciiTheme="minorHAnsi" w:hAnsiTheme="minorHAnsi" w:cstheme="minorHAnsi"/>
          <w:color w:val="auto"/>
        </w:rPr>
        <w:t xml:space="preserve"> strong rel</w:t>
      </w:r>
      <w:r w:rsidR="00CE67E7">
        <w:rPr>
          <w:rFonts w:asciiTheme="minorHAnsi" w:hAnsiTheme="minorHAnsi" w:cstheme="minorHAnsi"/>
          <w:color w:val="auto"/>
        </w:rPr>
        <w:t>ative to other major industries and has</w:t>
      </w:r>
      <w:r w:rsidR="00C356DE" w:rsidRPr="00CE67E7">
        <w:rPr>
          <w:rFonts w:asciiTheme="minorHAnsi" w:hAnsiTheme="minorHAnsi" w:cstheme="minorHAnsi"/>
          <w:color w:val="auto"/>
        </w:rPr>
        <w:t xml:space="preserve"> a high proportion of e</w:t>
      </w:r>
      <w:r w:rsidR="00F27355" w:rsidRPr="00CE67E7">
        <w:rPr>
          <w:rFonts w:asciiTheme="minorHAnsi" w:hAnsiTheme="minorHAnsi" w:cstheme="minorHAnsi"/>
          <w:color w:val="auto"/>
        </w:rPr>
        <w:t>mployer</w:t>
      </w:r>
      <w:r w:rsidR="00CE67E7">
        <w:rPr>
          <w:rFonts w:asciiTheme="minorHAnsi" w:hAnsiTheme="minorHAnsi" w:cstheme="minorHAnsi"/>
          <w:color w:val="auto"/>
        </w:rPr>
        <w:t>s who expected to recruit</w:t>
      </w:r>
      <w:r w:rsidR="005A3486">
        <w:rPr>
          <w:rFonts w:asciiTheme="minorHAnsi" w:hAnsiTheme="minorHAnsi" w:cstheme="minorHAnsi"/>
          <w:color w:val="auto"/>
        </w:rPr>
        <w:t xml:space="preserve"> (53 per cent) compared with</w:t>
      </w:r>
      <w:r w:rsidR="00C356DE" w:rsidRPr="00CE67E7">
        <w:rPr>
          <w:rFonts w:asciiTheme="minorHAnsi" w:hAnsiTheme="minorHAnsi" w:cstheme="minorHAnsi"/>
          <w:color w:val="auto"/>
        </w:rPr>
        <w:t xml:space="preserve"> the avera</w:t>
      </w:r>
      <w:r w:rsidR="004E0C66" w:rsidRPr="00CE67E7">
        <w:rPr>
          <w:rFonts w:asciiTheme="minorHAnsi" w:hAnsiTheme="minorHAnsi" w:cstheme="minorHAnsi"/>
          <w:color w:val="auto"/>
        </w:rPr>
        <w:t xml:space="preserve">ge of all industries in the PEA </w:t>
      </w:r>
      <w:r w:rsidR="00C356DE" w:rsidRPr="00CE67E7">
        <w:rPr>
          <w:rFonts w:asciiTheme="minorHAnsi" w:hAnsiTheme="minorHAnsi" w:cstheme="minorHAnsi"/>
          <w:color w:val="auto"/>
        </w:rPr>
        <w:t>(39 per cent).</w:t>
      </w:r>
      <w:r w:rsidR="00BD4AEC" w:rsidRPr="00CE67E7">
        <w:rPr>
          <w:rFonts w:asciiTheme="minorHAnsi" w:hAnsiTheme="minorHAnsi" w:cstheme="minorHAnsi"/>
          <w:color w:val="auto"/>
        </w:rPr>
        <w:t xml:space="preserve"> </w:t>
      </w:r>
    </w:p>
    <w:p w:rsidR="00C356DE" w:rsidRPr="004E78FE" w:rsidRDefault="00C356DE" w:rsidP="004E78FE">
      <w:pPr>
        <w:pStyle w:val="ListParagraph"/>
        <w:numPr>
          <w:ilvl w:val="0"/>
          <w:numId w:val="7"/>
        </w:numPr>
        <w:spacing w:after="200" w:line="240" w:lineRule="auto"/>
        <w:jc w:val="both"/>
        <w:rPr>
          <w:rFonts w:eastAsiaTheme="minorEastAsia" w:cstheme="minorBidi"/>
          <w:szCs w:val="24"/>
        </w:rPr>
      </w:pPr>
      <w:r>
        <w:rPr>
          <w:rFonts w:asciiTheme="minorHAnsi" w:hAnsiTheme="minorHAnsi" w:cstheme="minorHAnsi"/>
          <w:color w:val="auto"/>
        </w:rPr>
        <w:t xml:space="preserve">Recruitment expectations were also strong in the Accommodation and Food Services industry, where a relatively high proportion of employers expected to recruit (59 per </w:t>
      </w:r>
      <w:r w:rsidRPr="004E78FE">
        <w:rPr>
          <w:rFonts w:asciiTheme="minorHAnsi" w:hAnsiTheme="minorHAnsi" w:cstheme="minorHAnsi"/>
          <w:color w:val="auto"/>
          <w:szCs w:val="24"/>
        </w:rPr>
        <w:t>cent) or increase staff (38 per cent).</w:t>
      </w:r>
    </w:p>
    <w:p w:rsidR="000D1C0B" w:rsidRPr="004E78FE" w:rsidRDefault="004E0C66" w:rsidP="004E78FE">
      <w:pPr>
        <w:pStyle w:val="ListParagraph"/>
        <w:numPr>
          <w:ilvl w:val="0"/>
          <w:numId w:val="10"/>
        </w:numPr>
        <w:spacing w:after="200" w:line="240" w:lineRule="auto"/>
        <w:jc w:val="both"/>
        <w:rPr>
          <w:rFonts w:asciiTheme="minorHAnsi" w:hAnsiTheme="minorHAnsi" w:cstheme="minorHAnsi"/>
          <w:color w:val="auto"/>
        </w:rPr>
      </w:pPr>
      <w:r>
        <w:rPr>
          <w:rFonts w:asciiTheme="minorHAnsi" w:hAnsiTheme="minorHAnsi" w:cstheme="minorHAnsi"/>
          <w:color w:val="auto"/>
        </w:rPr>
        <w:t>D</w:t>
      </w:r>
      <w:r w:rsidR="005B4835" w:rsidRPr="004E78FE">
        <w:rPr>
          <w:rFonts w:asciiTheme="minorHAnsi" w:hAnsiTheme="minorHAnsi" w:cstheme="minorHAnsi"/>
          <w:color w:val="auto"/>
        </w:rPr>
        <w:t>emand for Technicians and Trades Workers remained high</w:t>
      </w:r>
      <w:r w:rsidR="00CE5498">
        <w:rPr>
          <w:rFonts w:asciiTheme="minorHAnsi" w:hAnsiTheme="minorHAnsi" w:cstheme="minorHAnsi"/>
          <w:color w:val="auto"/>
        </w:rPr>
        <w:t>, with a high proportion of unfilled vacancies</w:t>
      </w:r>
      <w:r>
        <w:rPr>
          <w:rFonts w:asciiTheme="minorHAnsi" w:hAnsiTheme="minorHAnsi" w:cstheme="minorHAnsi"/>
          <w:color w:val="auto"/>
        </w:rPr>
        <w:t xml:space="preserve"> (8.8 per cent) compared with the proportion of unfilled vacancies for all occupations</w:t>
      </w:r>
      <w:r w:rsidR="005B4835" w:rsidRPr="004E78FE">
        <w:rPr>
          <w:rFonts w:asciiTheme="minorHAnsi" w:hAnsiTheme="minorHAnsi" w:cstheme="minorHAnsi"/>
          <w:color w:val="auto"/>
        </w:rPr>
        <w:t xml:space="preserve"> (3.7 per</w:t>
      </w:r>
      <w:r w:rsidR="004379C4">
        <w:rPr>
          <w:rFonts w:asciiTheme="minorHAnsi" w:hAnsiTheme="minorHAnsi" w:cstheme="minorHAnsi"/>
          <w:color w:val="auto"/>
        </w:rPr>
        <w:t xml:space="preserve"> c</w:t>
      </w:r>
      <w:r w:rsidR="00CE5498">
        <w:rPr>
          <w:rFonts w:asciiTheme="minorHAnsi" w:hAnsiTheme="minorHAnsi" w:cstheme="minorHAnsi"/>
          <w:color w:val="auto"/>
        </w:rPr>
        <w:t>ent)</w:t>
      </w:r>
      <w:r w:rsidR="00EA0152">
        <w:rPr>
          <w:rFonts w:asciiTheme="minorHAnsi" w:hAnsiTheme="minorHAnsi" w:cstheme="minorHAnsi"/>
          <w:color w:val="auto"/>
        </w:rPr>
        <w:t>. V</w:t>
      </w:r>
      <w:r w:rsidR="00CE5498">
        <w:rPr>
          <w:rFonts w:asciiTheme="minorHAnsi" w:hAnsiTheme="minorHAnsi" w:cstheme="minorHAnsi"/>
          <w:color w:val="auto"/>
        </w:rPr>
        <w:t xml:space="preserve">acancies for Chefs, Motor Mechanics and Structural Steel and Welding Workers </w:t>
      </w:r>
      <w:r w:rsidR="00EA0152">
        <w:rPr>
          <w:rFonts w:asciiTheme="minorHAnsi" w:hAnsiTheme="minorHAnsi" w:cstheme="minorHAnsi"/>
          <w:color w:val="auto"/>
        </w:rPr>
        <w:t xml:space="preserve">were </w:t>
      </w:r>
      <w:bookmarkStart w:id="56" w:name="_GoBack"/>
      <w:bookmarkEnd w:id="56"/>
      <w:r w:rsidR="00CE5498">
        <w:rPr>
          <w:rFonts w:asciiTheme="minorHAnsi" w:hAnsiTheme="minorHAnsi" w:cstheme="minorHAnsi"/>
          <w:color w:val="auto"/>
        </w:rPr>
        <w:t>reported as difficult to fill.</w:t>
      </w:r>
      <w:r w:rsidR="005B4835" w:rsidRPr="004E78FE">
        <w:rPr>
          <w:rFonts w:asciiTheme="minorHAnsi" w:hAnsiTheme="minorHAnsi" w:cstheme="minorHAnsi"/>
          <w:color w:val="auto"/>
        </w:rPr>
        <w:t xml:space="preserve"> Employers also considered </w:t>
      </w:r>
      <w:r w:rsidR="001F5F58">
        <w:rPr>
          <w:rFonts w:asciiTheme="minorHAnsi" w:hAnsiTheme="minorHAnsi" w:cstheme="minorHAnsi"/>
          <w:color w:val="auto"/>
        </w:rPr>
        <w:t>a low average number</w:t>
      </w:r>
      <w:r w:rsidR="005F5F3C">
        <w:rPr>
          <w:rFonts w:asciiTheme="minorHAnsi" w:hAnsiTheme="minorHAnsi" w:cstheme="minorHAnsi"/>
          <w:color w:val="auto"/>
        </w:rPr>
        <w:t xml:space="preserve"> of applicants</w:t>
      </w:r>
      <w:r w:rsidR="000D1C0B" w:rsidRPr="004E78FE">
        <w:rPr>
          <w:rFonts w:asciiTheme="minorHAnsi" w:hAnsiTheme="minorHAnsi" w:cstheme="minorHAnsi"/>
          <w:color w:val="auto"/>
        </w:rPr>
        <w:t xml:space="preserve"> </w:t>
      </w:r>
      <w:r w:rsidR="00CE5498">
        <w:rPr>
          <w:rFonts w:asciiTheme="minorHAnsi" w:hAnsiTheme="minorHAnsi" w:cstheme="minorHAnsi"/>
          <w:color w:val="auto"/>
        </w:rPr>
        <w:br/>
      </w:r>
      <w:r w:rsidR="001F5F58">
        <w:rPr>
          <w:rFonts w:asciiTheme="minorHAnsi" w:hAnsiTheme="minorHAnsi" w:cstheme="minorHAnsi"/>
          <w:color w:val="auto"/>
        </w:rPr>
        <w:t>(1.9 applicants per vacancy)</w:t>
      </w:r>
      <w:r>
        <w:rPr>
          <w:rFonts w:asciiTheme="minorHAnsi" w:hAnsiTheme="minorHAnsi" w:cstheme="minorHAnsi"/>
          <w:color w:val="auto"/>
        </w:rPr>
        <w:t xml:space="preserve"> to be suitable, suggesting </w:t>
      </w:r>
      <w:r w:rsidR="003F0844">
        <w:rPr>
          <w:rFonts w:asciiTheme="minorHAnsi" w:hAnsiTheme="minorHAnsi" w:cstheme="minorHAnsi"/>
          <w:color w:val="auto"/>
        </w:rPr>
        <w:t xml:space="preserve">opportunities exist for </w:t>
      </w:r>
      <w:r>
        <w:rPr>
          <w:rFonts w:asciiTheme="minorHAnsi" w:hAnsiTheme="minorHAnsi" w:cstheme="minorHAnsi"/>
          <w:color w:val="auto"/>
        </w:rPr>
        <w:t>workers</w:t>
      </w:r>
      <w:r w:rsidR="003F0844">
        <w:rPr>
          <w:rFonts w:asciiTheme="minorHAnsi" w:hAnsiTheme="minorHAnsi" w:cstheme="minorHAnsi"/>
          <w:color w:val="auto"/>
        </w:rPr>
        <w:t xml:space="preserve"> with the requisite skills and qualifications</w:t>
      </w:r>
      <w:r w:rsidR="00CE5498">
        <w:rPr>
          <w:rFonts w:asciiTheme="minorHAnsi" w:hAnsiTheme="minorHAnsi" w:cstheme="minorHAnsi"/>
          <w:color w:val="auto"/>
        </w:rPr>
        <w:t>.</w:t>
      </w:r>
    </w:p>
    <w:p w:rsidR="001E09AB" w:rsidRPr="001E09AB" w:rsidRDefault="00101927" w:rsidP="001E09AB">
      <w:pPr>
        <w:pStyle w:val="ListParagraph"/>
        <w:numPr>
          <w:ilvl w:val="0"/>
          <w:numId w:val="7"/>
        </w:numPr>
        <w:spacing w:after="200" w:line="240" w:lineRule="auto"/>
        <w:jc w:val="both"/>
        <w:rPr>
          <w:rFonts w:eastAsiaTheme="minorEastAsia" w:cstheme="minorBidi"/>
        </w:rPr>
      </w:pPr>
      <w:r>
        <w:rPr>
          <w:rFonts w:asciiTheme="minorHAnsi" w:hAnsiTheme="minorHAnsi" w:cstheme="minorHAnsi"/>
          <w:color w:val="auto"/>
        </w:rPr>
        <w:t>Other occupations for which employers had difficulty recruiting included</w:t>
      </w:r>
      <w:r w:rsidR="001E09AB">
        <w:rPr>
          <w:rFonts w:asciiTheme="minorHAnsi" w:hAnsiTheme="minorHAnsi" w:cstheme="minorHAnsi"/>
          <w:color w:val="auto"/>
        </w:rPr>
        <w:t xml:space="preserve"> lower-skill</w:t>
      </w:r>
      <w:r>
        <w:rPr>
          <w:rFonts w:asciiTheme="minorHAnsi" w:hAnsiTheme="minorHAnsi" w:cstheme="minorHAnsi"/>
          <w:color w:val="auto"/>
        </w:rPr>
        <w:t xml:space="preserve">ed and entry level occupations </w:t>
      </w:r>
      <w:r w:rsidR="001E09AB">
        <w:rPr>
          <w:rFonts w:asciiTheme="minorHAnsi" w:hAnsiTheme="minorHAnsi" w:cstheme="minorHAnsi"/>
          <w:color w:val="auto"/>
        </w:rPr>
        <w:t>such as Housekee</w:t>
      </w:r>
      <w:r>
        <w:rPr>
          <w:rFonts w:asciiTheme="minorHAnsi" w:hAnsiTheme="minorHAnsi" w:cstheme="minorHAnsi"/>
          <w:color w:val="auto"/>
        </w:rPr>
        <w:t>pers, Truck Drivers and Waiters</w:t>
      </w:r>
      <w:r w:rsidR="001E09AB">
        <w:rPr>
          <w:rFonts w:asciiTheme="minorHAnsi" w:hAnsiTheme="minorHAnsi" w:cstheme="minorHAnsi"/>
          <w:color w:val="auto"/>
        </w:rPr>
        <w:t>.</w:t>
      </w:r>
    </w:p>
    <w:bookmarkEnd w:id="50"/>
    <w:p w:rsidR="005801CC" w:rsidRDefault="005801CC" w:rsidP="00A249D4">
      <w:pPr>
        <w:spacing w:before="240" w:after="60" w:line="240" w:lineRule="auto"/>
        <w:ind w:right="57"/>
        <w:jc w:val="both"/>
        <w:rPr>
          <w:rFonts w:ascii="Book Antiqua" w:hAnsi="Book Antiqua"/>
        </w:rPr>
      </w:pPr>
    </w:p>
    <w:p w:rsidR="004B1A2D" w:rsidRPr="007F36DA" w:rsidRDefault="001D51EA" w:rsidP="0010049B">
      <w:pPr>
        <w:pStyle w:val="Heading1"/>
        <w:spacing w:before="0" w:line="276" w:lineRule="auto"/>
        <w:rPr>
          <w:sz w:val="36"/>
          <w:szCs w:val="36"/>
        </w:rPr>
      </w:pPr>
      <w:bookmarkStart w:id="57" w:name="_Toc346611114"/>
      <w:bookmarkStart w:id="58" w:name="_Toc357778753"/>
      <w:r w:rsidRPr="007F36DA">
        <w:rPr>
          <w:sz w:val="36"/>
          <w:szCs w:val="36"/>
        </w:rPr>
        <w:t>More Information</w:t>
      </w:r>
      <w:bookmarkEnd w:id="57"/>
      <w:bookmarkEnd w:id="58"/>
    </w:p>
    <w:p w:rsidR="005122CD" w:rsidRPr="003C608D" w:rsidRDefault="005122CD" w:rsidP="005122CD">
      <w:pPr>
        <w:spacing w:after="0"/>
        <w:contextualSpacing/>
        <w:rPr>
          <w:rStyle w:val="Hyperlink"/>
          <w:rFonts w:cstheme="minorHAnsi"/>
          <w:b/>
          <w:color w:val="00529C"/>
          <w:sz w:val="24"/>
        </w:rPr>
      </w:pPr>
      <w:r w:rsidRPr="003C608D">
        <w:rPr>
          <w:rFonts w:cstheme="minorHAnsi"/>
          <w:color w:val="000000" w:themeColor="text1"/>
          <w:sz w:val="24"/>
        </w:rPr>
        <w:t>Survey of Employers’ Recruitment Experiences:</w:t>
      </w:r>
      <w:r>
        <w:rPr>
          <w:rFonts w:cstheme="minorHAnsi"/>
          <w:b/>
          <w:color w:val="00529C"/>
          <w:sz w:val="24"/>
        </w:rPr>
        <w:t xml:space="preserve"> </w:t>
      </w:r>
      <w:hyperlink r:id="rId29" w:history="1">
        <w:r w:rsidRPr="003C608D">
          <w:rPr>
            <w:rStyle w:val="Hyperlink"/>
            <w:rFonts w:cstheme="minorHAnsi"/>
            <w:b/>
            <w:color w:val="00529C"/>
            <w:sz w:val="24"/>
          </w:rPr>
          <w:t>www.deewr.gov.au/regionalreports</w:t>
        </w:r>
      </w:hyperlink>
    </w:p>
    <w:p w:rsidR="005122CD" w:rsidRPr="003C608D" w:rsidRDefault="005122CD" w:rsidP="005122CD">
      <w:pPr>
        <w:spacing w:after="0"/>
        <w:contextualSpacing/>
        <w:rPr>
          <w:rFonts w:cstheme="minorHAnsi"/>
          <w:b/>
          <w:color w:val="00529C"/>
          <w:sz w:val="24"/>
        </w:rPr>
      </w:pPr>
      <w:r w:rsidRPr="003C608D">
        <w:rPr>
          <w:rFonts w:cstheme="minorHAnsi"/>
          <w:color w:val="000000" w:themeColor="text1"/>
          <w:sz w:val="24"/>
        </w:rPr>
        <w:t>Labour Market Information Portal:</w:t>
      </w:r>
      <w:r w:rsidRPr="003C608D">
        <w:rPr>
          <w:rFonts w:cstheme="minorHAnsi"/>
          <w:b/>
          <w:color w:val="00529C"/>
          <w:sz w:val="24"/>
        </w:rPr>
        <w:t xml:space="preserve"> </w:t>
      </w:r>
      <w:hyperlink r:id="rId30" w:history="1">
        <w:r w:rsidRPr="003C608D">
          <w:rPr>
            <w:rStyle w:val="Hyperlink"/>
            <w:rFonts w:cstheme="minorHAnsi"/>
            <w:b/>
            <w:color w:val="00529C"/>
            <w:sz w:val="24"/>
          </w:rPr>
          <w:t>www.deewr.gov.au/lmip</w:t>
        </w:r>
      </w:hyperlink>
    </w:p>
    <w:p w:rsidR="005122CD" w:rsidRPr="003C608D" w:rsidRDefault="005122CD" w:rsidP="005122CD">
      <w:pPr>
        <w:spacing w:after="0"/>
        <w:contextualSpacing/>
        <w:rPr>
          <w:rStyle w:val="Hyperlink"/>
          <w:rFonts w:cstheme="minorHAnsi"/>
          <w:b/>
          <w:color w:val="00529C"/>
          <w:sz w:val="24"/>
        </w:rPr>
      </w:pPr>
      <w:r w:rsidRPr="003C608D">
        <w:rPr>
          <w:rFonts w:cstheme="minorHAnsi"/>
          <w:color w:val="000000" w:themeColor="text1"/>
          <w:sz w:val="24"/>
        </w:rPr>
        <w:t>Skill Shortages</w:t>
      </w:r>
      <w:r w:rsidRPr="00A53A0F">
        <w:rPr>
          <w:rStyle w:val="Hyperlink"/>
          <w:b/>
          <w:color w:val="00529C"/>
        </w:rPr>
        <w:t>:</w:t>
      </w:r>
      <w:r w:rsidRPr="00A53A0F">
        <w:rPr>
          <w:rStyle w:val="Hyperlink"/>
          <w:color w:val="00529C"/>
        </w:rPr>
        <w:t xml:space="preserve"> </w:t>
      </w:r>
      <w:hyperlink r:id="rId31" w:history="1">
        <w:r w:rsidRPr="00A53A0F">
          <w:rPr>
            <w:rStyle w:val="Hyperlink"/>
            <w:rFonts w:cstheme="minorHAnsi"/>
            <w:b/>
            <w:color w:val="00529C"/>
            <w:sz w:val="24"/>
          </w:rPr>
          <w:t>www.deewr.gov.au/skillshortages</w:t>
        </w:r>
      </w:hyperlink>
      <w:r>
        <w:rPr>
          <w:rStyle w:val="Hyperlink"/>
          <w:rFonts w:cstheme="minorHAnsi"/>
          <w:b/>
          <w:color w:val="00529C"/>
          <w:sz w:val="24"/>
        </w:rPr>
        <w:t xml:space="preserve"> </w:t>
      </w:r>
    </w:p>
    <w:p w:rsidR="005122CD" w:rsidRPr="003C608D" w:rsidRDefault="005122CD" w:rsidP="005122CD">
      <w:pPr>
        <w:spacing w:after="0"/>
        <w:contextualSpacing/>
        <w:rPr>
          <w:rStyle w:val="Hyperlink"/>
          <w:rFonts w:cstheme="minorHAnsi"/>
          <w:b/>
          <w:color w:val="00529C"/>
          <w:sz w:val="24"/>
        </w:rPr>
      </w:pPr>
      <w:r w:rsidRPr="003C608D">
        <w:rPr>
          <w:rFonts w:cstheme="minorHAnsi"/>
          <w:color w:val="000000" w:themeColor="text1"/>
          <w:sz w:val="24"/>
        </w:rPr>
        <w:t>Job Outlook:</w:t>
      </w:r>
      <w:r w:rsidRPr="003C608D">
        <w:rPr>
          <w:rFonts w:cstheme="minorHAnsi"/>
          <w:b/>
          <w:color w:val="00529C"/>
          <w:sz w:val="24"/>
        </w:rPr>
        <w:t xml:space="preserve"> </w:t>
      </w:r>
      <w:hyperlink r:id="rId32" w:history="1">
        <w:r w:rsidRPr="003C608D">
          <w:rPr>
            <w:rStyle w:val="Hyperlink"/>
            <w:rFonts w:cstheme="minorHAnsi"/>
            <w:b/>
            <w:color w:val="00529C"/>
            <w:sz w:val="24"/>
          </w:rPr>
          <w:t>www.joboutlook.deewr.gov.au</w:t>
        </w:r>
      </w:hyperlink>
    </w:p>
    <w:p w:rsidR="005122CD" w:rsidRPr="003C608D" w:rsidRDefault="005122CD" w:rsidP="005122CD">
      <w:pPr>
        <w:spacing w:after="0"/>
        <w:contextualSpacing/>
        <w:rPr>
          <w:rFonts w:cstheme="minorHAnsi"/>
          <w:b/>
          <w:color w:val="00529C"/>
          <w:sz w:val="24"/>
        </w:rPr>
      </w:pPr>
      <w:proofErr w:type="spellStart"/>
      <w:r w:rsidRPr="003C608D">
        <w:rPr>
          <w:rFonts w:cstheme="minorHAnsi"/>
          <w:color w:val="000000" w:themeColor="text1"/>
          <w:sz w:val="24"/>
        </w:rPr>
        <w:t>SkillsInfo</w:t>
      </w:r>
      <w:proofErr w:type="spellEnd"/>
      <w:r w:rsidRPr="003C608D">
        <w:rPr>
          <w:rFonts w:cstheme="minorHAnsi"/>
          <w:color w:val="000000" w:themeColor="text1"/>
          <w:sz w:val="24"/>
        </w:rPr>
        <w:t>:</w:t>
      </w:r>
      <w:r w:rsidRPr="003C608D">
        <w:rPr>
          <w:rFonts w:cstheme="minorHAnsi"/>
          <w:b/>
          <w:color w:val="00529C"/>
          <w:sz w:val="24"/>
        </w:rPr>
        <w:t xml:space="preserve"> </w:t>
      </w:r>
      <w:hyperlink r:id="rId33" w:history="1">
        <w:r w:rsidRPr="003C608D">
          <w:rPr>
            <w:rStyle w:val="Hyperlink"/>
            <w:rFonts w:cstheme="minorHAnsi"/>
            <w:b/>
            <w:color w:val="00529C"/>
            <w:sz w:val="24"/>
          </w:rPr>
          <w:t>www.skillsinfo.gov.au</w:t>
        </w:r>
      </w:hyperlink>
    </w:p>
    <w:p w:rsidR="005122CD" w:rsidRPr="003C608D" w:rsidRDefault="005122CD" w:rsidP="005122CD">
      <w:pPr>
        <w:spacing w:after="0"/>
        <w:contextualSpacing/>
        <w:rPr>
          <w:rFonts w:cstheme="minorHAnsi"/>
          <w:b/>
          <w:color w:val="00529C"/>
          <w:sz w:val="24"/>
        </w:rPr>
      </w:pPr>
      <w:r w:rsidRPr="003C608D">
        <w:rPr>
          <w:rFonts w:cstheme="minorHAnsi"/>
          <w:color w:val="000000" w:themeColor="text1"/>
          <w:sz w:val="24"/>
        </w:rPr>
        <w:t>Australian Jobs:</w:t>
      </w:r>
      <w:r w:rsidRPr="003C608D">
        <w:rPr>
          <w:rFonts w:cstheme="minorHAnsi"/>
          <w:b/>
          <w:color w:val="00529C"/>
          <w:sz w:val="24"/>
        </w:rPr>
        <w:t xml:space="preserve"> </w:t>
      </w:r>
      <w:hyperlink r:id="rId34" w:history="1">
        <w:r w:rsidRPr="003C608D">
          <w:rPr>
            <w:rStyle w:val="Hyperlink"/>
            <w:rFonts w:cstheme="minorHAnsi"/>
            <w:b/>
            <w:color w:val="00529C"/>
            <w:sz w:val="24"/>
          </w:rPr>
          <w:t>www.deewr.gov.au/australianjobs</w:t>
        </w:r>
      </w:hyperlink>
    </w:p>
    <w:p w:rsidR="008F15E4" w:rsidRDefault="008F15E4" w:rsidP="00083669">
      <w:pPr>
        <w:spacing w:before="0" w:after="0" w:line="276" w:lineRule="auto"/>
        <w:ind w:right="379"/>
        <w:contextualSpacing/>
        <w:rPr>
          <w:sz w:val="28"/>
          <w:szCs w:val="28"/>
        </w:rPr>
      </w:pPr>
    </w:p>
    <w:p w:rsidR="003218C1" w:rsidRDefault="003218C1" w:rsidP="00083669">
      <w:pPr>
        <w:spacing w:before="0" w:after="0" w:line="276" w:lineRule="auto"/>
        <w:ind w:right="379"/>
        <w:contextualSpacing/>
        <w:rPr>
          <w:sz w:val="28"/>
          <w:szCs w:val="28"/>
        </w:rPr>
      </w:pPr>
    </w:p>
    <w:p w:rsidR="003218C1" w:rsidRDefault="003218C1" w:rsidP="00083669">
      <w:pPr>
        <w:spacing w:before="0" w:after="0" w:line="276" w:lineRule="auto"/>
        <w:ind w:right="379"/>
        <w:contextualSpacing/>
        <w:rPr>
          <w:sz w:val="28"/>
          <w:szCs w:val="28"/>
        </w:rPr>
      </w:pPr>
    </w:p>
    <w:p w:rsidR="003218C1" w:rsidRDefault="003218C1" w:rsidP="00083669">
      <w:pPr>
        <w:spacing w:before="0" w:after="0" w:line="276" w:lineRule="auto"/>
        <w:ind w:right="379"/>
        <w:contextualSpacing/>
        <w:rPr>
          <w:sz w:val="28"/>
          <w:szCs w:val="28"/>
        </w:rPr>
      </w:pPr>
    </w:p>
    <w:p w:rsidR="003218C1" w:rsidRDefault="003218C1" w:rsidP="00083669">
      <w:pPr>
        <w:spacing w:before="0" w:after="0" w:line="276" w:lineRule="auto"/>
        <w:ind w:right="379"/>
        <w:contextualSpacing/>
        <w:rPr>
          <w:sz w:val="28"/>
          <w:szCs w:val="28"/>
        </w:rPr>
      </w:pPr>
    </w:p>
    <w:p w:rsidR="00AF1D21" w:rsidRPr="004379C4" w:rsidRDefault="00AF01BD" w:rsidP="00083669">
      <w:pPr>
        <w:spacing w:before="0" w:after="0" w:line="276" w:lineRule="auto"/>
        <w:ind w:right="379"/>
        <w:contextualSpacing/>
        <w:rPr>
          <w:sz w:val="28"/>
          <w:szCs w:val="28"/>
        </w:rPr>
      </w:pPr>
      <w:r w:rsidRPr="00AF01BD">
        <w:rPr>
          <w:noProof/>
          <w:sz w:val="28"/>
          <w:szCs w:val="28"/>
        </w:rPr>
        <w:lastRenderedPageBreak/>
        <w:drawing>
          <wp:anchor distT="0" distB="0" distL="114300" distR="114300" simplePos="0" relativeHeight="251662336" behindDoc="1" locked="0" layoutInCell="1" allowOverlap="1" wp14:anchorId="5C508A13" wp14:editId="18CDF377">
            <wp:simplePos x="0" y="0"/>
            <wp:positionH relativeFrom="column">
              <wp:posOffset>-1207077</wp:posOffset>
            </wp:positionH>
            <wp:positionV relativeFrom="paragraph">
              <wp:posOffset>4191866</wp:posOffset>
            </wp:positionV>
            <wp:extent cx="7735050" cy="3837709"/>
            <wp:effectExtent l="19050" t="0" r="0" b="0"/>
            <wp:wrapNone/>
            <wp:docPr id="1"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35050" cy="3837709"/>
                    </a:xfrm>
                    <a:prstGeom prst="rect">
                      <a:avLst/>
                    </a:prstGeom>
                    <a:noFill/>
                    <a:ln>
                      <a:noFill/>
                    </a:ln>
                  </pic:spPr>
                </pic:pic>
              </a:graphicData>
            </a:graphic>
          </wp:anchor>
        </w:drawing>
      </w:r>
      <w:r w:rsidR="001E1498" w:rsidRPr="00AF01BD">
        <w:rPr>
          <w:noProof/>
          <w:sz w:val="28"/>
          <w:szCs w:val="28"/>
        </w:rPr>
        <w:drawing>
          <wp:anchor distT="0" distB="0" distL="114300" distR="114300" simplePos="0" relativeHeight="251664384" behindDoc="1" locked="0" layoutInCell="1" allowOverlap="1" wp14:anchorId="3001D9AC" wp14:editId="5208733A">
            <wp:simplePos x="0" y="0"/>
            <wp:positionH relativeFrom="column">
              <wp:posOffset>-1220932</wp:posOffset>
            </wp:positionH>
            <wp:positionV relativeFrom="paragraph">
              <wp:posOffset>2487757</wp:posOffset>
            </wp:positionV>
            <wp:extent cx="7739496" cy="1870363"/>
            <wp:effectExtent l="19050" t="0" r="0" b="0"/>
            <wp:wrapNone/>
            <wp:docPr id="5"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739496" cy="1870363"/>
                    </a:xfrm>
                    <a:prstGeom prst="rect">
                      <a:avLst/>
                    </a:prstGeom>
                    <a:noFill/>
                    <a:ln>
                      <a:noFill/>
                    </a:ln>
                  </pic:spPr>
                </pic:pic>
              </a:graphicData>
            </a:graphic>
          </wp:anchor>
        </w:drawing>
      </w:r>
    </w:p>
    <w:sectPr w:rsidR="00AF1D21" w:rsidRPr="004379C4" w:rsidSect="00574D1C">
      <w:headerReference w:type="default" r:id="rId36"/>
      <w:footerReference w:type="default" r:id="rId37"/>
      <w:footerReference w:type="first" r:id="rId38"/>
      <w:pgSz w:w="11906" w:h="16838"/>
      <w:pgMar w:top="514" w:right="1800" w:bottom="1440" w:left="1800" w:header="510"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A5A" w:rsidRDefault="008E4A5A" w:rsidP="006D0101">
      <w:pPr>
        <w:spacing w:before="0" w:after="0" w:line="240" w:lineRule="auto"/>
      </w:pPr>
      <w:r>
        <w:separator/>
      </w:r>
    </w:p>
  </w:endnote>
  <w:endnote w:type="continuationSeparator" w:id="0">
    <w:p w:rsidR="008E4A5A" w:rsidRDefault="008E4A5A" w:rsidP="006D01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1B" w:rsidRDefault="007713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872"/>
      <w:docPartObj>
        <w:docPartGallery w:val="Page Numbers (Bottom of Page)"/>
        <w:docPartUnique/>
      </w:docPartObj>
    </w:sdtPr>
    <w:sdtEndPr/>
    <w:sdtContent>
      <w:p w:rsidR="0077131B" w:rsidRDefault="0077131B" w:rsidP="009557F3">
        <w:pPr>
          <w:pStyle w:val="Footer"/>
          <w:pBdr>
            <w:top w:val="single" w:sz="4" w:space="1" w:color="auto"/>
          </w:pBdr>
          <w:spacing w:before="0" w:after="0" w:line="240" w:lineRule="auto"/>
        </w:pPr>
        <w:r>
          <w:t>Labour Market Research and Analysis Branch</w:t>
        </w:r>
      </w:p>
      <w:p w:rsidR="0077131B" w:rsidRDefault="00961EC5" w:rsidP="00667CB1">
        <w:pPr>
          <w:pStyle w:val="Footer"/>
          <w:spacing w:before="0" w:after="0" w:line="240" w:lineRule="auto"/>
        </w:pPr>
        <w:r>
          <w:t>February</w:t>
        </w:r>
        <w:r w:rsidR="00757DA7">
          <w:t xml:space="preserve"> 201</w:t>
        </w:r>
        <w:r>
          <w:t>3</w:t>
        </w:r>
        <w:r w:rsidR="0077131B">
          <w:ptab w:relativeTo="margin" w:alignment="right" w:leader="none"/>
        </w:r>
        <w:r w:rsidR="0077131B">
          <w:t xml:space="preserve"> </w:t>
        </w:r>
        <w:r w:rsidR="0077131B">
          <w:fldChar w:fldCharType="begin"/>
        </w:r>
        <w:r w:rsidR="0077131B">
          <w:instrText xml:space="preserve"> PAGE </w:instrText>
        </w:r>
        <w:r w:rsidR="0077131B">
          <w:fldChar w:fldCharType="separate"/>
        </w:r>
        <w:r w:rsidR="00EA0152">
          <w:rPr>
            <w:noProof/>
          </w:rPr>
          <w:t>iii</w:t>
        </w:r>
        <w:r w:rsidR="0077131B">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480096"/>
      <w:docPartObj>
        <w:docPartGallery w:val="Page Numbers (Bottom of Page)"/>
        <w:docPartUnique/>
      </w:docPartObj>
    </w:sdtPr>
    <w:sdtEndPr/>
    <w:sdtContent>
      <w:p w:rsidR="0077131B" w:rsidRDefault="0077131B" w:rsidP="008C7B3E">
        <w:pPr>
          <w:pStyle w:val="Footer"/>
          <w:pBdr>
            <w:top w:val="single" w:sz="4" w:space="0" w:color="auto"/>
          </w:pBdr>
          <w:spacing w:before="0" w:after="0" w:line="240" w:lineRule="auto"/>
        </w:pPr>
        <w:r>
          <w:t>Labour Market Research and Analysis Branch</w:t>
        </w:r>
      </w:p>
      <w:p w:rsidR="0077131B" w:rsidRDefault="00961EC5" w:rsidP="00416256">
        <w:pPr>
          <w:pStyle w:val="Footer"/>
          <w:spacing w:before="0" w:after="0" w:line="240" w:lineRule="auto"/>
        </w:pPr>
        <w:r>
          <w:t xml:space="preserve">February </w:t>
        </w:r>
        <w:r w:rsidR="00FD6F84">
          <w:t>201</w:t>
        </w:r>
        <w:r>
          <w:t>3</w:t>
        </w:r>
        <w:r w:rsidR="0077131B">
          <w:ptab w:relativeTo="margin" w:alignment="right" w:leader="none"/>
        </w:r>
        <w:r w:rsidR="00416256">
          <w:t>ii</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AA8" w:rsidRDefault="007C7AA8" w:rsidP="007C7AA8">
    <w:pPr>
      <w:pStyle w:val="Footer"/>
      <w:pBdr>
        <w:top w:val="single" w:sz="4" w:space="1" w:color="auto"/>
      </w:pBdr>
      <w:spacing w:before="0" w:after="0" w:line="240" w:lineRule="auto"/>
    </w:pPr>
    <w:r>
      <w:t>Labour Market Research and Analysis Branch</w:t>
    </w:r>
  </w:p>
  <w:p w:rsidR="0077131B" w:rsidRPr="00B32455" w:rsidRDefault="00961EC5" w:rsidP="007C7AA8">
    <w:pPr>
      <w:pStyle w:val="Footer"/>
      <w:spacing w:before="0" w:after="0" w:line="240" w:lineRule="auto"/>
    </w:pPr>
    <w:r>
      <w:t>February 2013</w:t>
    </w:r>
    <w:r w:rsidR="0077131B">
      <w:ptab w:relativeTo="margin" w:alignment="right" w:leader="none"/>
    </w:r>
    <w:r w:rsidR="0077131B">
      <w:t xml:space="preserve"> </w:t>
    </w:r>
    <w:r w:rsidR="0077131B">
      <w:fldChar w:fldCharType="begin"/>
    </w:r>
    <w:r w:rsidR="0077131B">
      <w:instrText xml:space="preserve"> PAGE </w:instrText>
    </w:r>
    <w:r w:rsidR="0077131B">
      <w:fldChar w:fldCharType="separate"/>
    </w:r>
    <w:r w:rsidR="00EA0152">
      <w:rPr>
        <w:noProof/>
      </w:rPr>
      <w:t>4</w:t>
    </w:r>
    <w:r w:rsidR="0077131B">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535342"/>
      <w:docPartObj>
        <w:docPartGallery w:val="Page Numbers (Bottom of Page)"/>
        <w:docPartUnique/>
      </w:docPartObj>
    </w:sdtPr>
    <w:sdtEndPr/>
    <w:sdtContent>
      <w:p w:rsidR="00416256" w:rsidRDefault="00416256" w:rsidP="008C7B3E">
        <w:pPr>
          <w:pStyle w:val="Footer"/>
          <w:pBdr>
            <w:top w:val="single" w:sz="4" w:space="0" w:color="auto"/>
          </w:pBdr>
          <w:spacing w:before="0" w:after="0" w:line="240" w:lineRule="auto"/>
        </w:pPr>
        <w:r>
          <w:t>Labour Market Research and Analysis Branch</w:t>
        </w:r>
      </w:p>
      <w:p w:rsidR="00416256" w:rsidRDefault="00416256" w:rsidP="00416256">
        <w:pPr>
          <w:pStyle w:val="Footer"/>
          <w:spacing w:before="0" w:after="0" w:line="240" w:lineRule="auto"/>
        </w:pPr>
        <w:r>
          <w:t>February 2013</w:t>
        </w:r>
        <w:r>
          <w:ptab w:relativeTo="margin" w:alignment="right" w:leader="none"/>
        </w:r>
        <w:r>
          <w:t>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A5A" w:rsidRDefault="008E4A5A" w:rsidP="006D0101">
      <w:pPr>
        <w:spacing w:before="0" w:after="0" w:line="240" w:lineRule="auto"/>
      </w:pPr>
      <w:r>
        <w:separator/>
      </w:r>
    </w:p>
  </w:footnote>
  <w:footnote w:type="continuationSeparator" w:id="0">
    <w:p w:rsidR="008E4A5A" w:rsidRDefault="008E4A5A" w:rsidP="006D0101">
      <w:pPr>
        <w:spacing w:before="0" w:after="0" w:line="240" w:lineRule="auto"/>
      </w:pPr>
      <w:r>
        <w:continuationSeparator/>
      </w:r>
    </w:p>
  </w:footnote>
  <w:footnote w:id="1">
    <w:p w:rsidR="008E287D" w:rsidRPr="008E287D" w:rsidRDefault="008E287D">
      <w:pPr>
        <w:pStyle w:val="FootnoteText"/>
        <w:contextualSpacing/>
        <w:rPr>
          <w:rFonts w:asciiTheme="minorHAnsi" w:hAnsiTheme="minorHAnsi" w:cstheme="minorHAnsi"/>
          <w:color w:val="auto"/>
          <w:lang w:val="en-AU"/>
        </w:rPr>
      </w:pPr>
      <w:r w:rsidRPr="006E5CD7">
        <w:rPr>
          <w:rStyle w:val="FootnoteReference"/>
          <w:rFonts w:asciiTheme="minorHAnsi" w:hAnsiTheme="minorHAnsi" w:cstheme="minorHAnsi"/>
          <w:color w:val="auto"/>
        </w:rPr>
        <w:footnoteRef/>
      </w:r>
      <w:r w:rsidR="006E5CD7">
        <w:rPr>
          <w:rStyle w:val="FootnoteReference"/>
          <w:rFonts w:asciiTheme="minorHAnsi" w:hAnsiTheme="minorHAnsi" w:cstheme="minorHAnsi"/>
          <w:color w:val="auto"/>
        </w:rPr>
        <w:t xml:space="preserve"> </w:t>
      </w:r>
      <w:r w:rsidR="006E5CD7">
        <w:rPr>
          <w:rFonts w:asciiTheme="minorHAnsi" w:hAnsiTheme="minorHAnsi" w:cstheme="minorHAnsi"/>
          <w:color w:val="auto"/>
          <w:lang w:val="en-AU"/>
        </w:rPr>
        <w:t xml:space="preserve">The data in this report refers to current </w:t>
      </w:r>
      <w:proofErr w:type="spellStart"/>
      <w:r w:rsidR="006E5CD7">
        <w:rPr>
          <w:rFonts w:asciiTheme="minorHAnsi" w:hAnsiTheme="minorHAnsi" w:cstheme="minorHAnsi"/>
          <w:color w:val="auto"/>
          <w:lang w:val="en-AU"/>
        </w:rPr>
        <w:t>LGA</w:t>
      </w:r>
      <w:proofErr w:type="spellEnd"/>
      <w:r w:rsidR="006E5CD7">
        <w:rPr>
          <w:rFonts w:asciiTheme="minorHAnsi" w:hAnsiTheme="minorHAnsi" w:cstheme="minorHAnsi"/>
          <w:color w:val="auto"/>
          <w:lang w:val="en-AU"/>
        </w:rPr>
        <w:t xml:space="preserve"> boundaries</w:t>
      </w:r>
      <w:r w:rsidR="008C7B3E">
        <w:rPr>
          <w:rFonts w:asciiTheme="minorHAnsi" w:hAnsiTheme="minorHAnsi" w:cstheme="minorHAnsi"/>
          <w:color w:val="auto"/>
          <w:lang w:val="en-AU"/>
        </w:rPr>
        <w:t xml:space="preserve"> in some</w:t>
      </w:r>
      <w:r w:rsidR="006E5CD7">
        <w:rPr>
          <w:rFonts w:asciiTheme="minorHAnsi" w:hAnsiTheme="minorHAnsi" w:cstheme="minorHAnsi"/>
          <w:color w:val="auto"/>
          <w:lang w:val="en-AU"/>
        </w:rPr>
        <w:t xml:space="preserve"> instances</w:t>
      </w:r>
      <w:r w:rsidR="00A241EE">
        <w:rPr>
          <w:rFonts w:asciiTheme="minorHAnsi" w:hAnsiTheme="minorHAnsi" w:cstheme="minorHAnsi"/>
          <w:color w:val="auto"/>
          <w:lang w:val="en-AU"/>
        </w:rPr>
        <w:t xml:space="preserve">. </w:t>
      </w:r>
      <w:r w:rsidR="004F47E1">
        <w:rPr>
          <w:rFonts w:asciiTheme="minorHAnsi" w:hAnsiTheme="minorHAnsi" w:cstheme="minorHAnsi"/>
          <w:color w:val="auto"/>
          <w:lang w:val="en-AU"/>
        </w:rPr>
        <w:t>T</w:t>
      </w:r>
      <w:r w:rsidR="00BF476B">
        <w:rPr>
          <w:rFonts w:asciiTheme="minorHAnsi" w:hAnsiTheme="minorHAnsi" w:cstheme="minorHAnsi"/>
          <w:color w:val="auto"/>
          <w:lang w:val="en-AU"/>
        </w:rPr>
        <w:t xml:space="preserve">he borders of the Ipswich </w:t>
      </w:r>
      <w:proofErr w:type="spellStart"/>
      <w:r w:rsidR="00BF476B">
        <w:rPr>
          <w:rFonts w:asciiTheme="minorHAnsi" w:hAnsiTheme="minorHAnsi" w:cstheme="minorHAnsi"/>
          <w:color w:val="auto"/>
          <w:lang w:val="en-AU"/>
        </w:rPr>
        <w:t>LGA</w:t>
      </w:r>
      <w:proofErr w:type="spellEnd"/>
      <w:r w:rsidR="00BF476B">
        <w:rPr>
          <w:rFonts w:asciiTheme="minorHAnsi" w:hAnsiTheme="minorHAnsi" w:cstheme="minorHAnsi"/>
          <w:color w:val="auto"/>
          <w:lang w:val="en-AU"/>
        </w:rPr>
        <w:t xml:space="preserve"> are</w:t>
      </w:r>
      <w:r w:rsidR="004F47E1">
        <w:rPr>
          <w:rFonts w:asciiTheme="minorHAnsi" w:hAnsiTheme="minorHAnsi" w:cstheme="minorHAnsi"/>
          <w:color w:val="auto"/>
          <w:lang w:val="en-AU"/>
        </w:rPr>
        <w:t xml:space="preserve"> essentially unchanged. The post-2008</w:t>
      </w:r>
      <w:r w:rsidR="00BF476B">
        <w:rPr>
          <w:rFonts w:asciiTheme="minorHAnsi" w:hAnsiTheme="minorHAnsi" w:cstheme="minorHAnsi"/>
          <w:color w:val="auto"/>
          <w:lang w:val="en-AU"/>
        </w:rPr>
        <w:t xml:space="preserve"> Logan </w:t>
      </w:r>
      <w:proofErr w:type="spellStart"/>
      <w:r w:rsidR="00BF476B">
        <w:rPr>
          <w:rFonts w:asciiTheme="minorHAnsi" w:hAnsiTheme="minorHAnsi" w:cstheme="minorHAnsi"/>
          <w:color w:val="auto"/>
          <w:lang w:val="en-AU"/>
        </w:rPr>
        <w:t>LGA</w:t>
      </w:r>
      <w:proofErr w:type="spellEnd"/>
      <w:r w:rsidR="006E5CD7">
        <w:rPr>
          <w:rFonts w:asciiTheme="minorHAnsi" w:hAnsiTheme="minorHAnsi" w:cstheme="minorHAnsi"/>
          <w:color w:val="auto"/>
          <w:lang w:val="en-AU"/>
        </w:rPr>
        <w:t xml:space="preserve"> includes the entire pre-2008 Logan </w:t>
      </w:r>
      <w:proofErr w:type="spellStart"/>
      <w:r w:rsidR="006E5CD7">
        <w:rPr>
          <w:rFonts w:asciiTheme="minorHAnsi" w:hAnsiTheme="minorHAnsi" w:cstheme="minorHAnsi"/>
          <w:color w:val="auto"/>
          <w:lang w:val="en-AU"/>
        </w:rPr>
        <w:t>LGA</w:t>
      </w:r>
      <w:proofErr w:type="spellEnd"/>
      <w:r w:rsidR="006E5CD7">
        <w:rPr>
          <w:rFonts w:asciiTheme="minorHAnsi" w:hAnsiTheme="minorHAnsi" w:cstheme="minorHAnsi"/>
          <w:color w:val="auto"/>
          <w:lang w:val="en-AU"/>
        </w:rPr>
        <w:t xml:space="preserve"> (68</w:t>
      </w:r>
      <w:r w:rsidR="00BF476B">
        <w:rPr>
          <w:rFonts w:asciiTheme="minorHAnsi" w:hAnsiTheme="minorHAnsi" w:cstheme="minorHAnsi"/>
          <w:color w:val="auto"/>
          <w:lang w:val="en-AU"/>
        </w:rPr>
        <w:t xml:space="preserve"> per cent of the wor</w:t>
      </w:r>
      <w:r w:rsidR="006E5CD7">
        <w:rPr>
          <w:rFonts w:asciiTheme="minorHAnsi" w:hAnsiTheme="minorHAnsi" w:cstheme="minorHAnsi"/>
          <w:color w:val="auto"/>
          <w:lang w:val="en-AU"/>
        </w:rPr>
        <w:t>king age population) and</w:t>
      </w:r>
      <w:r w:rsidR="00A3184E">
        <w:rPr>
          <w:rFonts w:asciiTheme="minorHAnsi" w:hAnsiTheme="minorHAnsi" w:cstheme="minorHAnsi"/>
          <w:color w:val="auto"/>
          <w:lang w:val="en-AU"/>
        </w:rPr>
        <w:t xml:space="preserve"> parts</w:t>
      </w:r>
      <w:r w:rsidR="006E5CD7">
        <w:rPr>
          <w:rFonts w:asciiTheme="minorHAnsi" w:hAnsiTheme="minorHAnsi" w:cstheme="minorHAnsi"/>
          <w:color w:val="auto"/>
          <w:lang w:val="en-AU"/>
        </w:rPr>
        <w:t xml:space="preserve"> of</w:t>
      </w:r>
      <w:r w:rsidR="00BF476B">
        <w:rPr>
          <w:rFonts w:asciiTheme="minorHAnsi" w:hAnsiTheme="minorHAnsi" w:cstheme="minorHAnsi"/>
          <w:color w:val="auto"/>
          <w:lang w:val="en-AU"/>
        </w:rPr>
        <w:t xml:space="preserve"> the</w:t>
      </w:r>
      <w:r w:rsidR="006E5CD7">
        <w:rPr>
          <w:rFonts w:asciiTheme="minorHAnsi" w:hAnsiTheme="minorHAnsi" w:cstheme="minorHAnsi"/>
          <w:color w:val="auto"/>
          <w:lang w:val="en-AU"/>
        </w:rPr>
        <w:t xml:space="preserve"> pre-2008</w:t>
      </w:r>
      <w:r w:rsidR="00BF476B">
        <w:rPr>
          <w:rFonts w:asciiTheme="minorHAnsi" w:hAnsiTheme="minorHAnsi" w:cstheme="minorHAnsi"/>
          <w:color w:val="auto"/>
          <w:lang w:val="en-AU"/>
        </w:rPr>
        <w:t xml:space="preserve"> Beaudesert and Gold Coast </w:t>
      </w:r>
      <w:proofErr w:type="spellStart"/>
      <w:r w:rsidR="00BF476B">
        <w:rPr>
          <w:rFonts w:asciiTheme="minorHAnsi" w:hAnsiTheme="minorHAnsi" w:cstheme="minorHAnsi"/>
          <w:color w:val="auto"/>
          <w:lang w:val="en-AU"/>
        </w:rPr>
        <w:t>LGAs</w:t>
      </w:r>
      <w:proofErr w:type="spellEnd"/>
      <w:r w:rsidR="006E5CD7">
        <w:rPr>
          <w:rFonts w:asciiTheme="minorHAnsi" w:hAnsiTheme="minorHAnsi" w:cstheme="minorHAnsi"/>
          <w:color w:val="auto"/>
          <w:lang w:val="en-AU"/>
        </w:rPr>
        <w:t xml:space="preserve"> (32 per</w:t>
      </w:r>
      <w:r w:rsidR="00574D1C">
        <w:rPr>
          <w:rFonts w:asciiTheme="minorHAnsi" w:hAnsiTheme="minorHAnsi" w:cstheme="minorHAnsi"/>
          <w:color w:val="auto"/>
          <w:lang w:val="en-AU"/>
        </w:rPr>
        <w:t xml:space="preserve"> cent</w:t>
      </w:r>
      <w:r w:rsidR="006E5CD7">
        <w:rPr>
          <w:rFonts w:asciiTheme="minorHAnsi" w:hAnsiTheme="minorHAnsi" w:cstheme="minorHAnsi"/>
          <w:color w:val="auto"/>
          <w:lang w:val="en-AU"/>
        </w:rPr>
        <w:t xml:space="preserve"> of the </w:t>
      </w:r>
      <w:proofErr w:type="spellStart"/>
      <w:r w:rsidR="006E5CD7">
        <w:rPr>
          <w:rFonts w:asciiTheme="minorHAnsi" w:hAnsiTheme="minorHAnsi" w:cstheme="minorHAnsi"/>
          <w:color w:val="auto"/>
          <w:lang w:val="en-AU"/>
        </w:rPr>
        <w:t>WAP</w:t>
      </w:r>
      <w:proofErr w:type="spellEnd"/>
      <w:r w:rsidR="006E5CD7">
        <w:rPr>
          <w:rFonts w:asciiTheme="minorHAnsi" w:hAnsiTheme="minorHAnsi" w:cstheme="minorHAnsi"/>
          <w:color w:val="auto"/>
          <w:lang w:val="en-AU"/>
        </w:rPr>
        <w:t>; these are</w:t>
      </w:r>
      <w:r w:rsidR="00A3184E">
        <w:rPr>
          <w:rFonts w:asciiTheme="minorHAnsi" w:hAnsiTheme="minorHAnsi" w:cstheme="minorHAnsi"/>
          <w:color w:val="auto"/>
          <w:lang w:val="en-AU"/>
        </w:rPr>
        <w:t xml:space="preserve"> not part of the PEA)</w:t>
      </w:r>
      <w:r w:rsidR="00BF476B">
        <w:rPr>
          <w:rFonts w:asciiTheme="minorHAnsi" w:hAnsiTheme="minorHAnsi" w:cstheme="minorHAnsi"/>
          <w:color w:val="auto"/>
          <w:lang w:val="en-AU"/>
        </w:rPr>
        <w:t>.</w:t>
      </w:r>
    </w:p>
  </w:footnote>
  <w:footnote w:id="2">
    <w:p w:rsidR="00A85302" w:rsidRPr="00A85302" w:rsidRDefault="00A85302">
      <w:pPr>
        <w:pStyle w:val="FootnoteText"/>
        <w:contextualSpacing/>
        <w:rPr>
          <w:rFonts w:asciiTheme="minorHAnsi" w:hAnsiTheme="minorHAnsi" w:cstheme="minorHAnsi"/>
          <w:lang w:val="en-AU"/>
        </w:rPr>
      </w:pPr>
      <w:r w:rsidRPr="00A85302">
        <w:rPr>
          <w:rStyle w:val="FootnoteReference"/>
          <w:rFonts w:asciiTheme="minorHAnsi" w:hAnsiTheme="minorHAnsi" w:cstheme="minorHAnsi"/>
          <w:color w:val="auto"/>
        </w:rPr>
        <w:footnoteRef/>
      </w:r>
      <w:r w:rsidRPr="00A85302">
        <w:rPr>
          <w:rFonts w:asciiTheme="minorHAnsi" w:hAnsiTheme="minorHAnsi" w:cstheme="minorHAnsi"/>
          <w:color w:val="auto"/>
        </w:rPr>
        <w:t xml:space="preserve"> </w:t>
      </w:r>
      <w:r w:rsidRPr="00A85302">
        <w:rPr>
          <w:rFonts w:asciiTheme="minorHAnsi" w:hAnsiTheme="minorHAnsi" w:cstheme="minorHAnsi"/>
          <w:color w:val="auto"/>
          <w:lang w:val="en-AU"/>
        </w:rPr>
        <w:t>ABS Estimated Resident Population 2011</w:t>
      </w:r>
    </w:p>
  </w:footnote>
  <w:footnote w:id="3">
    <w:p w:rsidR="004649B5" w:rsidRPr="00F27355" w:rsidRDefault="004649B5">
      <w:pPr>
        <w:pStyle w:val="FootnoteText"/>
        <w:contextualSpacing/>
        <w:rPr>
          <w:rFonts w:asciiTheme="minorHAnsi" w:hAnsiTheme="minorHAnsi" w:cstheme="minorHAnsi"/>
          <w:color w:val="auto"/>
          <w:lang w:val="en-AU"/>
        </w:rPr>
      </w:pPr>
      <w:r w:rsidRPr="00F27355">
        <w:rPr>
          <w:rStyle w:val="FootnoteReference"/>
          <w:rFonts w:asciiTheme="minorHAnsi" w:hAnsiTheme="minorHAnsi" w:cstheme="minorHAnsi"/>
          <w:color w:val="auto"/>
        </w:rPr>
        <w:footnoteRef/>
      </w:r>
      <w:r w:rsidRPr="00F27355">
        <w:rPr>
          <w:rFonts w:asciiTheme="minorHAnsi" w:hAnsiTheme="minorHAnsi" w:cstheme="minorHAnsi"/>
          <w:color w:val="auto"/>
        </w:rPr>
        <w:t xml:space="preserve"> </w:t>
      </w:r>
      <w:r w:rsidRPr="00F27355">
        <w:rPr>
          <w:rFonts w:asciiTheme="minorHAnsi" w:hAnsiTheme="minorHAnsi" w:cstheme="minorHAnsi"/>
          <w:color w:val="auto"/>
          <w:lang w:val="en-AU"/>
        </w:rPr>
        <w:t>DEEWR Small Area Labour Markets, December 2012</w:t>
      </w:r>
      <w:r w:rsidR="00574D1C">
        <w:rPr>
          <w:rFonts w:asciiTheme="minorHAnsi" w:hAnsiTheme="minorHAnsi" w:cstheme="minorHAnsi"/>
          <w:color w:val="auto"/>
          <w:lang w:val="en-AU"/>
        </w:rPr>
        <w:t xml:space="preserve"> (Ipswich-Logan PEA); ABS Labour Force, </w:t>
      </w:r>
      <w:r w:rsidR="00574D1C">
        <w:rPr>
          <w:rFonts w:asciiTheme="minorHAnsi" w:hAnsiTheme="minorHAnsi" w:cstheme="minorHAnsi"/>
          <w:color w:val="auto"/>
          <w:lang w:val="en-AU"/>
        </w:rPr>
        <w:br/>
        <w:t>April 2013 (Queensland and Australia) (seasonally adjusted data)</w:t>
      </w:r>
    </w:p>
  </w:footnote>
  <w:footnote w:id="4">
    <w:p w:rsidR="004649B5" w:rsidRPr="00F27355" w:rsidRDefault="004649B5" w:rsidP="00AA7122">
      <w:pPr>
        <w:pStyle w:val="FootnoteText"/>
        <w:contextualSpacing/>
        <w:rPr>
          <w:rFonts w:asciiTheme="minorHAnsi" w:hAnsiTheme="minorHAnsi" w:cstheme="minorHAnsi"/>
          <w:color w:val="auto"/>
          <w:lang w:val="en-AU"/>
        </w:rPr>
      </w:pPr>
      <w:r w:rsidRPr="00F27355">
        <w:rPr>
          <w:rStyle w:val="FootnoteReference"/>
          <w:rFonts w:asciiTheme="minorHAnsi" w:hAnsiTheme="minorHAnsi" w:cstheme="minorHAnsi"/>
          <w:color w:val="auto"/>
        </w:rPr>
        <w:footnoteRef/>
      </w:r>
      <w:r w:rsidRPr="00F27355">
        <w:rPr>
          <w:rFonts w:asciiTheme="minorHAnsi" w:hAnsiTheme="minorHAnsi" w:cstheme="minorHAnsi"/>
          <w:color w:val="auto"/>
        </w:rPr>
        <w:t xml:space="preserve"> </w:t>
      </w:r>
      <w:r w:rsidR="00F27355">
        <w:rPr>
          <w:rFonts w:asciiTheme="minorHAnsi" w:hAnsiTheme="minorHAnsi" w:cstheme="minorHAnsi"/>
          <w:color w:val="auto"/>
          <w:lang w:val="en-AU"/>
        </w:rPr>
        <w:t>Ibid.</w:t>
      </w:r>
    </w:p>
  </w:footnote>
  <w:footnote w:id="5">
    <w:p w:rsidR="00A3184E" w:rsidRPr="00F27355" w:rsidRDefault="00A3184E" w:rsidP="00A3184E">
      <w:pPr>
        <w:pStyle w:val="FootnoteText"/>
        <w:contextualSpacing/>
        <w:rPr>
          <w:rFonts w:asciiTheme="minorHAnsi" w:hAnsiTheme="minorHAnsi" w:cstheme="minorHAnsi"/>
          <w:color w:val="auto"/>
          <w:lang w:val="en-AU"/>
        </w:rPr>
      </w:pPr>
      <w:r w:rsidRPr="00F27355">
        <w:rPr>
          <w:rStyle w:val="FootnoteReference"/>
          <w:rFonts w:asciiTheme="minorHAnsi" w:hAnsiTheme="minorHAnsi" w:cstheme="minorHAnsi"/>
          <w:color w:val="auto"/>
        </w:rPr>
        <w:footnoteRef/>
      </w:r>
      <w:r w:rsidRPr="00F27355">
        <w:rPr>
          <w:rFonts w:asciiTheme="minorHAnsi" w:hAnsiTheme="minorHAnsi" w:cstheme="minorHAnsi"/>
          <w:color w:val="auto"/>
        </w:rPr>
        <w:t xml:space="preserve"> </w:t>
      </w:r>
      <w:r w:rsidRPr="00F27355">
        <w:rPr>
          <w:rFonts w:asciiTheme="minorHAnsi" w:hAnsiTheme="minorHAnsi" w:cstheme="minorHAnsi"/>
          <w:color w:val="auto"/>
          <w:lang w:val="en-AU"/>
        </w:rPr>
        <w:t>ABS Census of Popula</w:t>
      </w:r>
      <w:r w:rsidR="0075375E">
        <w:rPr>
          <w:rFonts w:asciiTheme="minorHAnsi" w:hAnsiTheme="minorHAnsi" w:cstheme="minorHAnsi"/>
          <w:color w:val="auto"/>
          <w:lang w:val="en-AU"/>
        </w:rPr>
        <w:t>tion and Housing 2011 (</w:t>
      </w:r>
      <w:r w:rsidRPr="00F27355">
        <w:rPr>
          <w:rFonts w:asciiTheme="minorHAnsi" w:hAnsiTheme="minorHAnsi" w:cstheme="minorHAnsi"/>
          <w:color w:val="auto"/>
          <w:lang w:val="en-AU"/>
        </w:rPr>
        <w:t>place of work</w:t>
      </w:r>
      <w:r w:rsidR="0075375E">
        <w:rPr>
          <w:rFonts w:asciiTheme="minorHAnsi" w:hAnsiTheme="minorHAnsi" w:cstheme="minorHAnsi"/>
          <w:color w:val="auto"/>
          <w:lang w:val="en-AU"/>
        </w:rPr>
        <w:t>, 2011</w:t>
      </w:r>
      <w:r>
        <w:rPr>
          <w:rFonts w:asciiTheme="minorHAnsi" w:hAnsiTheme="minorHAnsi" w:cstheme="minorHAnsi"/>
          <w:color w:val="auto"/>
          <w:lang w:val="en-AU"/>
        </w:rPr>
        <w:t xml:space="preserve"> </w:t>
      </w:r>
      <w:proofErr w:type="spellStart"/>
      <w:r>
        <w:rPr>
          <w:rFonts w:asciiTheme="minorHAnsi" w:hAnsiTheme="minorHAnsi" w:cstheme="minorHAnsi"/>
          <w:color w:val="auto"/>
          <w:lang w:val="en-AU"/>
        </w:rPr>
        <w:t>LGA</w:t>
      </w:r>
      <w:proofErr w:type="spellEnd"/>
      <w:r>
        <w:rPr>
          <w:rFonts w:asciiTheme="minorHAnsi" w:hAnsiTheme="minorHAnsi" w:cstheme="minorHAnsi"/>
          <w:color w:val="auto"/>
          <w:lang w:val="en-AU"/>
        </w:rPr>
        <w:t xml:space="preserve"> boundaries</w:t>
      </w:r>
      <w:r w:rsidRPr="00F27355">
        <w:rPr>
          <w:rFonts w:asciiTheme="minorHAnsi" w:hAnsiTheme="minorHAnsi" w:cstheme="minorHAnsi"/>
          <w:color w:val="auto"/>
          <w:lang w:val="en-AU"/>
        </w:rPr>
        <w:t>)</w:t>
      </w:r>
    </w:p>
  </w:footnote>
  <w:footnote w:id="6">
    <w:p w:rsidR="00DE7B00" w:rsidRPr="00DE7B00" w:rsidRDefault="00DE7B00">
      <w:pPr>
        <w:pStyle w:val="FootnoteText"/>
        <w:contextualSpacing/>
        <w:rPr>
          <w:lang w:val="en-AU"/>
        </w:rPr>
      </w:pPr>
      <w:r>
        <w:rPr>
          <w:rStyle w:val="FootnoteReference"/>
          <w:rFonts w:asciiTheme="minorHAnsi" w:hAnsiTheme="minorHAnsi" w:cstheme="minorHAnsi"/>
          <w:color w:val="auto"/>
        </w:rPr>
        <w:footnoteRef/>
      </w:r>
      <w:r w:rsidRPr="00DE7B00">
        <w:rPr>
          <w:rFonts w:asciiTheme="minorHAnsi" w:hAnsiTheme="minorHAnsi" w:cstheme="minorHAnsi"/>
          <w:color w:val="auto"/>
          <w:sz w:val="22"/>
          <w:szCs w:val="22"/>
          <w:lang w:val="en-AU"/>
        </w:rPr>
        <w:t xml:space="preserve"> </w:t>
      </w:r>
      <w:r w:rsidRPr="00F44FB6">
        <w:rPr>
          <w:rFonts w:asciiTheme="minorHAnsi" w:hAnsiTheme="minorHAnsi" w:cstheme="minorHAnsi"/>
          <w:color w:val="auto"/>
          <w:lang w:val="en-AU"/>
        </w:rPr>
        <w:t>ABS Census of Population and Housing, 2006 and 2011 (place of work</w:t>
      </w:r>
      <w:r w:rsidR="0075375E">
        <w:rPr>
          <w:rFonts w:asciiTheme="minorHAnsi" w:hAnsiTheme="minorHAnsi" w:cstheme="minorHAnsi"/>
          <w:color w:val="auto"/>
          <w:lang w:val="en-AU"/>
        </w:rPr>
        <w:t xml:space="preserve">, 2011 </w:t>
      </w:r>
      <w:proofErr w:type="spellStart"/>
      <w:r w:rsidR="0075375E">
        <w:rPr>
          <w:rFonts w:asciiTheme="minorHAnsi" w:hAnsiTheme="minorHAnsi" w:cstheme="minorHAnsi"/>
          <w:color w:val="auto"/>
          <w:lang w:val="en-AU"/>
        </w:rPr>
        <w:t>LGA</w:t>
      </w:r>
      <w:proofErr w:type="spellEnd"/>
      <w:r w:rsidR="0075375E">
        <w:rPr>
          <w:rFonts w:asciiTheme="minorHAnsi" w:hAnsiTheme="minorHAnsi" w:cstheme="minorHAnsi"/>
          <w:color w:val="auto"/>
          <w:lang w:val="en-AU"/>
        </w:rPr>
        <w:t xml:space="preserve"> boundaries</w:t>
      </w:r>
      <w:r w:rsidRPr="00F44FB6">
        <w:rPr>
          <w:rFonts w:asciiTheme="minorHAnsi" w:hAnsiTheme="minorHAnsi" w:cstheme="minorHAnsi"/>
          <w:color w:val="auto"/>
          <w:lang w:val="en-AU"/>
        </w:rPr>
        <w:t>)</w:t>
      </w:r>
    </w:p>
  </w:footnote>
  <w:footnote w:id="7">
    <w:p w:rsidR="00DC7C01" w:rsidRPr="00DC7C01" w:rsidRDefault="00DC7C01" w:rsidP="000D2BC1">
      <w:pPr>
        <w:pStyle w:val="FootnoteText"/>
        <w:contextualSpacing/>
        <w:rPr>
          <w:lang w:val="en-AU"/>
        </w:rPr>
      </w:pPr>
      <w:r>
        <w:rPr>
          <w:rStyle w:val="FootnoteReference"/>
          <w:rFonts w:asciiTheme="minorHAnsi" w:hAnsiTheme="minorHAnsi" w:cstheme="minorHAnsi"/>
          <w:color w:val="auto"/>
        </w:rPr>
        <w:footnoteRef/>
      </w:r>
      <w:r w:rsidRPr="00DC7C01">
        <w:rPr>
          <w:color w:val="auto"/>
        </w:rPr>
        <w:t xml:space="preserve"> </w:t>
      </w:r>
      <w:r w:rsidRPr="00AA7122">
        <w:rPr>
          <w:rFonts w:asciiTheme="minorHAnsi" w:hAnsiTheme="minorHAnsi" w:cstheme="minorHAnsi"/>
          <w:color w:val="auto"/>
          <w:lang w:val="en-AU"/>
        </w:rPr>
        <w:t>DEEWR Small Area Labour Markets, December 2012</w:t>
      </w:r>
      <w:r w:rsidR="0075375E">
        <w:rPr>
          <w:rFonts w:asciiTheme="minorHAnsi" w:hAnsiTheme="minorHAnsi" w:cstheme="minorHAnsi"/>
          <w:color w:val="auto"/>
          <w:lang w:val="en-AU"/>
        </w:rPr>
        <w:t xml:space="preserve"> (2011</w:t>
      </w:r>
      <w:r w:rsidR="00A3184E">
        <w:rPr>
          <w:rFonts w:asciiTheme="minorHAnsi" w:hAnsiTheme="minorHAnsi" w:cstheme="minorHAnsi"/>
          <w:color w:val="auto"/>
          <w:lang w:val="en-AU"/>
        </w:rPr>
        <w:t xml:space="preserve"> </w:t>
      </w:r>
      <w:proofErr w:type="spellStart"/>
      <w:r w:rsidR="00A3184E">
        <w:rPr>
          <w:rFonts w:asciiTheme="minorHAnsi" w:hAnsiTheme="minorHAnsi" w:cstheme="minorHAnsi"/>
          <w:color w:val="auto"/>
          <w:lang w:val="en-AU"/>
        </w:rPr>
        <w:t>LGA</w:t>
      </w:r>
      <w:proofErr w:type="spellEnd"/>
      <w:r w:rsidR="00A3184E">
        <w:rPr>
          <w:rFonts w:asciiTheme="minorHAnsi" w:hAnsiTheme="minorHAnsi" w:cstheme="minorHAnsi"/>
          <w:color w:val="auto"/>
          <w:lang w:val="en-AU"/>
        </w:rPr>
        <w:t xml:space="preserve"> boundaries)</w:t>
      </w:r>
    </w:p>
  </w:footnote>
  <w:footnote w:id="8">
    <w:p w:rsidR="00083669" w:rsidRPr="00083669" w:rsidRDefault="00083669" w:rsidP="00083669">
      <w:pPr>
        <w:pStyle w:val="FootnoteText"/>
        <w:contextualSpacing/>
        <w:rPr>
          <w:lang w:val="en-AU"/>
        </w:rPr>
      </w:pPr>
      <w:r w:rsidRPr="00083669">
        <w:rPr>
          <w:rStyle w:val="FootnoteReference"/>
          <w:rFonts w:cstheme="minorHAnsi"/>
          <w:color w:val="auto"/>
          <w:sz w:val="24"/>
        </w:rPr>
        <w:footnoteRef/>
      </w:r>
      <w:r>
        <w:t xml:space="preserve"> </w:t>
      </w:r>
      <w:r>
        <w:rPr>
          <w:rFonts w:asciiTheme="minorHAnsi" w:hAnsiTheme="minorHAnsi" w:cstheme="minorHAnsi"/>
          <w:color w:val="auto"/>
          <w:lang w:val="en-AU"/>
        </w:rPr>
        <w:t xml:space="preserve">ABS Census of Population and Housing, 2011 (place of work, </w:t>
      </w:r>
      <w:r w:rsidR="0075375E">
        <w:rPr>
          <w:rFonts w:asciiTheme="minorHAnsi" w:hAnsiTheme="minorHAnsi" w:cstheme="minorHAnsi"/>
          <w:color w:val="auto"/>
          <w:lang w:val="en-AU"/>
        </w:rPr>
        <w:t>2011</w:t>
      </w:r>
      <w:r>
        <w:rPr>
          <w:rFonts w:asciiTheme="minorHAnsi" w:hAnsiTheme="minorHAnsi" w:cstheme="minorHAnsi"/>
          <w:color w:val="auto"/>
          <w:lang w:val="en-AU"/>
        </w:rPr>
        <w:t xml:space="preserve"> </w:t>
      </w:r>
      <w:proofErr w:type="spellStart"/>
      <w:r>
        <w:rPr>
          <w:rFonts w:asciiTheme="minorHAnsi" w:hAnsiTheme="minorHAnsi" w:cstheme="minorHAnsi"/>
          <w:color w:val="auto"/>
          <w:lang w:val="en-AU"/>
        </w:rPr>
        <w:t>LGA</w:t>
      </w:r>
      <w:proofErr w:type="spellEnd"/>
      <w:r>
        <w:rPr>
          <w:rFonts w:asciiTheme="minorHAnsi" w:hAnsiTheme="minorHAnsi" w:cstheme="minorHAnsi"/>
          <w:color w:val="auto"/>
          <w:lang w:val="en-AU"/>
        </w:rPr>
        <w:t xml:space="preserve"> boundaries)</w:t>
      </w:r>
    </w:p>
  </w:footnote>
  <w:footnote w:id="9">
    <w:p w:rsidR="00083669" w:rsidRPr="00083669" w:rsidRDefault="00083669" w:rsidP="00083669">
      <w:pPr>
        <w:pStyle w:val="FootnoteText"/>
        <w:contextualSpacing/>
        <w:rPr>
          <w:lang w:val="en-AU"/>
        </w:rPr>
      </w:pPr>
      <w:r>
        <w:rPr>
          <w:rStyle w:val="FootnoteReference"/>
          <w:rFonts w:asciiTheme="minorHAnsi" w:hAnsiTheme="minorHAnsi" w:cstheme="minorHAnsi"/>
          <w:color w:val="auto"/>
        </w:rPr>
        <w:footnoteRef/>
      </w:r>
      <w:r>
        <w:t xml:space="preserve"> </w:t>
      </w:r>
      <w:r>
        <w:rPr>
          <w:rFonts w:asciiTheme="minorHAnsi" w:hAnsiTheme="minorHAnsi" w:cstheme="minorHAnsi"/>
          <w:color w:val="auto"/>
          <w:lang w:val="en-AU"/>
        </w:rPr>
        <w:t>Ibid.</w:t>
      </w:r>
    </w:p>
  </w:footnote>
  <w:footnote w:id="10">
    <w:p w:rsidR="00083669" w:rsidRPr="00083669" w:rsidRDefault="00083669" w:rsidP="00083669">
      <w:pPr>
        <w:pStyle w:val="FootnoteText"/>
        <w:contextualSpacing/>
        <w:rPr>
          <w:lang w:val="en-AU"/>
        </w:rPr>
      </w:pPr>
      <w:r>
        <w:rPr>
          <w:rStyle w:val="FootnoteReference"/>
          <w:rFonts w:asciiTheme="minorHAnsi" w:hAnsiTheme="minorHAnsi" w:cstheme="minorHAnsi"/>
          <w:color w:val="auto"/>
          <w:szCs w:val="24"/>
        </w:rPr>
        <w:footnoteRef/>
      </w:r>
      <w:r>
        <w:rPr>
          <w:rFonts w:asciiTheme="minorHAnsi" w:hAnsiTheme="minorHAnsi" w:cstheme="minorHAnsi"/>
          <w:color w:val="auto"/>
          <w:lang w:val="en-AU"/>
        </w:rPr>
        <w:t xml:space="preserve"> Ibid.</w:t>
      </w:r>
    </w:p>
  </w:footnote>
  <w:footnote w:id="11">
    <w:p w:rsidR="00810A91" w:rsidRPr="00810A91" w:rsidRDefault="00810A91" w:rsidP="00480F66">
      <w:pPr>
        <w:pStyle w:val="FootnoteText"/>
        <w:spacing w:line="240" w:lineRule="auto"/>
        <w:rPr>
          <w:rFonts w:asciiTheme="minorHAnsi" w:hAnsiTheme="minorHAnsi" w:cstheme="minorHAnsi"/>
          <w:sz w:val="22"/>
          <w:szCs w:val="22"/>
          <w:lang w:val="en-AU"/>
        </w:rPr>
      </w:pPr>
      <w:r w:rsidRPr="00810A91">
        <w:rPr>
          <w:rStyle w:val="FootnoteReference"/>
          <w:rFonts w:asciiTheme="minorHAnsi" w:hAnsiTheme="minorHAnsi" w:cstheme="minorHAnsi"/>
          <w:color w:val="auto"/>
          <w:sz w:val="22"/>
          <w:szCs w:val="22"/>
        </w:rPr>
        <w:footnoteRef/>
      </w:r>
      <w:r w:rsidRPr="00810A91">
        <w:rPr>
          <w:rFonts w:asciiTheme="minorHAnsi" w:hAnsiTheme="minorHAnsi" w:cstheme="minorHAnsi"/>
          <w:color w:val="auto"/>
          <w:sz w:val="22"/>
          <w:szCs w:val="22"/>
        </w:rPr>
        <w:t xml:space="preserve"> </w:t>
      </w:r>
      <w:r w:rsidRPr="00F44FB6">
        <w:rPr>
          <w:rFonts w:asciiTheme="minorHAnsi" w:hAnsiTheme="minorHAnsi" w:cstheme="minorHAnsi"/>
          <w:color w:val="auto"/>
          <w:lang w:val="en-AU"/>
        </w:rPr>
        <w:t>ABS Census of Population and Housing, 2006 and 2011</w:t>
      </w:r>
      <w:r w:rsidR="00480F66">
        <w:rPr>
          <w:rFonts w:asciiTheme="minorHAnsi" w:hAnsiTheme="minorHAnsi" w:cstheme="minorHAnsi"/>
          <w:color w:val="auto"/>
          <w:lang w:val="en-AU"/>
        </w:rPr>
        <w:t xml:space="preserve">, combined Ipswich and Logan </w:t>
      </w:r>
      <w:proofErr w:type="spellStart"/>
      <w:r w:rsidR="00480F66">
        <w:rPr>
          <w:rFonts w:asciiTheme="minorHAnsi" w:hAnsiTheme="minorHAnsi" w:cstheme="minorHAnsi"/>
          <w:color w:val="auto"/>
          <w:lang w:val="en-AU"/>
        </w:rPr>
        <w:t>LGAs</w:t>
      </w:r>
      <w:proofErr w:type="spellEnd"/>
      <w:r w:rsidR="003B5D1D">
        <w:rPr>
          <w:rFonts w:asciiTheme="minorHAnsi" w:hAnsiTheme="minorHAnsi" w:cstheme="minorHAnsi"/>
          <w:color w:val="auto"/>
          <w:lang w:val="en-AU"/>
        </w:rPr>
        <w:t xml:space="preserve"> (</w:t>
      </w:r>
      <w:r w:rsidRPr="00F44FB6">
        <w:rPr>
          <w:rFonts w:asciiTheme="minorHAnsi" w:hAnsiTheme="minorHAnsi" w:cstheme="minorHAnsi"/>
          <w:color w:val="auto"/>
          <w:lang w:val="en-AU"/>
        </w:rPr>
        <w:t>place of work</w:t>
      </w:r>
      <w:r w:rsidR="0075375E">
        <w:rPr>
          <w:rFonts w:asciiTheme="minorHAnsi" w:hAnsiTheme="minorHAnsi" w:cstheme="minorHAnsi"/>
          <w:color w:val="auto"/>
          <w:lang w:val="en-AU"/>
        </w:rPr>
        <w:t>, 2011</w:t>
      </w:r>
      <w:r w:rsidR="00480F66">
        <w:rPr>
          <w:rFonts w:asciiTheme="minorHAnsi" w:hAnsiTheme="minorHAnsi" w:cstheme="minorHAnsi"/>
          <w:color w:val="auto"/>
          <w:lang w:val="en-AU"/>
        </w:rPr>
        <w:t xml:space="preserve"> </w:t>
      </w:r>
      <w:proofErr w:type="spellStart"/>
      <w:r w:rsidR="00480F66">
        <w:rPr>
          <w:rFonts w:asciiTheme="minorHAnsi" w:hAnsiTheme="minorHAnsi" w:cstheme="minorHAnsi"/>
          <w:color w:val="auto"/>
          <w:lang w:val="en-AU"/>
        </w:rPr>
        <w:t>LGA</w:t>
      </w:r>
      <w:proofErr w:type="spellEnd"/>
      <w:r w:rsidR="00480F66">
        <w:rPr>
          <w:rFonts w:asciiTheme="minorHAnsi" w:hAnsiTheme="minorHAnsi" w:cstheme="minorHAnsi"/>
          <w:color w:val="auto"/>
          <w:lang w:val="en-AU"/>
        </w:rPr>
        <w:t xml:space="preserve"> boundaries</w:t>
      </w:r>
      <w:r w:rsidRPr="00F44FB6">
        <w:rPr>
          <w:rFonts w:asciiTheme="minorHAnsi" w:hAnsiTheme="minorHAnsi" w:cstheme="minorHAnsi"/>
          <w:color w:val="auto"/>
          <w:lang w:val="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1B" w:rsidRDefault="007713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1B" w:rsidRPr="00F1256C" w:rsidRDefault="00961EC5" w:rsidP="00F1256C">
    <w:pPr>
      <w:pStyle w:val="BodyText"/>
      <w:jc w:val="right"/>
      <w:rPr>
        <w:color w:val="808080" w:themeColor="background1" w:themeShade="80"/>
      </w:rPr>
    </w:pPr>
    <w:r>
      <w:rPr>
        <w:color w:val="808080" w:themeColor="background1" w:themeShade="80"/>
      </w:rPr>
      <w:t>Ipswich-Logan</w:t>
    </w:r>
    <w:r w:rsidR="0077131B">
      <w:rPr>
        <w:color w:val="808080" w:themeColor="background1" w:themeShade="80"/>
      </w:rPr>
      <w:t xml:space="preserve"> Priority Employment Area Report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1B" w:rsidRPr="00D56ACC" w:rsidRDefault="00D56ACC" w:rsidP="00D56ACC">
    <w:pPr>
      <w:pStyle w:val="BodyText"/>
      <w:jc w:val="right"/>
      <w:rPr>
        <w:color w:val="808080" w:themeColor="background1" w:themeShade="80"/>
      </w:rPr>
    </w:pPr>
    <w:r>
      <w:rPr>
        <w:color w:val="808080" w:themeColor="background1" w:themeShade="80"/>
      </w:rPr>
      <w:t xml:space="preserve">Ipswich-Logan Priority Employment Area Report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1B" w:rsidRPr="00F1256C" w:rsidRDefault="00961EC5" w:rsidP="00690AB6">
    <w:pPr>
      <w:pStyle w:val="BodyText"/>
      <w:jc w:val="right"/>
      <w:rPr>
        <w:color w:val="808080" w:themeColor="background1" w:themeShade="80"/>
      </w:rPr>
    </w:pPr>
    <w:r>
      <w:rPr>
        <w:color w:val="808080" w:themeColor="background1" w:themeShade="80"/>
      </w:rPr>
      <w:t>Ipswich-Logan</w:t>
    </w:r>
    <w:r w:rsidR="0077131B">
      <w:rPr>
        <w:color w:val="808080" w:themeColor="background1" w:themeShade="80"/>
      </w:rPr>
      <w:t xml:space="preserve"> Priority Employment Area Report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5D4F640"/>
    <w:lvl w:ilvl="0">
      <w:start w:val="1"/>
      <w:numFmt w:val="decimal"/>
      <w:pStyle w:val="ListNumber"/>
      <w:lvlText w:val="%1."/>
      <w:lvlJc w:val="left"/>
      <w:pPr>
        <w:tabs>
          <w:tab w:val="num" w:pos="360"/>
        </w:tabs>
        <w:ind w:left="360" w:hanging="360"/>
      </w:pPr>
    </w:lvl>
  </w:abstractNum>
  <w:abstractNum w:abstractNumId="1">
    <w:nsid w:val="FFFFFF89"/>
    <w:multiLevelType w:val="singleLevel"/>
    <w:tmpl w:val="D6DEAEC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nsid w:val="28B970DE"/>
    <w:multiLevelType w:val="hybridMultilevel"/>
    <w:tmpl w:val="A2307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CC25B93"/>
    <w:multiLevelType w:val="multilevel"/>
    <w:tmpl w:val="072C9B8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0DB772B"/>
    <w:multiLevelType w:val="hybridMultilevel"/>
    <w:tmpl w:val="7C7E8942"/>
    <w:lvl w:ilvl="0" w:tplc="4DA076B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9C56887"/>
    <w:multiLevelType w:val="hybridMultilevel"/>
    <w:tmpl w:val="94809502"/>
    <w:lvl w:ilvl="0" w:tplc="0AA852E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C9A24A2"/>
    <w:multiLevelType w:val="hybridMultilevel"/>
    <w:tmpl w:val="1C7ADB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D3E6A10"/>
    <w:multiLevelType w:val="hybridMultilevel"/>
    <w:tmpl w:val="68E48252"/>
    <w:lvl w:ilvl="0" w:tplc="2230EBF8">
      <w:start w:val="1"/>
      <w:numFmt w:val="bullet"/>
      <w:pStyle w:val="Shaded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E283F33"/>
    <w:multiLevelType w:val="hybridMultilevel"/>
    <w:tmpl w:val="A5E615DE"/>
    <w:lvl w:ilvl="0" w:tplc="6AC8116A">
      <w:start w:val="1"/>
      <w:numFmt w:val="bullet"/>
      <w:lvlText w:val=""/>
      <w:lvlJc w:val="left"/>
      <w:pPr>
        <w:tabs>
          <w:tab w:val="num" w:pos="360"/>
        </w:tabs>
        <w:ind w:left="360" w:hanging="360"/>
      </w:pPr>
      <w:rPr>
        <w:rFonts w:ascii="Symbol" w:hAnsi="Symbol" w:hint="default"/>
        <w:color w:val="00529C"/>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7B6622B"/>
    <w:multiLevelType w:val="hybridMultilevel"/>
    <w:tmpl w:val="D6BC6EF4"/>
    <w:lvl w:ilvl="0" w:tplc="2410FEF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2"/>
  </w:num>
  <w:num w:numId="9">
    <w:abstractNumId w:val="6"/>
  </w:num>
  <w:num w:numId="10">
    <w:abstractNumId w:val="7"/>
  </w:num>
  <w:num w:numId="11">
    <w:abstractNumId w:val="10"/>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2268"/>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860A9"/>
    <w:rsid w:val="0000048F"/>
    <w:rsid w:val="00003A96"/>
    <w:rsid w:val="00004D59"/>
    <w:rsid w:val="000078B6"/>
    <w:rsid w:val="00011C9C"/>
    <w:rsid w:val="000127B6"/>
    <w:rsid w:val="00032567"/>
    <w:rsid w:val="0004034C"/>
    <w:rsid w:val="0004101C"/>
    <w:rsid w:val="0004294B"/>
    <w:rsid w:val="00055FBE"/>
    <w:rsid w:val="00063D8C"/>
    <w:rsid w:val="00067ED7"/>
    <w:rsid w:val="00072253"/>
    <w:rsid w:val="0007347D"/>
    <w:rsid w:val="00074B0D"/>
    <w:rsid w:val="00083669"/>
    <w:rsid w:val="000A2103"/>
    <w:rsid w:val="000A407C"/>
    <w:rsid w:val="000A7170"/>
    <w:rsid w:val="000C41FD"/>
    <w:rsid w:val="000D1C0B"/>
    <w:rsid w:val="000D2BC1"/>
    <w:rsid w:val="000D32F8"/>
    <w:rsid w:val="000D73FB"/>
    <w:rsid w:val="000D78C0"/>
    <w:rsid w:val="000E7714"/>
    <w:rsid w:val="000F0F54"/>
    <w:rsid w:val="000F4437"/>
    <w:rsid w:val="000F4F89"/>
    <w:rsid w:val="001000CD"/>
    <w:rsid w:val="0010049B"/>
    <w:rsid w:val="00101927"/>
    <w:rsid w:val="00111482"/>
    <w:rsid w:val="00112DB9"/>
    <w:rsid w:val="001160EB"/>
    <w:rsid w:val="00117DE4"/>
    <w:rsid w:val="001207F1"/>
    <w:rsid w:val="001267B1"/>
    <w:rsid w:val="00126AE0"/>
    <w:rsid w:val="0013403C"/>
    <w:rsid w:val="00142F51"/>
    <w:rsid w:val="001439D9"/>
    <w:rsid w:val="00143D12"/>
    <w:rsid w:val="00146B6E"/>
    <w:rsid w:val="00152435"/>
    <w:rsid w:val="00166216"/>
    <w:rsid w:val="00172DD5"/>
    <w:rsid w:val="001745BD"/>
    <w:rsid w:val="001778DC"/>
    <w:rsid w:val="00181916"/>
    <w:rsid w:val="00184742"/>
    <w:rsid w:val="00186D39"/>
    <w:rsid w:val="001906F0"/>
    <w:rsid w:val="00190E2E"/>
    <w:rsid w:val="001969D0"/>
    <w:rsid w:val="001972D5"/>
    <w:rsid w:val="0019736B"/>
    <w:rsid w:val="001A2387"/>
    <w:rsid w:val="001A4A25"/>
    <w:rsid w:val="001A71DC"/>
    <w:rsid w:val="001B270A"/>
    <w:rsid w:val="001B2E59"/>
    <w:rsid w:val="001B3A5A"/>
    <w:rsid w:val="001B46DE"/>
    <w:rsid w:val="001B4E33"/>
    <w:rsid w:val="001B7783"/>
    <w:rsid w:val="001C08B6"/>
    <w:rsid w:val="001D2646"/>
    <w:rsid w:val="001D51EA"/>
    <w:rsid w:val="001E09AB"/>
    <w:rsid w:val="001E1498"/>
    <w:rsid w:val="001E4EB3"/>
    <w:rsid w:val="001E6155"/>
    <w:rsid w:val="001F4B9B"/>
    <w:rsid w:val="001F5F58"/>
    <w:rsid w:val="002105B1"/>
    <w:rsid w:val="00214486"/>
    <w:rsid w:val="00217C2B"/>
    <w:rsid w:val="0022116C"/>
    <w:rsid w:val="00222483"/>
    <w:rsid w:val="00223EB5"/>
    <w:rsid w:val="00225B62"/>
    <w:rsid w:val="00227EC7"/>
    <w:rsid w:val="00230334"/>
    <w:rsid w:val="00233F73"/>
    <w:rsid w:val="00234E21"/>
    <w:rsid w:val="002374E1"/>
    <w:rsid w:val="00242EBE"/>
    <w:rsid w:val="00243E11"/>
    <w:rsid w:val="002459D3"/>
    <w:rsid w:val="00245E38"/>
    <w:rsid w:val="00247830"/>
    <w:rsid w:val="0025435B"/>
    <w:rsid w:val="00262EA6"/>
    <w:rsid w:val="00264AAD"/>
    <w:rsid w:val="00276640"/>
    <w:rsid w:val="00277E54"/>
    <w:rsid w:val="00284C50"/>
    <w:rsid w:val="002923D5"/>
    <w:rsid w:val="002966E7"/>
    <w:rsid w:val="002A0BD8"/>
    <w:rsid w:val="002A22E4"/>
    <w:rsid w:val="002B121C"/>
    <w:rsid w:val="002B3206"/>
    <w:rsid w:val="002B49FA"/>
    <w:rsid w:val="002B5373"/>
    <w:rsid w:val="002C1FDF"/>
    <w:rsid w:val="002C57CD"/>
    <w:rsid w:val="002D65A8"/>
    <w:rsid w:val="002E300D"/>
    <w:rsid w:val="002E35D3"/>
    <w:rsid w:val="002F0627"/>
    <w:rsid w:val="002F0DFC"/>
    <w:rsid w:val="002F699A"/>
    <w:rsid w:val="002F76D9"/>
    <w:rsid w:val="002F7D71"/>
    <w:rsid w:val="003058B1"/>
    <w:rsid w:val="003136CF"/>
    <w:rsid w:val="003175DF"/>
    <w:rsid w:val="003213DE"/>
    <w:rsid w:val="003218C1"/>
    <w:rsid w:val="00322D0A"/>
    <w:rsid w:val="0032332A"/>
    <w:rsid w:val="003249FF"/>
    <w:rsid w:val="00333970"/>
    <w:rsid w:val="0033715B"/>
    <w:rsid w:val="00342340"/>
    <w:rsid w:val="00342BCA"/>
    <w:rsid w:val="00387781"/>
    <w:rsid w:val="003B2FC2"/>
    <w:rsid w:val="003B37D6"/>
    <w:rsid w:val="003B5D1D"/>
    <w:rsid w:val="003B7869"/>
    <w:rsid w:val="003D004B"/>
    <w:rsid w:val="003D35DB"/>
    <w:rsid w:val="003D56DB"/>
    <w:rsid w:val="003D5EA7"/>
    <w:rsid w:val="003D653C"/>
    <w:rsid w:val="003E0B71"/>
    <w:rsid w:val="003E387D"/>
    <w:rsid w:val="003F0844"/>
    <w:rsid w:val="003F134A"/>
    <w:rsid w:val="003F7908"/>
    <w:rsid w:val="00403900"/>
    <w:rsid w:val="004062CB"/>
    <w:rsid w:val="004118E1"/>
    <w:rsid w:val="00416256"/>
    <w:rsid w:val="00417AD7"/>
    <w:rsid w:val="00421C94"/>
    <w:rsid w:val="004270EB"/>
    <w:rsid w:val="004319E6"/>
    <w:rsid w:val="004379C4"/>
    <w:rsid w:val="00440945"/>
    <w:rsid w:val="00441371"/>
    <w:rsid w:val="00444473"/>
    <w:rsid w:val="00444DB7"/>
    <w:rsid w:val="00455077"/>
    <w:rsid w:val="004622B0"/>
    <w:rsid w:val="004649B5"/>
    <w:rsid w:val="00465B8E"/>
    <w:rsid w:val="004661CD"/>
    <w:rsid w:val="00466200"/>
    <w:rsid w:val="00471FC2"/>
    <w:rsid w:val="00472951"/>
    <w:rsid w:val="004756EC"/>
    <w:rsid w:val="00480F66"/>
    <w:rsid w:val="004822CA"/>
    <w:rsid w:val="00485223"/>
    <w:rsid w:val="00486696"/>
    <w:rsid w:val="00491613"/>
    <w:rsid w:val="004924D7"/>
    <w:rsid w:val="00492AB6"/>
    <w:rsid w:val="00492EF0"/>
    <w:rsid w:val="00497B0B"/>
    <w:rsid w:val="004A67FA"/>
    <w:rsid w:val="004B032A"/>
    <w:rsid w:val="004B15D8"/>
    <w:rsid w:val="004B1A2D"/>
    <w:rsid w:val="004C62AE"/>
    <w:rsid w:val="004C6FD4"/>
    <w:rsid w:val="004D282B"/>
    <w:rsid w:val="004E0C66"/>
    <w:rsid w:val="004E336E"/>
    <w:rsid w:val="004E78FE"/>
    <w:rsid w:val="004E7D6E"/>
    <w:rsid w:val="004F1D29"/>
    <w:rsid w:val="004F47E1"/>
    <w:rsid w:val="00501674"/>
    <w:rsid w:val="00505489"/>
    <w:rsid w:val="00507DC0"/>
    <w:rsid w:val="005104D3"/>
    <w:rsid w:val="005122CD"/>
    <w:rsid w:val="005143CA"/>
    <w:rsid w:val="005148A9"/>
    <w:rsid w:val="00514D35"/>
    <w:rsid w:val="00515E5C"/>
    <w:rsid w:val="00520488"/>
    <w:rsid w:val="0053380C"/>
    <w:rsid w:val="005341A8"/>
    <w:rsid w:val="00540CF5"/>
    <w:rsid w:val="00546211"/>
    <w:rsid w:val="005578D6"/>
    <w:rsid w:val="00564097"/>
    <w:rsid w:val="005640B6"/>
    <w:rsid w:val="00574D1C"/>
    <w:rsid w:val="00577029"/>
    <w:rsid w:val="005801CC"/>
    <w:rsid w:val="00581540"/>
    <w:rsid w:val="00584F6F"/>
    <w:rsid w:val="00586DBB"/>
    <w:rsid w:val="005874C9"/>
    <w:rsid w:val="005948D3"/>
    <w:rsid w:val="005A3486"/>
    <w:rsid w:val="005A4825"/>
    <w:rsid w:val="005B0245"/>
    <w:rsid w:val="005B0FE4"/>
    <w:rsid w:val="005B4457"/>
    <w:rsid w:val="005B4835"/>
    <w:rsid w:val="005C4183"/>
    <w:rsid w:val="005C4C20"/>
    <w:rsid w:val="005C6A9C"/>
    <w:rsid w:val="005C76D2"/>
    <w:rsid w:val="005D63F2"/>
    <w:rsid w:val="005E2E45"/>
    <w:rsid w:val="005E6B70"/>
    <w:rsid w:val="005F19A4"/>
    <w:rsid w:val="005F5F3C"/>
    <w:rsid w:val="006144EF"/>
    <w:rsid w:val="006202C4"/>
    <w:rsid w:val="00621988"/>
    <w:rsid w:val="006220BE"/>
    <w:rsid w:val="00623289"/>
    <w:rsid w:val="006300F9"/>
    <w:rsid w:val="0063531A"/>
    <w:rsid w:val="006503D7"/>
    <w:rsid w:val="00650AB3"/>
    <w:rsid w:val="00652E71"/>
    <w:rsid w:val="00655013"/>
    <w:rsid w:val="00657ED7"/>
    <w:rsid w:val="00663686"/>
    <w:rsid w:val="0066661B"/>
    <w:rsid w:val="00666A8E"/>
    <w:rsid w:val="00667CB1"/>
    <w:rsid w:val="00676E3A"/>
    <w:rsid w:val="0068504B"/>
    <w:rsid w:val="00685068"/>
    <w:rsid w:val="00687FEC"/>
    <w:rsid w:val="00690AB6"/>
    <w:rsid w:val="006940C8"/>
    <w:rsid w:val="00694856"/>
    <w:rsid w:val="00697D73"/>
    <w:rsid w:val="006C32D8"/>
    <w:rsid w:val="006C6F4D"/>
    <w:rsid w:val="006C7EFD"/>
    <w:rsid w:val="006D0101"/>
    <w:rsid w:val="006D24B7"/>
    <w:rsid w:val="006D521D"/>
    <w:rsid w:val="006E4573"/>
    <w:rsid w:val="006E5CD7"/>
    <w:rsid w:val="006E74C6"/>
    <w:rsid w:val="00700ACA"/>
    <w:rsid w:val="00700BA4"/>
    <w:rsid w:val="007023CE"/>
    <w:rsid w:val="00706644"/>
    <w:rsid w:val="00711B61"/>
    <w:rsid w:val="00712E11"/>
    <w:rsid w:val="00714603"/>
    <w:rsid w:val="00715031"/>
    <w:rsid w:val="00720595"/>
    <w:rsid w:val="007261A3"/>
    <w:rsid w:val="007309AE"/>
    <w:rsid w:val="00741377"/>
    <w:rsid w:val="00742C0A"/>
    <w:rsid w:val="007459C7"/>
    <w:rsid w:val="00750BEF"/>
    <w:rsid w:val="0075153F"/>
    <w:rsid w:val="007519A5"/>
    <w:rsid w:val="0075375E"/>
    <w:rsid w:val="00757DA7"/>
    <w:rsid w:val="00764B9F"/>
    <w:rsid w:val="0076561D"/>
    <w:rsid w:val="0077131B"/>
    <w:rsid w:val="0077463D"/>
    <w:rsid w:val="00775F54"/>
    <w:rsid w:val="007858E9"/>
    <w:rsid w:val="00790B92"/>
    <w:rsid w:val="00793116"/>
    <w:rsid w:val="00793169"/>
    <w:rsid w:val="00793E26"/>
    <w:rsid w:val="007A73EB"/>
    <w:rsid w:val="007B2339"/>
    <w:rsid w:val="007C61E6"/>
    <w:rsid w:val="007C6E0F"/>
    <w:rsid w:val="007C7AA8"/>
    <w:rsid w:val="007D1BE8"/>
    <w:rsid w:val="007D372A"/>
    <w:rsid w:val="007E1EA9"/>
    <w:rsid w:val="007E25A2"/>
    <w:rsid w:val="007F36DA"/>
    <w:rsid w:val="007F4073"/>
    <w:rsid w:val="007F6A60"/>
    <w:rsid w:val="007F771D"/>
    <w:rsid w:val="00810A91"/>
    <w:rsid w:val="00812446"/>
    <w:rsid w:val="00822942"/>
    <w:rsid w:val="00834551"/>
    <w:rsid w:val="008349BC"/>
    <w:rsid w:val="00834BAA"/>
    <w:rsid w:val="008356E1"/>
    <w:rsid w:val="00842CDE"/>
    <w:rsid w:val="00844989"/>
    <w:rsid w:val="00845565"/>
    <w:rsid w:val="0085256F"/>
    <w:rsid w:val="00857D83"/>
    <w:rsid w:val="0086685D"/>
    <w:rsid w:val="00866D58"/>
    <w:rsid w:val="008672D3"/>
    <w:rsid w:val="00871FA2"/>
    <w:rsid w:val="00872D6E"/>
    <w:rsid w:val="008765FF"/>
    <w:rsid w:val="008823C4"/>
    <w:rsid w:val="00883D5E"/>
    <w:rsid w:val="00887E9C"/>
    <w:rsid w:val="008939B0"/>
    <w:rsid w:val="008A1AC3"/>
    <w:rsid w:val="008A6E76"/>
    <w:rsid w:val="008B316E"/>
    <w:rsid w:val="008B5A30"/>
    <w:rsid w:val="008C724C"/>
    <w:rsid w:val="008C7B3E"/>
    <w:rsid w:val="008D00C6"/>
    <w:rsid w:val="008D30C5"/>
    <w:rsid w:val="008D7038"/>
    <w:rsid w:val="008E0809"/>
    <w:rsid w:val="008E26FC"/>
    <w:rsid w:val="008E287D"/>
    <w:rsid w:val="008E4642"/>
    <w:rsid w:val="008E4A5A"/>
    <w:rsid w:val="008E4DA0"/>
    <w:rsid w:val="008F0CC3"/>
    <w:rsid w:val="008F15E4"/>
    <w:rsid w:val="00900096"/>
    <w:rsid w:val="00913233"/>
    <w:rsid w:val="009133BE"/>
    <w:rsid w:val="00916EF2"/>
    <w:rsid w:val="009203A6"/>
    <w:rsid w:val="00922822"/>
    <w:rsid w:val="00924595"/>
    <w:rsid w:val="0092685F"/>
    <w:rsid w:val="00927C00"/>
    <w:rsid w:val="00936382"/>
    <w:rsid w:val="00936D35"/>
    <w:rsid w:val="009419A5"/>
    <w:rsid w:val="00941E9C"/>
    <w:rsid w:val="009424D7"/>
    <w:rsid w:val="00944C6B"/>
    <w:rsid w:val="00944F45"/>
    <w:rsid w:val="0095065C"/>
    <w:rsid w:val="00951F2A"/>
    <w:rsid w:val="009528B9"/>
    <w:rsid w:val="00953BA2"/>
    <w:rsid w:val="009557F3"/>
    <w:rsid w:val="0095643C"/>
    <w:rsid w:val="0096063A"/>
    <w:rsid w:val="00961EC5"/>
    <w:rsid w:val="009658D1"/>
    <w:rsid w:val="00971F92"/>
    <w:rsid w:val="00973EC5"/>
    <w:rsid w:val="0097493D"/>
    <w:rsid w:val="00974A8E"/>
    <w:rsid w:val="0098616D"/>
    <w:rsid w:val="009A5A1D"/>
    <w:rsid w:val="009B754D"/>
    <w:rsid w:val="009C101D"/>
    <w:rsid w:val="009C4E05"/>
    <w:rsid w:val="009D1163"/>
    <w:rsid w:val="009D4220"/>
    <w:rsid w:val="009D5AE8"/>
    <w:rsid w:val="009D79DB"/>
    <w:rsid w:val="009E0A7B"/>
    <w:rsid w:val="009E2717"/>
    <w:rsid w:val="009E4E8E"/>
    <w:rsid w:val="009E7367"/>
    <w:rsid w:val="009F15D5"/>
    <w:rsid w:val="009F1AE2"/>
    <w:rsid w:val="009F77C5"/>
    <w:rsid w:val="00A1196B"/>
    <w:rsid w:val="00A144B2"/>
    <w:rsid w:val="00A147F3"/>
    <w:rsid w:val="00A2366C"/>
    <w:rsid w:val="00A241EE"/>
    <w:rsid w:val="00A249D4"/>
    <w:rsid w:val="00A26ADF"/>
    <w:rsid w:val="00A27279"/>
    <w:rsid w:val="00A309CC"/>
    <w:rsid w:val="00A3184E"/>
    <w:rsid w:val="00A320DD"/>
    <w:rsid w:val="00A355FD"/>
    <w:rsid w:val="00A51B37"/>
    <w:rsid w:val="00A528D1"/>
    <w:rsid w:val="00A53C45"/>
    <w:rsid w:val="00A542C6"/>
    <w:rsid w:val="00A54BF3"/>
    <w:rsid w:val="00A55D16"/>
    <w:rsid w:val="00A63B27"/>
    <w:rsid w:val="00A814FD"/>
    <w:rsid w:val="00A85302"/>
    <w:rsid w:val="00A86EDF"/>
    <w:rsid w:val="00A95902"/>
    <w:rsid w:val="00AA7122"/>
    <w:rsid w:val="00AC00A0"/>
    <w:rsid w:val="00AE2E6F"/>
    <w:rsid w:val="00AE66D5"/>
    <w:rsid w:val="00AF01BD"/>
    <w:rsid w:val="00AF1D21"/>
    <w:rsid w:val="00AF2869"/>
    <w:rsid w:val="00B137CC"/>
    <w:rsid w:val="00B14132"/>
    <w:rsid w:val="00B15277"/>
    <w:rsid w:val="00B162F1"/>
    <w:rsid w:val="00B17D9B"/>
    <w:rsid w:val="00B32455"/>
    <w:rsid w:val="00B32505"/>
    <w:rsid w:val="00B36EE2"/>
    <w:rsid w:val="00B41F2F"/>
    <w:rsid w:val="00B47EFE"/>
    <w:rsid w:val="00B52422"/>
    <w:rsid w:val="00B546DD"/>
    <w:rsid w:val="00B570EC"/>
    <w:rsid w:val="00B65989"/>
    <w:rsid w:val="00B71E16"/>
    <w:rsid w:val="00B7507B"/>
    <w:rsid w:val="00B76D59"/>
    <w:rsid w:val="00B840C6"/>
    <w:rsid w:val="00B90112"/>
    <w:rsid w:val="00B91F2E"/>
    <w:rsid w:val="00B93EC3"/>
    <w:rsid w:val="00B974CF"/>
    <w:rsid w:val="00BA455A"/>
    <w:rsid w:val="00BA4FB6"/>
    <w:rsid w:val="00BA64D0"/>
    <w:rsid w:val="00BA7317"/>
    <w:rsid w:val="00BA7342"/>
    <w:rsid w:val="00BB08E6"/>
    <w:rsid w:val="00BB0DDF"/>
    <w:rsid w:val="00BB0E53"/>
    <w:rsid w:val="00BB4BF7"/>
    <w:rsid w:val="00BC3699"/>
    <w:rsid w:val="00BC456C"/>
    <w:rsid w:val="00BC5A49"/>
    <w:rsid w:val="00BC6289"/>
    <w:rsid w:val="00BC7B04"/>
    <w:rsid w:val="00BD269A"/>
    <w:rsid w:val="00BD4AEC"/>
    <w:rsid w:val="00BD569F"/>
    <w:rsid w:val="00BD69AE"/>
    <w:rsid w:val="00BE142F"/>
    <w:rsid w:val="00BE2065"/>
    <w:rsid w:val="00BE5669"/>
    <w:rsid w:val="00BF2639"/>
    <w:rsid w:val="00BF27F7"/>
    <w:rsid w:val="00BF476B"/>
    <w:rsid w:val="00BF4B61"/>
    <w:rsid w:val="00C00EF8"/>
    <w:rsid w:val="00C34028"/>
    <w:rsid w:val="00C353F1"/>
    <w:rsid w:val="00C356DE"/>
    <w:rsid w:val="00C431F9"/>
    <w:rsid w:val="00C43DD1"/>
    <w:rsid w:val="00C47489"/>
    <w:rsid w:val="00C5589C"/>
    <w:rsid w:val="00C571AA"/>
    <w:rsid w:val="00C6227E"/>
    <w:rsid w:val="00C6601F"/>
    <w:rsid w:val="00C72500"/>
    <w:rsid w:val="00C74722"/>
    <w:rsid w:val="00C77AEA"/>
    <w:rsid w:val="00C85BD1"/>
    <w:rsid w:val="00C87865"/>
    <w:rsid w:val="00C94CCD"/>
    <w:rsid w:val="00C97903"/>
    <w:rsid w:val="00CB60CF"/>
    <w:rsid w:val="00CC2EFA"/>
    <w:rsid w:val="00CC7471"/>
    <w:rsid w:val="00CD7EC2"/>
    <w:rsid w:val="00CE18B7"/>
    <w:rsid w:val="00CE353D"/>
    <w:rsid w:val="00CE5498"/>
    <w:rsid w:val="00CE67E7"/>
    <w:rsid w:val="00CE75D2"/>
    <w:rsid w:val="00CE7D18"/>
    <w:rsid w:val="00CF032A"/>
    <w:rsid w:val="00CF502F"/>
    <w:rsid w:val="00D039ED"/>
    <w:rsid w:val="00D05827"/>
    <w:rsid w:val="00D05D47"/>
    <w:rsid w:val="00D0622C"/>
    <w:rsid w:val="00D1426C"/>
    <w:rsid w:val="00D171F5"/>
    <w:rsid w:val="00D347DF"/>
    <w:rsid w:val="00D405D3"/>
    <w:rsid w:val="00D425F8"/>
    <w:rsid w:val="00D516FD"/>
    <w:rsid w:val="00D52055"/>
    <w:rsid w:val="00D5310A"/>
    <w:rsid w:val="00D56ACC"/>
    <w:rsid w:val="00D571C0"/>
    <w:rsid w:val="00D70208"/>
    <w:rsid w:val="00D7050F"/>
    <w:rsid w:val="00D76419"/>
    <w:rsid w:val="00D771E2"/>
    <w:rsid w:val="00D860A9"/>
    <w:rsid w:val="00D86FB7"/>
    <w:rsid w:val="00D91210"/>
    <w:rsid w:val="00D94417"/>
    <w:rsid w:val="00D95529"/>
    <w:rsid w:val="00DA2981"/>
    <w:rsid w:val="00DA39EB"/>
    <w:rsid w:val="00DA450A"/>
    <w:rsid w:val="00DB0902"/>
    <w:rsid w:val="00DB0ECE"/>
    <w:rsid w:val="00DB5845"/>
    <w:rsid w:val="00DB64D5"/>
    <w:rsid w:val="00DC264F"/>
    <w:rsid w:val="00DC4C4F"/>
    <w:rsid w:val="00DC6B5D"/>
    <w:rsid w:val="00DC7C01"/>
    <w:rsid w:val="00DD32E8"/>
    <w:rsid w:val="00DD62B2"/>
    <w:rsid w:val="00DE1001"/>
    <w:rsid w:val="00DE7B00"/>
    <w:rsid w:val="00DF0F78"/>
    <w:rsid w:val="00E06A58"/>
    <w:rsid w:val="00E12A49"/>
    <w:rsid w:val="00E153CA"/>
    <w:rsid w:val="00E17370"/>
    <w:rsid w:val="00E202B8"/>
    <w:rsid w:val="00E2379B"/>
    <w:rsid w:val="00E23B13"/>
    <w:rsid w:val="00E23DCD"/>
    <w:rsid w:val="00E30192"/>
    <w:rsid w:val="00E30764"/>
    <w:rsid w:val="00E362C6"/>
    <w:rsid w:val="00E36A03"/>
    <w:rsid w:val="00E378AE"/>
    <w:rsid w:val="00E41C46"/>
    <w:rsid w:val="00E42431"/>
    <w:rsid w:val="00E47816"/>
    <w:rsid w:val="00E538EE"/>
    <w:rsid w:val="00E573D5"/>
    <w:rsid w:val="00E70BFA"/>
    <w:rsid w:val="00E833F9"/>
    <w:rsid w:val="00E83B95"/>
    <w:rsid w:val="00E90710"/>
    <w:rsid w:val="00EA0152"/>
    <w:rsid w:val="00EA42AE"/>
    <w:rsid w:val="00EA4DE0"/>
    <w:rsid w:val="00EB4AFE"/>
    <w:rsid w:val="00EB698C"/>
    <w:rsid w:val="00EC0093"/>
    <w:rsid w:val="00EC4337"/>
    <w:rsid w:val="00EC6217"/>
    <w:rsid w:val="00ED0A0C"/>
    <w:rsid w:val="00ED112D"/>
    <w:rsid w:val="00ED3BB1"/>
    <w:rsid w:val="00ED48E4"/>
    <w:rsid w:val="00ED74A0"/>
    <w:rsid w:val="00EE17D8"/>
    <w:rsid w:val="00EE47DF"/>
    <w:rsid w:val="00EE6CB7"/>
    <w:rsid w:val="00F02700"/>
    <w:rsid w:val="00F078B8"/>
    <w:rsid w:val="00F07F96"/>
    <w:rsid w:val="00F1256C"/>
    <w:rsid w:val="00F1418B"/>
    <w:rsid w:val="00F27355"/>
    <w:rsid w:val="00F27E42"/>
    <w:rsid w:val="00F31C18"/>
    <w:rsid w:val="00F440E7"/>
    <w:rsid w:val="00F44FB6"/>
    <w:rsid w:val="00F5042E"/>
    <w:rsid w:val="00F62E7F"/>
    <w:rsid w:val="00F6374D"/>
    <w:rsid w:val="00F66D94"/>
    <w:rsid w:val="00F6767D"/>
    <w:rsid w:val="00F72874"/>
    <w:rsid w:val="00F809B5"/>
    <w:rsid w:val="00F83833"/>
    <w:rsid w:val="00F838DE"/>
    <w:rsid w:val="00F9577B"/>
    <w:rsid w:val="00FA280E"/>
    <w:rsid w:val="00FA3F92"/>
    <w:rsid w:val="00FC011C"/>
    <w:rsid w:val="00FC1A29"/>
    <w:rsid w:val="00FC288E"/>
    <w:rsid w:val="00FD3BE0"/>
    <w:rsid w:val="00FD434B"/>
    <w:rsid w:val="00FD513E"/>
    <w:rsid w:val="00FD635C"/>
    <w:rsid w:val="00FD6F84"/>
    <w:rsid w:val="00FE5821"/>
    <w:rsid w:val="00FF3ED5"/>
    <w:rsid w:val="00FF67AE"/>
    <w:rsid w:val="00FF7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qFormat="1"/>
    <w:lsdException w:name="List Number"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EC3"/>
    <w:pPr>
      <w:spacing w:before="120" w:after="120" w:line="300" w:lineRule="auto"/>
    </w:pPr>
    <w:rPr>
      <w:rFonts w:asciiTheme="minorHAnsi" w:hAnsiTheme="minorHAnsi"/>
      <w:sz w:val="22"/>
      <w:szCs w:val="24"/>
    </w:rPr>
  </w:style>
  <w:style w:type="paragraph" w:styleId="Heading1">
    <w:name w:val="heading 1"/>
    <w:basedOn w:val="Normal"/>
    <w:next w:val="Normal"/>
    <w:link w:val="Heading1Char"/>
    <w:uiPriority w:val="9"/>
    <w:qFormat/>
    <w:rsid w:val="008B316E"/>
    <w:pPr>
      <w:keepNext/>
      <w:keepLines/>
      <w:pBdr>
        <w:bottom w:val="single" w:sz="8" w:space="1" w:color="165788"/>
      </w:pBdr>
      <w:spacing w:before="480"/>
      <w:outlineLvl w:val="0"/>
    </w:pPr>
    <w:rPr>
      <w:rFonts w:ascii="Calibri" w:eastAsiaTheme="majorEastAsia" w:hAnsi="Calibri" w:cstheme="majorBidi"/>
      <w:b/>
      <w:bCs/>
      <w:color w:val="165788"/>
      <w:sz w:val="40"/>
      <w:szCs w:val="28"/>
    </w:rPr>
  </w:style>
  <w:style w:type="paragraph" w:styleId="Heading2">
    <w:name w:val="heading 2"/>
    <w:basedOn w:val="Normal"/>
    <w:next w:val="Normal"/>
    <w:link w:val="Heading2Char"/>
    <w:uiPriority w:val="9"/>
    <w:unhideWhenUsed/>
    <w:qFormat/>
    <w:rsid w:val="006503D7"/>
    <w:pPr>
      <w:keepNext/>
      <w:keepLines/>
      <w:tabs>
        <w:tab w:val="left" w:pos="567"/>
      </w:tabs>
      <w:spacing w:before="240" w:line="240" w:lineRule="auto"/>
      <w:outlineLvl w:val="1"/>
    </w:pPr>
    <w:rPr>
      <w:rFonts w:ascii="Calibri" w:eastAsiaTheme="majorEastAsia" w:hAnsi="Calibri" w:cstheme="majorBidi"/>
      <w:b/>
      <w:bCs/>
      <w:color w:val="165788"/>
      <w:sz w:val="32"/>
      <w:szCs w:val="26"/>
    </w:rPr>
  </w:style>
  <w:style w:type="paragraph" w:styleId="Heading3">
    <w:name w:val="heading 3"/>
    <w:basedOn w:val="Normal"/>
    <w:next w:val="Normal"/>
    <w:link w:val="Heading3Char"/>
    <w:uiPriority w:val="9"/>
    <w:unhideWhenUsed/>
    <w:qFormat/>
    <w:rsid w:val="006D24B7"/>
    <w:pPr>
      <w:keepNext/>
      <w:keepLines/>
      <w:spacing w:before="0"/>
      <w:outlineLvl w:val="2"/>
    </w:pPr>
    <w:rPr>
      <w:rFonts w:ascii="Calibri" w:eastAsiaTheme="majorEastAsia" w:hAnsi="Calibri" w:cstheme="majorBidi"/>
      <w:bCs/>
      <w:color w:val="165788"/>
      <w:sz w:val="24"/>
    </w:rPr>
  </w:style>
  <w:style w:type="paragraph" w:styleId="Heading4">
    <w:name w:val="heading 4"/>
    <w:basedOn w:val="Normal"/>
    <w:next w:val="Normal"/>
    <w:link w:val="Heading4Char"/>
    <w:uiPriority w:val="9"/>
    <w:unhideWhenUsed/>
    <w:qFormat/>
    <w:rsid w:val="00B32455"/>
    <w:pPr>
      <w:keepNext/>
      <w:keepLines/>
      <w:spacing w:before="200"/>
      <w:outlineLvl w:val="3"/>
    </w:pPr>
    <w:rPr>
      <w:rFonts w:ascii="Calibri" w:eastAsiaTheme="majorEastAsia" w:hAnsi="Calibri" w:cstheme="majorBidi"/>
      <w:b/>
      <w:bCs/>
      <w:iCs/>
      <w:sz w:val="26"/>
    </w:rPr>
  </w:style>
  <w:style w:type="paragraph" w:styleId="Heading5">
    <w:name w:val="heading 5"/>
    <w:basedOn w:val="Normal"/>
    <w:next w:val="Normal"/>
    <w:link w:val="Heading5Char"/>
    <w:uiPriority w:val="9"/>
    <w:unhideWhenUsed/>
    <w:qFormat/>
    <w:rsid w:val="00B32455"/>
    <w:pPr>
      <w:keepNext/>
      <w:keepLines/>
      <w:spacing w:before="200" w:after="0"/>
      <w:outlineLvl w:val="4"/>
    </w:pPr>
    <w:rPr>
      <w:rFonts w:ascii="Calibri" w:eastAsiaTheme="majorEastAsia" w:hAnsi="Calibri" w:cstheme="majorBidi"/>
      <w:b/>
      <w:sz w:val="24"/>
    </w:rPr>
  </w:style>
  <w:style w:type="paragraph" w:styleId="Heading6">
    <w:name w:val="heading 6"/>
    <w:basedOn w:val="Normal"/>
    <w:next w:val="Normal"/>
    <w:link w:val="Heading6Char"/>
    <w:uiPriority w:val="9"/>
    <w:semiHidden/>
    <w:unhideWhenUsed/>
    <w:qFormat/>
    <w:rsid w:val="00B32455"/>
    <w:pPr>
      <w:keepNext/>
      <w:keepLines/>
      <w:spacing w:before="200" w:after="0"/>
      <w:outlineLvl w:val="5"/>
    </w:pPr>
    <w:rPr>
      <w:rFonts w:ascii="Calibri" w:eastAsiaTheme="majorEastAsia" w:hAnsi="Calibri" w:cstheme="majorBidi"/>
      <w:b/>
      <w:iCs/>
    </w:rPr>
  </w:style>
  <w:style w:type="paragraph" w:styleId="Heading7">
    <w:name w:val="heading 7"/>
    <w:basedOn w:val="Normal"/>
    <w:next w:val="Normal"/>
    <w:link w:val="Heading7Char"/>
    <w:uiPriority w:val="9"/>
    <w:semiHidden/>
    <w:unhideWhenUsed/>
    <w:qFormat/>
    <w:rsid w:val="004B1A2D"/>
    <w:pPr>
      <w:pBdr>
        <w:bottom w:val="dotted" w:sz="8" w:space="1" w:color="67676C"/>
      </w:pBdr>
      <w:spacing w:before="200" w:after="100" w:line="240" w:lineRule="auto"/>
      <w:contextualSpacing/>
      <w:outlineLvl w:val="6"/>
    </w:pPr>
    <w:rPr>
      <w:rFonts w:ascii="Corbel" w:hAnsi="Corbel"/>
      <w:b/>
      <w:bCs/>
      <w:smallCaps/>
      <w:color w:val="67676C"/>
      <w:spacing w:val="20"/>
      <w:sz w:val="16"/>
      <w:szCs w:val="16"/>
      <w:lang w:val="en-US" w:eastAsia="en-US"/>
    </w:rPr>
  </w:style>
  <w:style w:type="paragraph" w:styleId="Heading8">
    <w:name w:val="heading 8"/>
    <w:basedOn w:val="Normal"/>
    <w:next w:val="Normal"/>
    <w:link w:val="Heading8Char"/>
    <w:uiPriority w:val="9"/>
    <w:semiHidden/>
    <w:unhideWhenUsed/>
    <w:qFormat/>
    <w:rsid w:val="004B1A2D"/>
    <w:pPr>
      <w:spacing w:before="200" w:after="60" w:line="240" w:lineRule="auto"/>
      <w:contextualSpacing/>
      <w:outlineLvl w:val="7"/>
    </w:pPr>
    <w:rPr>
      <w:rFonts w:ascii="Corbel" w:hAnsi="Corbel"/>
      <w:b/>
      <w:smallCaps/>
      <w:color w:val="67676C"/>
      <w:spacing w:val="20"/>
      <w:sz w:val="16"/>
      <w:szCs w:val="16"/>
      <w:lang w:val="en-US" w:eastAsia="en-US"/>
    </w:rPr>
  </w:style>
  <w:style w:type="paragraph" w:styleId="Heading9">
    <w:name w:val="heading 9"/>
    <w:basedOn w:val="Normal"/>
    <w:next w:val="Normal"/>
    <w:link w:val="Heading9Char"/>
    <w:uiPriority w:val="9"/>
    <w:semiHidden/>
    <w:unhideWhenUsed/>
    <w:qFormat/>
    <w:rsid w:val="004B1A2D"/>
    <w:pPr>
      <w:spacing w:before="200" w:after="60" w:line="240" w:lineRule="auto"/>
      <w:contextualSpacing/>
      <w:outlineLvl w:val="8"/>
    </w:pPr>
    <w:rPr>
      <w:rFonts w:ascii="Corbel" w:hAnsi="Corbel"/>
      <w:smallCaps/>
      <w:color w:val="67676C"/>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uiPriority w:val="20"/>
    <w:qFormat/>
    <w:rsid w:val="00822942"/>
    <w:rPr>
      <w:rFonts w:asciiTheme="minorHAnsi" w:hAnsiTheme="minorHAns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uiPriority w:val="10"/>
    <w:qFormat/>
    <w:rsid w:val="00B32455"/>
    <w:pPr>
      <w:spacing w:before="1440" w:after="360"/>
      <w:contextualSpacing/>
      <w:jc w:val="right"/>
    </w:pPr>
    <w:rPr>
      <w:rFonts w:ascii="Calibri" w:eastAsiaTheme="majorEastAsia" w:hAnsi="Calibri" w:cstheme="majorBidi"/>
      <w:b/>
      <w:color w:val="165788"/>
      <w:spacing w:val="5"/>
      <w:kern w:val="28"/>
      <w:sz w:val="72"/>
      <w:szCs w:val="52"/>
    </w:rPr>
  </w:style>
  <w:style w:type="character" w:customStyle="1" w:styleId="TitleChar">
    <w:name w:val="Title Char"/>
    <w:basedOn w:val="DefaultParagraphFont"/>
    <w:link w:val="Title"/>
    <w:uiPriority w:val="10"/>
    <w:rsid w:val="00B32455"/>
    <w:rPr>
      <w:rFonts w:ascii="Calibri" w:eastAsiaTheme="majorEastAsia" w:hAnsi="Calibri" w:cstheme="majorBidi"/>
      <w:b/>
      <w:color w:val="165788"/>
      <w:spacing w:val="5"/>
      <w:kern w:val="28"/>
      <w:sz w:val="72"/>
      <w:szCs w:val="52"/>
    </w:rPr>
  </w:style>
  <w:style w:type="paragraph" w:styleId="Subtitle">
    <w:name w:val="Subtitle"/>
    <w:basedOn w:val="Normal"/>
    <w:next w:val="Normal"/>
    <w:link w:val="SubtitleChar"/>
    <w:uiPriority w:val="11"/>
    <w:qFormat/>
    <w:rsid w:val="00B32455"/>
    <w:pPr>
      <w:numPr>
        <w:ilvl w:val="1"/>
      </w:numPr>
      <w:jc w:val="right"/>
    </w:pPr>
    <w:rPr>
      <w:rFonts w:ascii="Calibri" w:eastAsiaTheme="majorEastAsia" w:hAnsi="Calibri" w:cstheme="majorBidi"/>
      <w:iCs/>
      <w:color w:val="165788"/>
      <w:spacing w:val="15"/>
      <w:sz w:val="40"/>
    </w:rPr>
  </w:style>
  <w:style w:type="character" w:customStyle="1" w:styleId="SubtitleChar">
    <w:name w:val="Subtitle Char"/>
    <w:basedOn w:val="DefaultParagraphFont"/>
    <w:link w:val="Subtitle"/>
    <w:uiPriority w:val="11"/>
    <w:rsid w:val="00B32455"/>
    <w:rPr>
      <w:rFonts w:ascii="Calibri" w:eastAsiaTheme="majorEastAsia" w:hAnsi="Calibri" w:cstheme="majorBidi"/>
      <w:iCs/>
      <w:color w:val="165788"/>
      <w:spacing w:val="15"/>
      <w:sz w:val="40"/>
      <w:szCs w:val="24"/>
    </w:rPr>
  </w:style>
  <w:style w:type="character" w:customStyle="1" w:styleId="Heading1Char">
    <w:name w:val="Heading 1 Char"/>
    <w:basedOn w:val="DefaultParagraphFont"/>
    <w:link w:val="Heading1"/>
    <w:uiPriority w:val="9"/>
    <w:rsid w:val="008B316E"/>
    <w:rPr>
      <w:rFonts w:ascii="Calibri" w:eastAsiaTheme="majorEastAsia" w:hAnsi="Calibri" w:cstheme="majorBidi"/>
      <w:b/>
      <w:bCs/>
      <w:color w:val="165788"/>
      <w:sz w:val="40"/>
      <w:szCs w:val="28"/>
    </w:rPr>
  </w:style>
  <w:style w:type="character" w:customStyle="1" w:styleId="Heading2Char">
    <w:name w:val="Heading 2 Char"/>
    <w:basedOn w:val="DefaultParagraphFont"/>
    <w:link w:val="Heading2"/>
    <w:uiPriority w:val="9"/>
    <w:rsid w:val="006503D7"/>
    <w:rPr>
      <w:rFonts w:ascii="Calibri" w:eastAsiaTheme="majorEastAsia" w:hAnsi="Calibri" w:cstheme="majorBidi"/>
      <w:b/>
      <w:bCs/>
      <w:color w:val="165788"/>
      <w:sz w:val="32"/>
      <w:szCs w:val="26"/>
    </w:rPr>
  </w:style>
  <w:style w:type="character" w:customStyle="1" w:styleId="Heading3Char">
    <w:name w:val="Heading 3 Char"/>
    <w:basedOn w:val="DefaultParagraphFont"/>
    <w:link w:val="Heading3"/>
    <w:uiPriority w:val="9"/>
    <w:rsid w:val="006D24B7"/>
    <w:rPr>
      <w:rFonts w:ascii="Calibri" w:eastAsiaTheme="majorEastAsia" w:hAnsi="Calibri" w:cstheme="majorBidi"/>
      <w:bCs/>
      <w:color w:val="165788"/>
      <w:sz w:val="24"/>
      <w:szCs w:val="24"/>
    </w:rPr>
  </w:style>
  <w:style w:type="character" w:customStyle="1" w:styleId="Heading4Char">
    <w:name w:val="Heading 4 Char"/>
    <w:basedOn w:val="DefaultParagraphFont"/>
    <w:link w:val="Heading4"/>
    <w:uiPriority w:val="9"/>
    <w:rsid w:val="00B32455"/>
    <w:rPr>
      <w:rFonts w:ascii="Calibri" w:eastAsiaTheme="majorEastAsia" w:hAnsi="Calibri" w:cstheme="majorBidi"/>
      <w:b/>
      <w:bCs/>
      <w:iCs/>
      <w:sz w:val="26"/>
      <w:szCs w:val="24"/>
    </w:rPr>
  </w:style>
  <w:style w:type="paragraph" w:styleId="Header">
    <w:name w:val="header"/>
    <w:basedOn w:val="Normal"/>
    <w:link w:val="HeaderChar"/>
    <w:uiPriority w:val="99"/>
    <w:rsid w:val="006D0101"/>
    <w:pPr>
      <w:tabs>
        <w:tab w:val="center" w:pos="4513"/>
        <w:tab w:val="right" w:pos="9026"/>
      </w:tabs>
    </w:pPr>
  </w:style>
  <w:style w:type="character" w:customStyle="1" w:styleId="HeaderChar">
    <w:name w:val="Header Char"/>
    <w:basedOn w:val="DefaultParagraphFont"/>
    <w:link w:val="Header"/>
    <w:uiPriority w:val="99"/>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basedOn w:val="DefaultParagraphFont"/>
    <w:uiPriority w:val="22"/>
    <w:qFormat/>
    <w:rsid w:val="0022116C"/>
    <w:rPr>
      <w:b/>
      <w:bCs/>
    </w:rPr>
  </w:style>
  <w:style w:type="paragraph" w:styleId="Quote">
    <w:name w:val="Quote"/>
    <w:basedOn w:val="Normal"/>
    <w:next w:val="Normal"/>
    <w:link w:val="QuoteChar"/>
    <w:uiPriority w:val="29"/>
    <w:qFormat/>
    <w:rsid w:val="00B32455"/>
    <w:pPr>
      <w:spacing w:before="240" w:after="240"/>
      <w:ind w:left="284" w:right="284"/>
    </w:pPr>
    <w:rPr>
      <w:rFonts w:ascii="Calibri" w:hAnsi="Calibri"/>
      <w:i/>
      <w:iCs/>
      <w:color w:val="000000" w:themeColor="text1"/>
    </w:rPr>
  </w:style>
  <w:style w:type="character" w:customStyle="1" w:styleId="QuoteChar">
    <w:name w:val="Quote Char"/>
    <w:basedOn w:val="DefaultParagraphFont"/>
    <w:link w:val="Quote"/>
    <w:uiPriority w:val="29"/>
    <w:rsid w:val="00B32455"/>
    <w:rPr>
      <w:rFonts w:ascii="Calibri" w:hAnsi="Calibri"/>
      <w:i/>
      <w:iCs/>
      <w:color w:val="000000" w:themeColor="text1"/>
      <w:sz w:val="22"/>
      <w:szCs w:val="24"/>
    </w:rPr>
  </w:style>
  <w:style w:type="paragraph" w:styleId="BalloonText">
    <w:name w:val="Balloon Text"/>
    <w:basedOn w:val="Normal"/>
    <w:link w:val="BalloonTextChar"/>
    <w:uiPriority w:val="99"/>
    <w:rsid w:val="009528B9"/>
    <w:rPr>
      <w:rFonts w:ascii="Tahoma" w:hAnsi="Tahoma" w:cs="Tahoma"/>
      <w:sz w:val="16"/>
      <w:szCs w:val="16"/>
    </w:rPr>
  </w:style>
  <w:style w:type="character" w:customStyle="1" w:styleId="BalloonTextChar">
    <w:name w:val="Balloon Text Char"/>
    <w:basedOn w:val="DefaultParagraphFont"/>
    <w:link w:val="BalloonText"/>
    <w:uiPriority w:val="99"/>
    <w:rsid w:val="009528B9"/>
    <w:rPr>
      <w:rFonts w:ascii="Tahoma" w:hAnsi="Tahoma" w:cs="Tahoma"/>
      <w:sz w:val="16"/>
      <w:szCs w:val="16"/>
    </w:rPr>
  </w:style>
  <w:style w:type="paragraph" w:styleId="Caption">
    <w:name w:val="caption"/>
    <w:basedOn w:val="Normal"/>
    <w:next w:val="Normal"/>
    <w:uiPriority w:val="35"/>
    <w:unhideWhenUsed/>
    <w:qFormat/>
    <w:rsid w:val="00B32455"/>
    <w:pPr>
      <w:spacing w:before="0" w:after="0"/>
    </w:pPr>
    <w:rPr>
      <w:b/>
      <w:bCs/>
      <w:color w:val="165788"/>
      <w:sz w:val="20"/>
      <w:szCs w:val="18"/>
    </w:rPr>
  </w:style>
  <w:style w:type="table" w:styleId="TableGrid">
    <w:name w:val="Table Grid"/>
    <w:basedOn w:val="TableNormal"/>
    <w:uiPriority w:val="59"/>
    <w:rsid w:val="0049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Web"/>
    <w:link w:val="TableHeadingChar"/>
    <w:qFormat/>
    <w:rsid w:val="00B32455"/>
    <w:rPr>
      <w:rFonts w:ascii="Calibri" w:hAnsi="Calibri"/>
      <w:b/>
      <w:color w:val="FFFFFF" w:themeColor="background1"/>
    </w:rPr>
  </w:style>
  <w:style w:type="paragraph" w:styleId="ListNumber">
    <w:name w:val="List Number"/>
    <w:basedOn w:val="Normal"/>
    <w:link w:val="ListNumberChar"/>
    <w:qFormat/>
    <w:rsid w:val="00546211"/>
    <w:pPr>
      <w:numPr>
        <w:numId w:val="2"/>
      </w:numPr>
      <w:contextualSpacing/>
    </w:p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themeColor="background1"/>
      <w:sz w:val="22"/>
      <w:szCs w:val="24"/>
    </w:rPr>
  </w:style>
  <w:style w:type="paragraph" w:styleId="ListBullet">
    <w:name w:val="List Bullet"/>
    <w:basedOn w:val="Normal"/>
    <w:qFormat/>
    <w:rsid w:val="00546211"/>
    <w:pPr>
      <w:numPr>
        <w:numId w:val="1"/>
      </w:numPr>
      <w:contextualSpacing/>
    </w:pPr>
  </w:style>
  <w:style w:type="character" w:styleId="Hyperlink">
    <w:name w:val="Hyperlink"/>
    <w:basedOn w:val="DefaultParagraphFont"/>
    <w:uiPriority w:val="99"/>
    <w:unhideWhenUsed/>
    <w:rsid w:val="00750BEF"/>
    <w:rPr>
      <w:color w:val="0000FF" w:themeColor="hyperlink"/>
      <w:u w:val="single"/>
    </w:rPr>
  </w:style>
  <w:style w:type="paragraph" w:styleId="TOC1">
    <w:name w:val="toc 1"/>
    <w:basedOn w:val="Normal"/>
    <w:next w:val="Normal"/>
    <w:autoRedefine/>
    <w:uiPriority w:val="39"/>
    <w:rsid w:val="007E25A2"/>
    <w:pPr>
      <w:tabs>
        <w:tab w:val="left" w:pos="8675"/>
      </w:tabs>
      <w:spacing w:after="100"/>
      <w:ind w:left="567"/>
    </w:pPr>
    <w:rPr>
      <w:rFonts w:ascii="Calibri" w:hAnsi="Calibri"/>
      <w:b/>
      <w:color w:val="165788"/>
    </w:rPr>
  </w:style>
  <w:style w:type="paragraph" w:styleId="TOC2">
    <w:name w:val="toc 2"/>
    <w:basedOn w:val="Normal"/>
    <w:next w:val="Normal"/>
    <w:autoRedefine/>
    <w:uiPriority w:val="39"/>
    <w:rsid w:val="00BB0E53"/>
    <w:pPr>
      <w:tabs>
        <w:tab w:val="left" w:pos="880"/>
        <w:tab w:val="right" w:leader="dot" w:pos="8898"/>
      </w:tabs>
      <w:spacing w:after="100"/>
      <w:ind w:left="1134"/>
    </w:pPr>
    <w:rPr>
      <w:rFonts w:ascii="Calibri" w:eastAsiaTheme="majorEastAsia" w:hAnsi="Calibri"/>
      <w:b/>
      <w:noProof/>
    </w:rPr>
  </w:style>
  <w:style w:type="paragraph" w:styleId="TOC3">
    <w:name w:val="toc 3"/>
    <w:basedOn w:val="Normal"/>
    <w:next w:val="Normal"/>
    <w:autoRedefine/>
    <w:uiPriority w:val="39"/>
    <w:rsid w:val="007E25A2"/>
    <w:pPr>
      <w:tabs>
        <w:tab w:val="right" w:leader="dot" w:pos="8898"/>
      </w:tabs>
      <w:spacing w:after="100"/>
      <w:ind w:left="1843"/>
    </w:pPr>
    <w:rPr>
      <w:rFonts w:ascii="Calibri" w:hAnsi="Calibri"/>
      <w:i/>
    </w:rPr>
  </w:style>
  <w:style w:type="paragraph" w:styleId="NoSpacing">
    <w:name w:val="No Spacing"/>
    <w:link w:val="NoSpacingChar"/>
    <w:uiPriority w:val="1"/>
    <w:qFormat/>
    <w:rsid w:val="00B32455"/>
    <w:rPr>
      <w:rFonts w:ascii="Calibri" w:eastAsiaTheme="minorEastAsia" w:hAnsi="Calibri" w:cstheme="minorBidi"/>
      <w:sz w:val="22"/>
      <w:szCs w:val="22"/>
      <w:lang w:val="en-US" w:eastAsia="ja-JP"/>
    </w:rPr>
  </w:style>
  <w:style w:type="character" w:customStyle="1" w:styleId="NoSpacingChar">
    <w:name w:val="No Spacing Char"/>
    <w:basedOn w:val="DefaultParagraphFont"/>
    <w:link w:val="NoSpacing"/>
    <w:uiPriority w:val="1"/>
    <w:rsid w:val="00B32455"/>
    <w:rPr>
      <w:rFonts w:ascii="Calibri" w:eastAsiaTheme="minorEastAsia" w:hAnsi="Calibri" w:cstheme="minorBidi"/>
      <w:sz w:val="22"/>
      <w:szCs w:val="22"/>
      <w:lang w:val="en-US" w:eastAsia="ja-JP"/>
    </w:rPr>
  </w:style>
  <w:style w:type="paragraph" w:customStyle="1" w:styleId="SecurityRating">
    <w:name w:val="Security Rating"/>
    <w:basedOn w:val="Normal"/>
    <w:link w:val="SecurityRatingChar"/>
    <w:qFormat/>
    <w:rsid w:val="00214486"/>
    <w:pPr>
      <w:spacing w:before="0" w:after="200" w:line="240" w:lineRule="auto"/>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Theme="minorHAnsi" w:hAnsiTheme="minorHAns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uiPriority w:val="9"/>
    <w:rsid w:val="00B32455"/>
    <w:rPr>
      <w:rFonts w:ascii="Calibri" w:eastAsiaTheme="majorEastAsia" w:hAnsi="Calibri" w:cstheme="majorBidi"/>
      <w:b/>
      <w:sz w:val="24"/>
      <w:szCs w:val="24"/>
    </w:rPr>
  </w:style>
  <w:style w:type="character" w:customStyle="1" w:styleId="NonTOCHeading1Char">
    <w:name w:val="Non TOC Heading 1 Char"/>
    <w:basedOn w:val="Heading1Char"/>
    <w:link w:val="NonTOCHeading1"/>
    <w:rsid w:val="008B316E"/>
    <w:rPr>
      <w:rFonts w:ascii="Calibri" w:eastAsiaTheme="majorEastAsia" w:hAnsi="Calibri" w:cstheme="majorBidi"/>
      <w:b/>
      <w:bCs/>
      <w:color w:val="165788"/>
      <w:sz w:val="40"/>
      <w:szCs w:val="28"/>
    </w:rPr>
  </w:style>
  <w:style w:type="character" w:customStyle="1" w:styleId="Heading6Char">
    <w:name w:val="Heading 6 Char"/>
    <w:basedOn w:val="DefaultParagraphFont"/>
    <w:link w:val="Heading6"/>
    <w:uiPriority w:val="9"/>
    <w:semiHidden/>
    <w:rsid w:val="00B32455"/>
    <w:rPr>
      <w:rFonts w:ascii="Calibri" w:eastAsiaTheme="majorEastAsia" w:hAnsi="Calibri" w:cstheme="majorBidi"/>
      <w:b/>
      <w:iCs/>
      <w:sz w:val="22"/>
      <w:szCs w:val="24"/>
    </w:rPr>
  </w:style>
  <w:style w:type="paragraph" w:styleId="TOC4">
    <w:name w:val="toc 4"/>
    <w:basedOn w:val="Normal"/>
    <w:next w:val="Normal"/>
    <w:autoRedefine/>
    <w:rsid w:val="00CF032A"/>
    <w:pPr>
      <w:spacing w:after="100"/>
      <w:ind w:left="660"/>
    </w:pPr>
    <w:rPr>
      <w:rFonts w:ascii="Calibri" w:hAnsi="Calibri"/>
    </w:rPr>
  </w:style>
  <w:style w:type="paragraph" w:styleId="TOC5">
    <w:name w:val="toc 5"/>
    <w:basedOn w:val="Normal"/>
    <w:next w:val="Normal"/>
    <w:autoRedefine/>
    <w:rsid w:val="00CF032A"/>
    <w:pPr>
      <w:spacing w:after="100"/>
      <w:ind w:left="880"/>
    </w:pPr>
    <w:rPr>
      <w:rFonts w:ascii="Calibri" w:hAnsi="Calibri"/>
    </w:rPr>
  </w:style>
  <w:style w:type="paragraph" w:styleId="TOC6">
    <w:name w:val="toc 6"/>
    <w:basedOn w:val="Normal"/>
    <w:next w:val="Normal"/>
    <w:autoRedefine/>
    <w:rsid w:val="00CF032A"/>
    <w:pPr>
      <w:spacing w:after="100"/>
      <w:ind w:left="1100"/>
    </w:pPr>
    <w:rPr>
      <w:rFonts w:ascii="Calibri" w:hAnsi="Calibri"/>
    </w:rPr>
  </w:style>
  <w:style w:type="paragraph" w:customStyle="1" w:styleId="ShadedBoxHeader">
    <w:name w:val="Shaded Box Header"/>
    <w:basedOn w:val="Normal"/>
    <w:link w:val="ShadedBoxHeaderChar"/>
    <w:qFormat/>
    <w:rsid w:val="00485223"/>
    <w:pPr>
      <w:pBdr>
        <w:top w:val="single" w:sz="12" w:space="1" w:color="165788"/>
        <w:left w:val="single" w:sz="12" w:space="4" w:color="165788"/>
        <w:right w:val="single" w:sz="12" w:space="4" w:color="165788"/>
      </w:pBdr>
      <w:shd w:val="clear" w:color="auto" w:fill="E2EAF0"/>
      <w:spacing w:after="0"/>
      <w:ind w:left="357" w:hanging="357"/>
    </w:pPr>
    <w:rPr>
      <w:b/>
      <w:color w:val="165788"/>
      <w:sz w:val="28"/>
    </w:rPr>
  </w:style>
  <w:style w:type="paragraph" w:customStyle="1" w:styleId="ShadedBoxBody">
    <w:name w:val="Shaded Box Body"/>
    <w:basedOn w:val="Normal"/>
    <w:link w:val="ShadedBoxBodyChar"/>
    <w:qFormat/>
    <w:rsid w:val="00D771E2"/>
    <w:pPr>
      <w:pBdr>
        <w:left w:val="single" w:sz="12" w:space="4" w:color="165788"/>
        <w:bottom w:val="single" w:sz="12" w:space="1" w:color="165788"/>
        <w:right w:val="single" w:sz="12" w:space="4" w:color="165788"/>
      </w:pBdr>
      <w:shd w:val="clear" w:color="auto" w:fill="E2EAF0"/>
      <w:tabs>
        <w:tab w:val="left" w:pos="567"/>
      </w:tabs>
      <w:spacing w:before="0"/>
    </w:pPr>
  </w:style>
  <w:style w:type="character" w:customStyle="1" w:styleId="ListNumberChar">
    <w:name w:val="List Number Char"/>
    <w:basedOn w:val="DefaultParagraphFont"/>
    <w:link w:val="ListNumber"/>
    <w:rsid w:val="00485223"/>
    <w:rPr>
      <w:rFonts w:asciiTheme="minorHAnsi" w:hAnsiTheme="minorHAnsi"/>
      <w:sz w:val="22"/>
      <w:szCs w:val="24"/>
    </w:rPr>
  </w:style>
  <w:style w:type="character" w:customStyle="1" w:styleId="ShadedBoxHeaderChar">
    <w:name w:val="Shaded Box Header Char"/>
    <w:basedOn w:val="ListNumberChar"/>
    <w:link w:val="ShadedBoxHeader"/>
    <w:rsid w:val="00485223"/>
    <w:rPr>
      <w:rFonts w:asciiTheme="minorHAnsi" w:hAnsiTheme="minorHAnsi"/>
      <w:b/>
      <w:color w:val="165788"/>
      <w:sz w:val="28"/>
      <w:szCs w:val="24"/>
      <w:shd w:val="clear" w:color="auto" w:fill="E2EAF0"/>
    </w:rPr>
  </w:style>
  <w:style w:type="character" w:customStyle="1" w:styleId="ShadedBoxBodyChar">
    <w:name w:val="Shaded Box Body Char"/>
    <w:basedOn w:val="ShadedBoxHeaderChar"/>
    <w:link w:val="ShadedBoxBody"/>
    <w:rsid w:val="00D771E2"/>
    <w:rPr>
      <w:rFonts w:asciiTheme="minorHAnsi" w:hAnsiTheme="minorHAnsi"/>
      <w:b/>
      <w:color w:val="165788"/>
      <w:sz w:val="22"/>
      <w:szCs w:val="24"/>
      <w:shd w:val="clear" w:color="auto" w:fill="FFFFFF"/>
    </w:rPr>
  </w:style>
  <w:style w:type="character" w:customStyle="1" w:styleId="Heading7Char">
    <w:name w:val="Heading 7 Char"/>
    <w:basedOn w:val="DefaultParagraphFont"/>
    <w:link w:val="Heading7"/>
    <w:uiPriority w:val="9"/>
    <w:semiHidden/>
    <w:rsid w:val="004B1A2D"/>
    <w:rPr>
      <w:rFonts w:ascii="Corbel" w:hAnsi="Corbel"/>
      <w:b/>
      <w:bCs/>
      <w:smallCaps/>
      <w:color w:val="67676C"/>
      <w:spacing w:val="20"/>
      <w:sz w:val="16"/>
      <w:szCs w:val="16"/>
      <w:lang w:val="en-US" w:eastAsia="en-US"/>
    </w:rPr>
  </w:style>
  <w:style w:type="character" w:customStyle="1" w:styleId="Heading8Char">
    <w:name w:val="Heading 8 Char"/>
    <w:basedOn w:val="DefaultParagraphFont"/>
    <w:link w:val="Heading8"/>
    <w:uiPriority w:val="9"/>
    <w:semiHidden/>
    <w:rsid w:val="004B1A2D"/>
    <w:rPr>
      <w:rFonts w:ascii="Corbel" w:hAnsi="Corbel"/>
      <w:b/>
      <w:smallCaps/>
      <w:color w:val="67676C"/>
      <w:spacing w:val="20"/>
      <w:sz w:val="16"/>
      <w:szCs w:val="16"/>
      <w:lang w:val="en-US" w:eastAsia="en-US"/>
    </w:rPr>
  </w:style>
  <w:style w:type="character" w:customStyle="1" w:styleId="Heading9Char">
    <w:name w:val="Heading 9 Char"/>
    <w:basedOn w:val="DefaultParagraphFont"/>
    <w:link w:val="Heading9"/>
    <w:uiPriority w:val="9"/>
    <w:semiHidden/>
    <w:rsid w:val="004B1A2D"/>
    <w:rPr>
      <w:rFonts w:ascii="Corbel" w:hAnsi="Corbel"/>
      <w:smallCaps/>
      <w:color w:val="67676C"/>
      <w:spacing w:val="20"/>
      <w:sz w:val="16"/>
      <w:szCs w:val="16"/>
      <w:lang w:val="en-US" w:eastAsia="en-US"/>
    </w:rPr>
  </w:style>
  <w:style w:type="paragraph" w:styleId="ListParagraph">
    <w:name w:val="List Paragraph"/>
    <w:basedOn w:val="Normal"/>
    <w:uiPriority w:val="34"/>
    <w:qFormat/>
    <w:rsid w:val="004B1A2D"/>
    <w:pPr>
      <w:spacing w:before="0" w:after="160" w:line="288" w:lineRule="auto"/>
      <w:ind w:left="720"/>
      <w:contextualSpacing/>
    </w:pPr>
    <w:rPr>
      <w:rFonts w:ascii="Corbel" w:eastAsia="Corbel" w:hAnsi="Corbel"/>
      <w:color w:val="5A5A5A"/>
      <w:sz w:val="24"/>
      <w:szCs w:val="20"/>
      <w:lang w:val="en-US" w:eastAsia="en-US" w:bidi="en-US"/>
    </w:rPr>
  </w:style>
  <w:style w:type="paragraph" w:styleId="IntenseQuote">
    <w:name w:val="Intense Quote"/>
    <w:basedOn w:val="Normal"/>
    <w:next w:val="Normal"/>
    <w:link w:val="IntenseQuoteChar"/>
    <w:uiPriority w:val="30"/>
    <w:qFormat/>
    <w:rsid w:val="004B1A2D"/>
    <w:pPr>
      <w:pBdr>
        <w:top w:val="single" w:sz="4" w:space="12" w:color="FFC534"/>
        <w:left w:val="single" w:sz="4" w:space="15" w:color="FFC534"/>
        <w:bottom w:val="single" w:sz="12" w:space="10" w:color="B38000"/>
        <w:right w:val="single" w:sz="12" w:space="15" w:color="B38000"/>
        <w:between w:val="single" w:sz="4" w:space="12" w:color="FFC534"/>
        <w:bar w:val="single" w:sz="4" w:color="FFC534"/>
      </w:pBdr>
      <w:spacing w:before="0" w:after="160"/>
      <w:ind w:left="2506" w:right="432"/>
    </w:pPr>
    <w:rPr>
      <w:rFonts w:ascii="Corbel" w:hAnsi="Corbel"/>
      <w:smallCaps/>
      <w:color w:val="B38000"/>
      <w:sz w:val="20"/>
      <w:szCs w:val="20"/>
      <w:lang w:val="en-US" w:eastAsia="en-US"/>
    </w:rPr>
  </w:style>
  <w:style w:type="character" w:customStyle="1" w:styleId="IntenseQuoteChar">
    <w:name w:val="Intense Quote Char"/>
    <w:basedOn w:val="DefaultParagraphFont"/>
    <w:link w:val="IntenseQuote"/>
    <w:uiPriority w:val="30"/>
    <w:rsid w:val="004B1A2D"/>
    <w:rPr>
      <w:rFonts w:ascii="Corbel" w:hAnsi="Corbel"/>
      <w:smallCaps/>
      <w:color w:val="B38000"/>
      <w:lang w:val="en-US" w:eastAsia="en-US"/>
    </w:rPr>
  </w:style>
  <w:style w:type="character" w:styleId="SubtleEmphasis">
    <w:name w:val="Subtle Emphasis"/>
    <w:uiPriority w:val="19"/>
    <w:qFormat/>
    <w:rsid w:val="004B1A2D"/>
    <w:rPr>
      <w:smallCaps/>
      <w:dstrike w:val="0"/>
      <w:color w:val="5A5A5A"/>
      <w:vertAlign w:val="baseline"/>
    </w:rPr>
  </w:style>
  <w:style w:type="character" w:styleId="IntenseEmphasis">
    <w:name w:val="Intense Emphasis"/>
    <w:uiPriority w:val="21"/>
    <w:qFormat/>
    <w:rsid w:val="004B1A2D"/>
    <w:rPr>
      <w:b/>
      <w:bCs/>
      <w:smallCaps/>
      <w:color w:val="F0AD00"/>
      <w:spacing w:val="40"/>
    </w:rPr>
  </w:style>
  <w:style w:type="character" w:styleId="SubtleReference">
    <w:name w:val="Subtle Reference"/>
    <w:uiPriority w:val="31"/>
    <w:qFormat/>
    <w:rsid w:val="004B1A2D"/>
    <w:rPr>
      <w:rFonts w:ascii="Corbel" w:eastAsia="Times New Roman" w:hAnsi="Corbel" w:cs="Times New Roman"/>
      <w:i/>
      <w:iCs/>
      <w:smallCaps/>
      <w:color w:val="5A5A5A"/>
      <w:spacing w:val="20"/>
    </w:rPr>
  </w:style>
  <w:style w:type="character" w:styleId="IntenseReference">
    <w:name w:val="Intense Reference"/>
    <w:uiPriority w:val="32"/>
    <w:qFormat/>
    <w:rsid w:val="004B1A2D"/>
    <w:rPr>
      <w:rFonts w:ascii="Corbel" w:eastAsia="Times New Roman" w:hAnsi="Corbel" w:cs="Times New Roman"/>
      <w:b/>
      <w:bCs/>
      <w:i/>
      <w:iCs/>
      <w:smallCaps/>
      <w:color w:val="434959"/>
      <w:spacing w:val="20"/>
    </w:rPr>
  </w:style>
  <w:style w:type="character" w:styleId="BookTitle">
    <w:name w:val="Book Title"/>
    <w:uiPriority w:val="33"/>
    <w:qFormat/>
    <w:rsid w:val="004B1A2D"/>
    <w:rPr>
      <w:rFonts w:ascii="Corbel" w:eastAsia="Times New Roman" w:hAnsi="Corbel" w:cs="Times New Roman"/>
      <w:b/>
      <w:bCs/>
      <w:smallCaps/>
      <w:color w:val="434959"/>
      <w:spacing w:val="10"/>
      <w:u w:val="single"/>
    </w:rPr>
  </w:style>
  <w:style w:type="paragraph" w:styleId="TOCHeading">
    <w:name w:val="TOC Heading"/>
    <w:basedOn w:val="Heading1"/>
    <w:next w:val="Normal"/>
    <w:uiPriority w:val="39"/>
    <w:semiHidden/>
    <w:unhideWhenUsed/>
    <w:qFormat/>
    <w:rsid w:val="004B1A2D"/>
    <w:pPr>
      <w:keepNext w:val="0"/>
      <w:keepLines w:val="0"/>
      <w:pBdr>
        <w:bottom w:val="none" w:sz="0" w:space="0" w:color="auto"/>
      </w:pBdr>
      <w:spacing w:before="400" w:after="240" w:line="240" w:lineRule="auto"/>
      <w:contextualSpacing/>
      <w:outlineLvl w:val="9"/>
    </w:pPr>
    <w:rPr>
      <w:rFonts w:ascii="Corbel" w:eastAsia="Times New Roman" w:hAnsi="Corbel" w:cs="Times New Roman"/>
      <w:b w:val="0"/>
      <w:bCs w:val="0"/>
      <w:smallCaps/>
      <w:color w:val="2C313B"/>
      <w:spacing w:val="20"/>
      <w:sz w:val="32"/>
      <w:szCs w:val="32"/>
      <w:lang w:val="en-US" w:eastAsia="en-US"/>
    </w:rPr>
  </w:style>
  <w:style w:type="paragraph" w:customStyle="1" w:styleId="Default">
    <w:name w:val="Default"/>
    <w:rsid w:val="004B1A2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4B1A2D"/>
    <w:pPr>
      <w:spacing w:before="0" w:after="160" w:line="288" w:lineRule="auto"/>
    </w:pPr>
    <w:rPr>
      <w:rFonts w:ascii="Corbel" w:eastAsia="Corbel" w:hAnsi="Corbel"/>
      <w:color w:val="5A5A5A"/>
      <w:sz w:val="20"/>
      <w:szCs w:val="20"/>
      <w:lang w:val="en-US" w:eastAsia="en-US" w:bidi="en-US"/>
    </w:rPr>
  </w:style>
  <w:style w:type="character" w:customStyle="1" w:styleId="FootnoteTextChar">
    <w:name w:val="Footnote Text Char"/>
    <w:basedOn w:val="DefaultParagraphFont"/>
    <w:link w:val="FootnoteText"/>
    <w:uiPriority w:val="99"/>
    <w:rsid w:val="004B1A2D"/>
    <w:rPr>
      <w:rFonts w:ascii="Corbel" w:eastAsia="Corbel" w:hAnsi="Corbel"/>
      <w:color w:val="5A5A5A"/>
      <w:lang w:val="en-US" w:eastAsia="en-US" w:bidi="en-US"/>
    </w:rPr>
  </w:style>
  <w:style w:type="character" w:styleId="FootnoteReference">
    <w:name w:val="footnote reference"/>
    <w:uiPriority w:val="99"/>
    <w:unhideWhenUsed/>
    <w:rsid w:val="004B1A2D"/>
    <w:rPr>
      <w:vertAlign w:val="superscript"/>
    </w:rPr>
  </w:style>
  <w:style w:type="character" w:customStyle="1" w:styleId="apple-style-span">
    <w:name w:val="apple-style-span"/>
    <w:rsid w:val="004B1A2D"/>
  </w:style>
  <w:style w:type="character" w:styleId="CommentReference">
    <w:name w:val="annotation reference"/>
    <w:basedOn w:val="DefaultParagraphFont"/>
    <w:uiPriority w:val="99"/>
    <w:unhideWhenUsed/>
    <w:rsid w:val="004B1A2D"/>
    <w:rPr>
      <w:sz w:val="16"/>
      <w:szCs w:val="16"/>
    </w:rPr>
  </w:style>
  <w:style w:type="paragraph" w:styleId="CommentText">
    <w:name w:val="annotation text"/>
    <w:basedOn w:val="Normal"/>
    <w:link w:val="CommentTextChar"/>
    <w:uiPriority w:val="99"/>
    <w:unhideWhenUsed/>
    <w:rsid w:val="004B1A2D"/>
    <w:pPr>
      <w:spacing w:before="0" w:after="160" w:line="240" w:lineRule="auto"/>
    </w:pPr>
    <w:rPr>
      <w:rFonts w:ascii="Corbel" w:eastAsia="Corbel" w:hAnsi="Corbel"/>
      <w:color w:val="5A5A5A"/>
      <w:sz w:val="20"/>
      <w:szCs w:val="20"/>
      <w:lang w:val="en-US" w:eastAsia="en-US" w:bidi="en-US"/>
    </w:rPr>
  </w:style>
  <w:style w:type="character" w:customStyle="1" w:styleId="CommentTextChar">
    <w:name w:val="Comment Text Char"/>
    <w:basedOn w:val="DefaultParagraphFont"/>
    <w:link w:val="CommentText"/>
    <w:uiPriority w:val="99"/>
    <w:rsid w:val="004B1A2D"/>
    <w:rPr>
      <w:rFonts w:ascii="Corbel" w:eastAsia="Corbel" w:hAnsi="Corbel"/>
      <w:color w:val="5A5A5A"/>
      <w:lang w:val="en-US" w:eastAsia="en-US" w:bidi="en-US"/>
    </w:rPr>
  </w:style>
  <w:style w:type="paragraph" w:styleId="CommentSubject">
    <w:name w:val="annotation subject"/>
    <w:basedOn w:val="CommentText"/>
    <w:next w:val="CommentText"/>
    <w:link w:val="CommentSubjectChar"/>
    <w:uiPriority w:val="99"/>
    <w:unhideWhenUsed/>
    <w:rsid w:val="004B1A2D"/>
    <w:rPr>
      <w:b/>
      <w:bCs/>
    </w:rPr>
  </w:style>
  <w:style w:type="character" w:customStyle="1" w:styleId="CommentSubjectChar">
    <w:name w:val="Comment Subject Char"/>
    <w:basedOn w:val="CommentTextChar"/>
    <w:link w:val="CommentSubject"/>
    <w:uiPriority w:val="99"/>
    <w:rsid w:val="004B1A2D"/>
    <w:rPr>
      <w:rFonts w:ascii="Corbel" w:eastAsia="Corbel" w:hAnsi="Corbel"/>
      <w:b/>
      <w:bCs/>
      <w:color w:val="5A5A5A"/>
      <w:lang w:val="en-US" w:eastAsia="en-US" w:bidi="en-US"/>
    </w:rPr>
  </w:style>
  <w:style w:type="paragraph" w:customStyle="1" w:styleId="Bullet">
    <w:name w:val="Bullet"/>
    <w:basedOn w:val="Normal"/>
    <w:link w:val="BulletChar"/>
    <w:rsid w:val="004B1A2D"/>
    <w:pPr>
      <w:numPr>
        <w:numId w:val="4"/>
      </w:numPr>
      <w:spacing w:line="288" w:lineRule="auto"/>
    </w:pPr>
    <w:rPr>
      <w:rFonts w:ascii="Book Antiqua" w:eastAsia="Corbel" w:hAnsi="Book Antiqua"/>
      <w:szCs w:val="22"/>
      <w:lang w:eastAsia="en-US" w:bidi="en-US"/>
    </w:rPr>
  </w:style>
  <w:style w:type="character" w:customStyle="1" w:styleId="BulletChar">
    <w:name w:val="Bullet Char"/>
    <w:basedOn w:val="DefaultParagraphFont"/>
    <w:link w:val="Bullet"/>
    <w:rsid w:val="004B1A2D"/>
    <w:rPr>
      <w:rFonts w:ascii="Book Antiqua" w:eastAsia="Corbel" w:hAnsi="Book Antiqua"/>
      <w:sz w:val="22"/>
      <w:szCs w:val="22"/>
      <w:lang w:eastAsia="en-US" w:bidi="en-US"/>
    </w:rPr>
  </w:style>
  <w:style w:type="paragraph" w:customStyle="1" w:styleId="Dash">
    <w:name w:val="Dash"/>
    <w:basedOn w:val="Normal"/>
    <w:link w:val="DashChar"/>
    <w:rsid w:val="004B1A2D"/>
    <w:pPr>
      <w:numPr>
        <w:ilvl w:val="1"/>
        <w:numId w:val="4"/>
      </w:numPr>
      <w:spacing w:line="288" w:lineRule="auto"/>
    </w:pPr>
    <w:rPr>
      <w:rFonts w:ascii="Book Antiqua" w:eastAsia="Corbel" w:hAnsi="Book Antiqua"/>
      <w:szCs w:val="22"/>
      <w:lang w:eastAsia="en-US" w:bidi="en-US"/>
    </w:rPr>
  </w:style>
  <w:style w:type="character" w:customStyle="1" w:styleId="DashChar">
    <w:name w:val="Dash Char"/>
    <w:basedOn w:val="DefaultParagraphFont"/>
    <w:link w:val="Dash"/>
    <w:rsid w:val="004B1A2D"/>
    <w:rPr>
      <w:rFonts w:ascii="Book Antiqua" w:eastAsia="Corbel" w:hAnsi="Book Antiqua"/>
      <w:sz w:val="22"/>
      <w:szCs w:val="22"/>
      <w:lang w:eastAsia="en-US" w:bidi="en-US"/>
    </w:rPr>
  </w:style>
  <w:style w:type="paragraph" w:customStyle="1" w:styleId="DoubleDot">
    <w:name w:val="Double Dot"/>
    <w:basedOn w:val="Normal"/>
    <w:link w:val="DoubleDotChar"/>
    <w:rsid w:val="004B1A2D"/>
    <w:pPr>
      <w:numPr>
        <w:ilvl w:val="2"/>
        <w:numId w:val="4"/>
      </w:numPr>
      <w:spacing w:line="288" w:lineRule="auto"/>
    </w:pPr>
    <w:rPr>
      <w:rFonts w:ascii="Book Antiqua" w:eastAsia="Corbel" w:hAnsi="Book Antiqua"/>
      <w:szCs w:val="22"/>
      <w:lang w:eastAsia="en-US" w:bidi="en-US"/>
    </w:rPr>
  </w:style>
  <w:style w:type="character" w:customStyle="1" w:styleId="DoubleDotChar">
    <w:name w:val="Double Dot Char"/>
    <w:basedOn w:val="DefaultParagraphFont"/>
    <w:link w:val="DoubleDot"/>
    <w:rsid w:val="004B1A2D"/>
    <w:rPr>
      <w:rFonts w:ascii="Book Antiqua" w:eastAsia="Corbel" w:hAnsi="Book Antiqua"/>
      <w:sz w:val="22"/>
      <w:szCs w:val="22"/>
      <w:lang w:eastAsia="en-US" w:bidi="en-US"/>
    </w:rPr>
  </w:style>
  <w:style w:type="paragraph" w:customStyle="1" w:styleId="ecxmsonormal">
    <w:name w:val="ecxmsonormal"/>
    <w:basedOn w:val="Normal"/>
    <w:rsid w:val="004B1A2D"/>
    <w:pPr>
      <w:spacing w:before="100" w:beforeAutospacing="1" w:after="100" w:afterAutospacing="1" w:line="240" w:lineRule="auto"/>
    </w:pPr>
    <w:rPr>
      <w:rFonts w:ascii="Times New Roman" w:hAnsi="Times New Roman"/>
      <w:sz w:val="24"/>
    </w:rPr>
  </w:style>
  <w:style w:type="paragraph" w:customStyle="1" w:styleId="ecxmsolistparagraph">
    <w:name w:val="ecxmsolistparagraph"/>
    <w:basedOn w:val="Normal"/>
    <w:rsid w:val="004B1A2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4B1A2D"/>
  </w:style>
  <w:style w:type="paragraph" w:styleId="BodyText">
    <w:name w:val="Body Text"/>
    <w:basedOn w:val="Normal"/>
    <w:link w:val="BodyTextChar"/>
    <w:rsid w:val="004B1A2D"/>
  </w:style>
  <w:style w:type="character" w:customStyle="1" w:styleId="BodyTextChar">
    <w:name w:val="Body Text Char"/>
    <w:basedOn w:val="DefaultParagraphFont"/>
    <w:link w:val="BodyText"/>
    <w:rsid w:val="004B1A2D"/>
    <w:rPr>
      <w:rFonts w:asciiTheme="minorHAnsi" w:hAnsiTheme="minorHAnsi"/>
      <w:sz w:val="22"/>
      <w:szCs w:val="24"/>
    </w:rPr>
  </w:style>
  <w:style w:type="paragraph" w:customStyle="1" w:styleId="ShadedListBullet">
    <w:name w:val="Shaded List Bullet"/>
    <w:basedOn w:val="ListBullet"/>
    <w:qFormat/>
    <w:rsid w:val="00AE66D5"/>
    <w:pPr>
      <w:keepNext/>
      <w:numPr>
        <w:numId w:val="3"/>
      </w:numPr>
      <w:pBdr>
        <w:left w:val="single" w:sz="12" w:space="4" w:color="165788"/>
        <w:bottom w:val="single" w:sz="12" w:space="1" w:color="165788"/>
        <w:right w:val="single" w:sz="12" w:space="4" w:color="165788"/>
      </w:pBdr>
      <w:shd w:val="clear" w:color="auto" w:fill="E2EAF0"/>
      <w:spacing w:before="0" w:line="288" w:lineRule="auto"/>
      <w:ind w:left="357" w:hanging="357"/>
    </w:pPr>
    <w:rPr>
      <w:szCs w:val="22"/>
    </w:rPr>
  </w:style>
  <w:style w:type="paragraph" w:customStyle="1" w:styleId="ShadedNumberedList">
    <w:name w:val="Shaded Numbered List"/>
    <w:basedOn w:val="ListNumber"/>
    <w:qFormat/>
    <w:rsid w:val="00E202B8"/>
    <w:pPr>
      <w:pBdr>
        <w:left w:val="single" w:sz="12" w:space="4" w:color="165788"/>
        <w:bottom w:val="single" w:sz="12" w:space="1" w:color="165788"/>
        <w:right w:val="single" w:sz="12" w:space="4" w:color="165788"/>
      </w:pBdr>
      <w:shd w:val="clear" w:color="auto" w:fill="E2EAF0"/>
      <w:spacing w:before="0"/>
      <w:ind w:left="357" w:hanging="357"/>
    </w:pPr>
  </w:style>
  <w:style w:type="paragraph" w:styleId="List">
    <w:name w:val="List"/>
    <w:basedOn w:val="Normal"/>
    <w:rsid w:val="00B32505"/>
    <w:pPr>
      <w:ind w:left="283" w:hanging="283"/>
      <w:contextualSpacing/>
    </w:pPr>
  </w:style>
  <w:style w:type="paragraph" w:customStyle="1" w:styleId="TableBody">
    <w:name w:val="Table Body"/>
    <w:basedOn w:val="BodyText"/>
    <w:qFormat/>
    <w:rsid w:val="005B0FE4"/>
    <w:rPr>
      <w:sz w:val="20"/>
      <w:szCs w:val="20"/>
    </w:rPr>
  </w:style>
  <w:style w:type="paragraph" w:customStyle="1" w:styleId="TableListBullet">
    <w:name w:val="Table List Bullet"/>
    <w:basedOn w:val="ListBullet"/>
    <w:qFormat/>
    <w:rsid w:val="005B0FE4"/>
    <w:rPr>
      <w:sz w:val="20"/>
    </w:rPr>
  </w:style>
  <w:style w:type="paragraph" w:customStyle="1" w:styleId="numberedpara">
    <w:name w:val="numbered para"/>
    <w:basedOn w:val="Normal"/>
    <w:rsid w:val="0019736B"/>
    <w:pPr>
      <w:numPr>
        <w:numId w:val="5"/>
      </w:numPr>
      <w:spacing w:before="0" w:after="0" w:line="240" w:lineRule="auto"/>
    </w:pPr>
    <w:rPr>
      <w:rFonts w:ascii="Calibri" w:eastAsiaTheme="minorHAnsi" w:hAnsi="Calibri" w:cs="Calibri"/>
      <w:szCs w:val="22"/>
    </w:rPr>
  </w:style>
  <w:style w:type="paragraph" w:styleId="BlockText">
    <w:name w:val="Block Text"/>
    <w:basedOn w:val="Normal"/>
    <w:rsid w:val="009F1A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Revision">
    <w:name w:val="Revision"/>
    <w:hidden/>
    <w:uiPriority w:val="99"/>
    <w:semiHidden/>
    <w:rsid w:val="009424D7"/>
    <w:rPr>
      <w:rFonts w:asciiTheme="minorHAnsi" w:hAnsiTheme="minorHAnsi"/>
      <w:sz w:val="22"/>
      <w:szCs w:val="24"/>
    </w:rPr>
  </w:style>
  <w:style w:type="paragraph" w:customStyle="1" w:styleId="Figure">
    <w:name w:val="Figure"/>
    <w:basedOn w:val="Normal"/>
    <w:rsid w:val="001D2646"/>
    <w:pPr>
      <w:widowControl w:val="0"/>
      <w:spacing w:before="0" w:after="0" w:line="240" w:lineRule="auto"/>
      <w:jc w:val="center"/>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qFormat="1"/>
    <w:lsdException w:name="List Number"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EC3"/>
    <w:pPr>
      <w:spacing w:before="120" w:after="120" w:line="300" w:lineRule="auto"/>
    </w:pPr>
    <w:rPr>
      <w:rFonts w:asciiTheme="minorHAnsi" w:hAnsiTheme="minorHAnsi"/>
      <w:sz w:val="22"/>
      <w:szCs w:val="24"/>
    </w:rPr>
  </w:style>
  <w:style w:type="paragraph" w:styleId="Heading1">
    <w:name w:val="heading 1"/>
    <w:basedOn w:val="Normal"/>
    <w:next w:val="Normal"/>
    <w:link w:val="Heading1Char"/>
    <w:uiPriority w:val="9"/>
    <w:qFormat/>
    <w:rsid w:val="008B316E"/>
    <w:pPr>
      <w:keepNext/>
      <w:keepLines/>
      <w:pBdr>
        <w:bottom w:val="single" w:sz="8" w:space="1" w:color="165788"/>
      </w:pBdr>
      <w:spacing w:before="480"/>
      <w:outlineLvl w:val="0"/>
    </w:pPr>
    <w:rPr>
      <w:rFonts w:ascii="Calibri" w:eastAsiaTheme="majorEastAsia" w:hAnsi="Calibri" w:cstheme="majorBidi"/>
      <w:b/>
      <w:bCs/>
      <w:color w:val="165788"/>
      <w:sz w:val="40"/>
      <w:szCs w:val="28"/>
    </w:rPr>
  </w:style>
  <w:style w:type="paragraph" w:styleId="Heading2">
    <w:name w:val="heading 2"/>
    <w:basedOn w:val="Normal"/>
    <w:next w:val="Normal"/>
    <w:link w:val="Heading2Char"/>
    <w:uiPriority w:val="9"/>
    <w:unhideWhenUsed/>
    <w:qFormat/>
    <w:rsid w:val="006503D7"/>
    <w:pPr>
      <w:keepNext/>
      <w:keepLines/>
      <w:tabs>
        <w:tab w:val="left" w:pos="567"/>
      </w:tabs>
      <w:spacing w:before="240" w:line="240" w:lineRule="auto"/>
      <w:outlineLvl w:val="1"/>
    </w:pPr>
    <w:rPr>
      <w:rFonts w:ascii="Calibri" w:eastAsiaTheme="majorEastAsia" w:hAnsi="Calibri" w:cstheme="majorBidi"/>
      <w:b/>
      <w:bCs/>
      <w:color w:val="165788"/>
      <w:sz w:val="32"/>
      <w:szCs w:val="26"/>
    </w:rPr>
  </w:style>
  <w:style w:type="paragraph" w:styleId="Heading3">
    <w:name w:val="heading 3"/>
    <w:basedOn w:val="Normal"/>
    <w:next w:val="Normal"/>
    <w:link w:val="Heading3Char"/>
    <w:uiPriority w:val="9"/>
    <w:unhideWhenUsed/>
    <w:qFormat/>
    <w:rsid w:val="006D24B7"/>
    <w:pPr>
      <w:keepNext/>
      <w:keepLines/>
      <w:spacing w:before="0"/>
      <w:outlineLvl w:val="2"/>
    </w:pPr>
    <w:rPr>
      <w:rFonts w:ascii="Calibri" w:eastAsiaTheme="majorEastAsia" w:hAnsi="Calibri" w:cstheme="majorBidi"/>
      <w:bCs/>
      <w:color w:val="165788"/>
      <w:sz w:val="24"/>
    </w:rPr>
  </w:style>
  <w:style w:type="paragraph" w:styleId="Heading4">
    <w:name w:val="heading 4"/>
    <w:basedOn w:val="Normal"/>
    <w:next w:val="Normal"/>
    <w:link w:val="Heading4Char"/>
    <w:uiPriority w:val="9"/>
    <w:unhideWhenUsed/>
    <w:qFormat/>
    <w:rsid w:val="00B32455"/>
    <w:pPr>
      <w:keepNext/>
      <w:keepLines/>
      <w:spacing w:before="200"/>
      <w:outlineLvl w:val="3"/>
    </w:pPr>
    <w:rPr>
      <w:rFonts w:ascii="Calibri" w:eastAsiaTheme="majorEastAsia" w:hAnsi="Calibri" w:cstheme="majorBidi"/>
      <w:b/>
      <w:bCs/>
      <w:iCs/>
      <w:sz w:val="26"/>
    </w:rPr>
  </w:style>
  <w:style w:type="paragraph" w:styleId="Heading5">
    <w:name w:val="heading 5"/>
    <w:basedOn w:val="Normal"/>
    <w:next w:val="Normal"/>
    <w:link w:val="Heading5Char"/>
    <w:uiPriority w:val="9"/>
    <w:unhideWhenUsed/>
    <w:qFormat/>
    <w:rsid w:val="00B32455"/>
    <w:pPr>
      <w:keepNext/>
      <w:keepLines/>
      <w:spacing w:before="200" w:after="0"/>
      <w:outlineLvl w:val="4"/>
    </w:pPr>
    <w:rPr>
      <w:rFonts w:ascii="Calibri" w:eastAsiaTheme="majorEastAsia" w:hAnsi="Calibri" w:cstheme="majorBidi"/>
      <w:b/>
      <w:sz w:val="24"/>
    </w:rPr>
  </w:style>
  <w:style w:type="paragraph" w:styleId="Heading6">
    <w:name w:val="heading 6"/>
    <w:basedOn w:val="Normal"/>
    <w:next w:val="Normal"/>
    <w:link w:val="Heading6Char"/>
    <w:uiPriority w:val="9"/>
    <w:semiHidden/>
    <w:unhideWhenUsed/>
    <w:qFormat/>
    <w:rsid w:val="00B32455"/>
    <w:pPr>
      <w:keepNext/>
      <w:keepLines/>
      <w:spacing w:before="200" w:after="0"/>
      <w:outlineLvl w:val="5"/>
    </w:pPr>
    <w:rPr>
      <w:rFonts w:ascii="Calibri" w:eastAsiaTheme="majorEastAsia" w:hAnsi="Calibri" w:cstheme="majorBidi"/>
      <w:b/>
      <w:iCs/>
    </w:rPr>
  </w:style>
  <w:style w:type="paragraph" w:styleId="Heading7">
    <w:name w:val="heading 7"/>
    <w:basedOn w:val="Normal"/>
    <w:next w:val="Normal"/>
    <w:link w:val="Heading7Char"/>
    <w:uiPriority w:val="9"/>
    <w:semiHidden/>
    <w:unhideWhenUsed/>
    <w:qFormat/>
    <w:rsid w:val="004B1A2D"/>
    <w:pPr>
      <w:pBdr>
        <w:bottom w:val="dotted" w:sz="8" w:space="1" w:color="67676C"/>
      </w:pBdr>
      <w:spacing w:before="200" w:after="100" w:line="240" w:lineRule="auto"/>
      <w:contextualSpacing/>
      <w:outlineLvl w:val="6"/>
    </w:pPr>
    <w:rPr>
      <w:rFonts w:ascii="Corbel" w:hAnsi="Corbel"/>
      <w:b/>
      <w:bCs/>
      <w:smallCaps/>
      <w:color w:val="67676C"/>
      <w:spacing w:val="20"/>
      <w:sz w:val="16"/>
      <w:szCs w:val="16"/>
      <w:lang w:val="en-US" w:eastAsia="en-US"/>
    </w:rPr>
  </w:style>
  <w:style w:type="paragraph" w:styleId="Heading8">
    <w:name w:val="heading 8"/>
    <w:basedOn w:val="Normal"/>
    <w:next w:val="Normal"/>
    <w:link w:val="Heading8Char"/>
    <w:uiPriority w:val="9"/>
    <w:semiHidden/>
    <w:unhideWhenUsed/>
    <w:qFormat/>
    <w:rsid w:val="004B1A2D"/>
    <w:pPr>
      <w:spacing w:before="200" w:after="60" w:line="240" w:lineRule="auto"/>
      <w:contextualSpacing/>
      <w:outlineLvl w:val="7"/>
    </w:pPr>
    <w:rPr>
      <w:rFonts w:ascii="Corbel" w:hAnsi="Corbel"/>
      <w:b/>
      <w:smallCaps/>
      <w:color w:val="67676C"/>
      <w:spacing w:val="20"/>
      <w:sz w:val="16"/>
      <w:szCs w:val="16"/>
      <w:lang w:val="en-US" w:eastAsia="en-US"/>
    </w:rPr>
  </w:style>
  <w:style w:type="paragraph" w:styleId="Heading9">
    <w:name w:val="heading 9"/>
    <w:basedOn w:val="Normal"/>
    <w:next w:val="Normal"/>
    <w:link w:val="Heading9Char"/>
    <w:uiPriority w:val="9"/>
    <w:semiHidden/>
    <w:unhideWhenUsed/>
    <w:qFormat/>
    <w:rsid w:val="004B1A2D"/>
    <w:pPr>
      <w:spacing w:before="200" w:after="60" w:line="240" w:lineRule="auto"/>
      <w:contextualSpacing/>
      <w:outlineLvl w:val="8"/>
    </w:pPr>
    <w:rPr>
      <w:rFonts w:ascii="Corbel" w:hAnsi="Corbel"/>
      <w:smallCaps/>
      <w:color w:val="67676C"/>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uiPriority w:val="20"/>
    <w:qFormat/>
    <w:rsid w:val="00822942"/>
    <w:rPr>
      <w:rFonts w:asciiTheme="minorHAnsi" w:hAnsiTheme="minorHAns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uiPriority w:val="10"/>
    <w:qFormat/>
    <w:rsid w:val="00B32455"/>
    <w:pPr>
      <w:spacing w:before="1440" w:after="360"/>
      <w:contextualSpacing/>
      <w:jc w:val="right"/>
    </w:pPr>
    <w:rPr>
      <w:rFonts w:ascii="Calibri" w:eastAsiaTheme="majorEastAsia" w:hAnsi="Calibri" w:cstheme="majorBidi"/>
      <w:b/>
      <w:color w:val="165788"/>
      <w:spacing w:val="5"/>
      <w:kern w:val="28"/>
      <w:sz w:val="72"/>
      <w:szCs w:val="52"/>
    </w:rPr>
  </w:style>
  <w:style w:type="character" w:customStyle="1" w:styleId="TitleChar">
    <w:name w:val="Title Char"/>
    <w:basedOn w:val="DefaultParagraphFont"/>
    <w:link w:val="Title"/>
    <w:uiPriority w:val="10"/>
    <w:rsid w:val="00B32455"/>
    <w:rPr>
      <w:rFonts w:ascii="Calibri" w:eastAsiaTheme="majorEastAsia" w:hAnsi="Calibri" w:cstheme="majorBidi"/>
      <w:b/>
      <w:color w:val="165788"/>
      <w:spacing w:val="5"/>
      <w:kern w:val="28"/>
      <w:sz w:val="72"/>
      <w:szCs w:val="52"/>
    </w:rPr>
  </w:style>
  <w:style w:type="paragraph" w:styleId="Subtitle">
    <w:name w:val="Subtitle"/>
    <w:basedOn w:val="Normal"/>
    <w:next w:val="Normal"/>
    <w:link w:val="SubtitleChar"/>
    <w:uiPriority w:val="11"/>
    <w:qFormat/>
    <w:rsid w:val="00B32455"/>
    <w:pPr>
      <w:numPr>
        <w:ilvl w:val="1"/>
      </w:numPr>
      <w:jc w:val="right"/>
    </w:pPr>
    <w:rPr>
      <w:rFonts w:ascii="Calibri" w:eastAsiaTheme="majorEastAsia" w:hAnsi="Calibri" w:cstheme="majorBidi"/>
      <w:iCs/>
      <w:color w:val="165788"/>
      <w:spacing w:val="15"/>
      <w:sz w:val="40"/>
    </w:rPr>
  </w:style>
  <w:style w:type="character" w:customStyle="1" w:styleId="SubtitleChar">
    <w:name w:val="Subtitle Char"/>
    <w:basedOn w:val="DefaultParagraphFont"/>
    <w:link w:val="Subtitle"/>
    <w:uiPriority w:val="11"/>
    <w:rsid w:val="00B32455"/>
    <w:rPr>
      <w:rFonts w:ascii="Calibri" w:eastAsiaTheme="majorEastAsia" w:hAnsi="Calibri" w:cstheme="majorBidi"/>
      <w:iCs/>
      <w:color w:val="165788"/>
      <w:spacing w:val="15"/>
      <w:sz w:val="40"/>
      <w:szCs w:val="24"/>
    </w:rPr>
  </w:style>
  <w:style w:type="character" w:customStyle="1" w:styleId="Heading1Char">
    <w:name w:val="Heading 1 Char"/>
    <w:basedOn w:val="DefaultParagraphFont"/>
    <w:link w:val="Heading1"/>
    <w:uiPriority w:val="9"/>
    <w:rsid w:val="008B316E"/>
    <w:rPr>
      <w:rFonts w:ascii="Calibri" w:eastAsiaTheme="majorEastAsia" w:hAnsi="Calibri" w:cstheme="majorBidi"/>
      <w:b/>
      <w:bCs/>
      <w:color w:val="165788"/>
      <w:sz w:val="40"/>
      <w:szCs w:val="28"/>
    </w:rPr>
  </w:style>
  <w:style w:type="character" w:customStyle="1" w:styleId="Heading2Char">
    <w:name w:val="Heading 2 Char"/>
    <w:basedOn w:val="DefaultParagraphFont"/>
    <w:link w:val="Heading2"/>
    <w:uiPriority w:val="9"/>
    <w:rsid w:val="006503D7"/>
    <w:rPr>
      <w:rFonts w:ascii="Calibri" w:eastAsiaTheme="majorEastAsia" w:hAnsi="Calibri" w:cstheme="majorBidi"/>
      <w:b/>
      <w:bCs/>
      <w:color w:val="165788"/>
      <w:sz w:val="32"/>
      <w:szCs w:val="26"/>
    </w:rPr>
  </w:style>
  <w:style w:type="character" w:customStyle="1" w:styleId="Heading3Char">
    <w:name w:val="Heading 3 Char"/>
    <w:basedOn w:val="DefaultParagraphFont"/>
    <w:link w:val="Heading3"/>
    <w:uiPriority w:val="9"/>
    <w:rsid w:val="006D24B7"/>
    <w:rPr>
      <w:rFonts w:ascii="Calibri" w:eastAsiaTheme="majorEastAsia" w:hAnsi="Calibri" w:cstheme="majorBidi"/>
      <w:bCs/>
      <w:color w:val="165788"/>
      <w:sz w:val="24"/>
      <w:szCs w:val="24"/>
    </w:rPr>
  </w:style>
  <w:style w:type="character" w:customStyle="1" w:styleId="Heading4Char">
    <w:name w:val="Heading 4 Char"/>
    <w:basedOn w:val="DefaultParagraphFont"/>
    <w:link w:val="Heading4"/>
    <w:uiPriority w:val="9"/>
    <w:rsid w:val="00B32455"/>
    <w:rPr>
      <w:rFonts w:ascii="Calibri" w:eastAsiaTheme="majorEastAsia" w:hAnsi="Calibri" w:cstheme="majorBidi"/>
      <w:b/>
      <w:bCs/>
      <w:iCs/>
      <w:sz w:val="26"/>
      <w:szCs w:val="24"/>
    </w:rPr>
  </w:style>
  <w:style w:type="paragraph" w:styleId="Header">
    <w:name w:val="header"/>
    <w:basedOn w:val="Normal"/>
    <w:link w:val="HeaderChar"/>
    <w:uiPriority w:val="99"/>
    <w:rsid w:val="006D0101"/>
    <w:pPr>
      <w:tabs>
        <w:tab w:val="center" w:pos="4513"/>
        <w:tab w:val="right" w:pos="9026"/>
      </w:tabs>
    </w:pPr>
  </w:style>
  <w:style w:type="character" w:customStyle="1" w:styleId="HeaderChar">
    <w:name w:val="Header Char"/>
    <w:basedOn w:val="DefaultParagraphFont"/>
    <w:link w:val="Header"/>
    <w:uiPriority w:val="99"/>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basedOn w:val="DefaultParagraphFont"/>
    <w:uiPriority w:val="22"/>
    <w:qFormat/>
    <w:rsid w:val="0022116C"/>
    <w:rPr>
      <w:b/>
      <w:bCs/>
    </w:rPr>
  </w:style>
  <w:style w:type="paragraph" w:styleId="Quote">
    <w:name w:val="Quote"/>
    <w:basedOn w:val="Normal"/>
    <w:next w:val="Normal"/>
    <w:link w:val="QuoteChar"/>
    <w:uiPriority w:val="29"/>
    <w:qFormat/>
    <w:rsid w:val="00B32455"/>
    <w:pPr>
      <w:spacing w:before="240" w:after="240"/>
      <w:ind w:left="284" w:right="284"/>
    </w:pPr>
    <w:rPr>
      <w:rFonts w:ascii="Calibri" w:hAnsi="Calibri"/>
      <w:i/>
      <w:iCs/>
      <w:color w:val="000000" w:themeColor="text1"/>
    </w:rPr>
  </w:style>
  <w:style w:type="character" w:customStyle="1" w:styleId="QuoteChar">
    <w:name w:val="Quote Char"/>
    <w:basedOn w:val="DefaultParagraphFont"/>
    <w:link w:val="Quote"/>
    <w:uiPriority w:val="29"/>
    <w:rsid w:val="00B32455"/>
    <w:rPr>
      <w:rFonts w:ascii="Calibri" w:hAnsi="Calibri"/>
      <w:i/>
      <w:iCs/>
      <w:color w:val="000000" w:themeColor="text1"/>
      <w:sz w:val="22"/>
      <w:szCs w:val="24"/>
    </w:rPr>
  </w:style>
  <w:style w:type="paragraph" w:styleId="BalloonText">
    <w:name w:val="Balloon Text"/>
    <w:basedOn w:val="Normal"/>
    <w:link w:val="BalloonTextChar"/>
    <w:uiPriority w:val="99"/>
    <w:rsid w:val="009528B9"/>
    <w:rPr>
      <w:rFonts w:ascii="Tahoma" w:hAnsi="Tahoma" w:cs="Tahoma"/>
      <w:sz w:val="16"/>
      <w:szCs w:val="16"/>
    </w:rPr>
  </w:style>
  <w:style w:type="character" w:customStyle="1" w:styleId="BalloonTextChar">
    <w:name w:val="Balloon Text Char"/>
    <w:basedOn w:val="DefaultParagraphFont"/>
    <w:link w:val="BalloonText"/>
    <w:uiPriority w:val="99"/>
    <w:rsid w:val="009528B9"/>
    <w:rPr>
      <w:rFonts w:ascii="Tahoma" w:hAnsi="Tahoma" w:cs="Tahoma"/>
      <w:sz w:val="16"/>
      <w:szCs w:val="16"/>
    </w:rPr>
  </w:style>
  <w:style w:type="paragraph" w:styleId="Caption">
    <w:name w:val="caption"/>
    <w:basedOn w:val="Normal"/>
    <w:next w:val="Normal"/>
    <w:uiPriority w:val="35"/>
    <w:unhideWhenUsed/>
    <w:qFormat/>
    <w:rsid w:val="00B32455"/>
    <w:pPr>
      <w:spacing w:before="0" w:after="0"/>
    </w:pPr>
    <w:rPr>
      <w:b/>
      <w:bCs/>
      <w:color w:val="165788"/>
      <w:sz w:val="20"/>
      <w:szCs w:val="18"/>
    </w:rPr>
  </w:style>
  <w:style w:type="table" w:styleId="TableGrid">
    <w:name w:val="Table Grid"/>
    <w:basedOn w:val="TableNormal"/>
    <w:uiPriority w:val="59"/>
    <w:rsid w:val="0049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Web"/>
    <w:link w:val="TableHeadingChar"/>
    <w:qFormat/>
    <w:rsid w:val="00B32455"/>
    <w:rPr>
      <w:rFonts w:ascii="Calibri" w:hAnsi="Calibri"/>
      <w:b/>
      <w:color w:val="FFFFFF" w:themeColor="background1"/>
    </w:rPr>
  </w:style>
  <w:style w:type="paragraph" w:styleId="ListNumber">
    <w:name w:val="List Number"/>
    <w:basedOn w:val="Normal"/>
    <w:link w:val="ListNumberChar"/>
    <w:qFormat/>
    <w:rsid w:val="00546211"/>
    <w:pPr>
      <w:numPr>
        <w:numId w:val="2"/>
      </w:numPr>
      <w:contextualSpacing/>
    </w:p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themeColor="background1"/>
      <w:sz w:val="22"/>
      <w:szCs w:val="24"/>
    </w:rPr>
  </w:style>
  <w:style w:type="paragraph" w:styleId="ListBullet">
    <w:name w:val="List Bullet"/>
    <w:basedOn w:val="Normal"/>
    <w:qFormat/>
    <w:rsid w:val="00546211"/>
    <w:pPr>
      <w:numPr>
        <w:numId w:val="1"/>
      </w:numPr>
      <w:contextualSpacing/>
    </w:pPr>
  </w:style>
  <w:style w:type="character" w:styleId="Hyperlink">
    <w:name w:val="Hyperlink"/>
    <w:basedOn w:val="DefaultParagraphFont"/>
    <w:uiPriority w:val="99"/>
    <w:unhideWhenUsed/>
    <w:rsid w:val="00750BEF"/>
    <w:rPr>
      <w:color w:val="0000FF" w:themeColor="hyperlink"/>
      <w:u w:val="single"/>
    </w:rPr>
  </w:style>
  <w:style w:type="paragraph" w:styleId="TOC1">
    <w:name w:val="toc 1"/>
    <w:basedOn w:val="Normal"/>
    <w:next w:val="Normal"/>
    <w:autoRedefine/>
    <w:uiPriority w:val="39"/>
    <w:rsid w:val="007E25A2"/>
    <w:pPr>
      <w:tabs>
        <w:tab w:val="left" w:pos="8675"/>
      </w:tabs>
      <w:spacing w:after="100"/>
      <w:ind w:left="567"/>
    </w:pPr>
    <w:rPr>
      <w:rFonts w:ascii="Calibri" w:hAnsi="Calibri"/>
      <w:b/>
      <w:color w:val="165788"/>
    </w:rPr>
  </w:style>
  <w:style w:type="paragraph" w:styleId="TOC2">
    <w:name w:val="toc 2"/>
    <w:basedOn w:val="Normal"/>
    <w:next w:val="Normal"/>
    <w:autoRedefine/>
    <w:uiPriority w:val="39"/>
    <w:rsid w:val="00BB0E53"/>
    <w:pPr>
      <w:tabs>
        <w:tab w:val="left" w:pos="880"/>
        <w:tab w:val="right" w:leader="dot" w:pos="8898"/>
      </w:tabs>
      <w:spacing w:after="100"/>
      <w:ind w:left="1134"/>
    </w:pPr>
    <w:rPr>
      <w:rFonts w:ascii="Calibri" w:eastAsiaTheme="majorEastAsia" w:hAnsi="Calibri"/>
      <w:b/>
      <w:noProof/>
    </w:rPr>
  </w:style>
  <w:style w:type="paragraph" w:styleId="TOC3">
    <w:name w:val="toc 3"/>
    <w:basedOn w:val="Normal"/>
    <w:next w:val="Normal"/>
    <w:autoRedefine/>
    <w:uiPriority w:val="39"/>
    <w:rsid w:val="007E25A2"/>
    <w:pPr>
      <w:tabs>
        <w:tab w:val="right" w:leader="dot" w:pos="8898"/>
      </w:tabs>
      <w:spacing w:after="100"/>
      <w:ind w:left="1843"/>
    </w:pPr>
    <w:rPr>
      <w:rFonts w:ascii="Calibri" w:hAnsi="Calibri"/>
      <w:i/>
    </w:rPr>
  </w:style>
  <w:style w:type="paragraph" w:styleId="NoSpacing">
    <w:name w:val="No Spacing"/>
    <w:link w:val="NoSpacingChar"/>
    <w:uiPriority w:val="1"/>
    <w:qFormat/>
    <w:rsid w:val="00B32455"/>
    <w:rPr>
      <w:rFonts w:ascii="Calibri" w:eastAsiaTheme="minorEastAsia" w:hAnsi="Calibri" w:cstheme="minorBidi"/>
      <w:sz w:val="22"/>
      <w:szCs w:val="22"/>
      <w:lang w:val="en-US" w:eastAsia="ja-JP"/>
    </w:rPr>
  </w:style>
  <w:style w:type="character" w:customStyle="1" w:styleId="NoSpacingChar">
    <w:name w:val="No Spacing Char"/>
    <w:basedOn w:val="DefaultParagraphFont"/>
    <w:link w:val="NoSpacing"/>
    <w:uiPriority w:val="1"/>
    <w:rsid w:val="00B32455"/>
    <w:rPr>
      <w:rFonts w:ascii="Calibri" w:eastAsiaTheme="minorEastAsia" w:hAnsi="Calibri" w:cstheme="minorBidi"/>
      <w:sz w:val="22"/>
      <w:szCs w:val="22"/>
      <w:lang w:val="en-US" w:eastAsia="ja-JP"/>
    </w:rPr>
  </w:style>
  <w:style w:type="paragraph" w:customStyle="1" w:styleId="SecurityRating">
    <w:name w:val="Security Rating"/>
    <w:basedOn w:val="Normal"/>
    <w:link w:val="SecurityRatingChar"/>
    <w:qFormat/>
    <w:rsid w:val="00214486"/>
    <w:pPr>
      <w:spacing w:before="0" w:after="200" w:line="240" w:lineRule="auto"/>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Theme="minorHAnsi" w:hAnsiTheme="minorHAns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uiPriority w:val="9"/>
    <w:rsid w:val="00B32455"/>
    <w:rPr>
      <w:rFonts w:ascii="Calibri" w:eastAsiaTheme="majorEastAsia" w:hAnsi="Calibri" w:cstheme="majorBidi"/>
      <w:b/>
      <w:sz w:val="24"/>
      <w:szCs w:val="24"/>
    </w:rPr>
  </w:style>
  <w:style w:type="character" w:customStyle="1" w:styleId="NonTOCHeading1Char">
    <w:name w:val="Non TOC Heading 1 Char"/>
    <w:basedOn w:val="Heading1Char"/>
    <w:link w:val="NonTOCHeading1"/>
    <w:rsid w:val="008B316E"/>
    <w:rPr>
      <w:rFonts w:ascii="Calibri" w:eastAsiaTheme="majorEastAsia" w:hAnsi="Calibri" w:cstheme="majorBidi"/>
      <w:b/>
      <w:bCs/>
      <w:color w:val="165788"/>
      <w:sz w:val="40"/>
      <w:szCs w:val="28"/>
    </w:rPr>
  </w:style>
  <w:style w:type="character" w:customStyle="1" w:styleId="Heading6Char">
    <w:name w:val="Heading 6 Char"/>
    <w:basedOn w:val="DefaultParagraphFont"/>
    <w:link w:val="Heading6"/>
    <w:uiPriority w:val="9"/>
    <w:semiHidden/>
    <w:rsid w:val="00B32455"/>
    <w:rPr>
      <w:rFonts w:ascii="Calibri" w:eastAsiaTheme="majorEastAsia" w:hAnsi="Calibri" w:cstheme="majorBidi"/>
      <w:b/>
      <w:iCs/>
      <w:sz w:val="22"/>
      <w:szCs w:val="24"/>
    </w:rPr>
  </w:style>
  <w:style w:type="paragraph" w:styleId="TOC4">
    <w:name w:val="toc 4"/>
    <w:basedOn w:val="Normal"/>
    <w:next w:val="Normal"/>
    <w:autoRedefine/>
    <w:rsid w:val="00CF032A"/>
    <w:pPr>
      <w:spacing w:after="100"/>
      <w:ind w:left="660"/>
    </w:pPr>
    <w:rPr>
      <w:rFonts w:ascii="Calibri" w:hAnsi="Calibri"/>
    </w:rPr>
  </w:style>
  <w:style w:type="paragraph" w:styleId="TOC5">
    <w:name w:val="toc 5"/>
    <w:basedOn w:val="Normal"/>
    <w:next w:val="Normal"/>
    <w:autoRedefine/>
    <w:rsid w:val="00CF032A"/>
    <w:pPr>
      <w:spacing w:after="100"/>
      <w:ind w:left="880"/>
    </w:pPr>
    <w:rPr>
      <w:rFonts w:ascii="Calibri" w:hAnsi="Calibri"/>
    </w:rPr>
  </w:style>
  <w:style w:type="paragraph" w:styleId="TOC6">
    <w:name w:val="toc 6"/>
    <w:basedOn w:val="Normal"/>
    <w:next w:val="Normal"/>
    <w:autoRedefine/>
    <w:rsid w:val="00CF032A"/>
    <w:pPr>
      <w:spacing w:after="100"/>
      <w:ind w:left="1100"/>
    </w:pPr>
    <w:rPr>
      <w:rFonts w:ascii="Calibri" w:hAnsi="Calibri"/>
    </w:rPr>
  </w:style>
  <w:style w:type="paragraph" w:customStyle="1" w:styleId="ShadedBoxHeader">
    <w:name w:val="Shaded Box Header"/>
    <w:basedOn w:val="Normal"/>
    <w:link w:val="ShadedBoxHeaderChar"/>
    <w:qFormat/>
    <w:rsid w:val="00485223"/>
    <w:pPr>
      <w:pBdr>
        <w:top w:val="single" w:sz="12" w:space="1" w:color="165788"/>
        <w:left w:val="single" w:sz="12" w:space="4" w:color="165788"/>
        <w:right w:val="single" w:sz="12" w:space="4" w:color="165788"/>
      </w:pBdr>
      <w:shd w:val="clear" w:color="auto" w:fill="E2EAF0"/>
      <w:spacing w:after="0"/>
      <w:ind w:left="357" w:hanging="357"/>
    </w:pPr>
    <w:rPr>
      <w:b/>
      <w:color w:val="165788"/>
      <w:sz w:val="28"/>
    </w:rPr>
  </w:style>
  <w:style w:type="paragraph" w:customStyle="1" w:styleId="ShadedBoxBody">
    <w:name w:val="Shaded Box Body"/>
    <w:basedOn w:val="Normal"/>
    <w:link w:val="ShadedBoxBodyChar"/>
    <w:qFormat/>
    <w:rsid w:val="00D771E2"/>
    <w:pPr>
      <w:pBdr>
        <w:left w:val="single" w:sz="12" w:space="4" w:color="165788"/>
        <w:bottom w:val="single" w:sz="12" w:space="1" w:color="165788"/>
        <w:right w:val="single" w:sz="12" w:space="4" w:color="165788"/>
      </w:pBdr>
      <w:shd w:val="clear" w:color="auto" w:fill="E2EAF0"/>
      <w:tabs>
        <w:tab w:val="left" w:pos="567"/>
      </w:tabs>
      <w:spacing w:before="0"/>
    </w:pPr>
  </w:style>
  <w:style w:type="character" w:customStyle="1" w:styleId="ListNumberChar">
    <w:name w:val="List Number Char"/>
    <w:basedOn w:val="DefaultParagraphFont"/>
    <w:link w:val="ListNumber"/>
    <w:rsid w:val="00485223"/>
    <w:rPr>
      <w:rFonts w:asciiTheme="minorHAnsi" w:hAnsiTheme="minorHAnsi"/>
      <w:sz w:val="22"/>
      <w:szCs w:val="24"/>
    </w:rPr>
  </w:style>
  <w:style w:type="character" w:customStyle="1" w:styleId="ShadedBoxHeaderChar">
    <w:name w:val="Shaded Box Header Char"/>
    <w:basedOn w:val="ListNumberChar"/>
    <w:link w:val="ShadedBoxHeader"/>
    <w:rsid w:val="00485223"/>
    <w:rPr>
      <w:rFonts w:asciiTheme="minorHAnsi" w:hAnsiTheme="minorHAnsi"/>
      <w:b/>
      <w:color w:val="165788"/>
      <w:sz w:val="28"/>
      <w:szCs w:val="24"/>
      <w:shd w:val="clear" w:color="auto" w:fill="E2EAF0"/>
    </w:rPr>
  </w:style>
  <w:style w:type="character" w:customStyle="1" w:styleId="ShadedBoxBodyChar">
    <w:name w:val="Shaded Box Body Char"/>
    <w:basedOn w:val="ShadedBoxHeaderChar"/>
    <w:link w:val="ShadedBoxBody"/>
    <w:rsid w:val="00D771E2"/>
    <w:rPr>
      <w:rFonts w:asciiTheme="minorHAnsi" w:hAnsiTheme="minorHAnsi"/>
      <w:b/>
      <w:color w:val="165788"/>
      <w:sz w:val="22"/>
      <w:szCs w:val="24"/>
      <w:shd w:val="clear" w:color="auto" w:fill="FFFFFF"/>
    </w:rPr>
  </w:style>
  <w:style w:type="character" w:customStyle="1" w:styleId="Heading7Char">
    <w:name w:val="Heading 7 Char"/>
    <w:basedOn w:val="DefaultParagraphFont"/>
    <w:link w:val="Heading7"/>
    <w:uiPriority w:val="9"/>
    <w:semiHidden/>
    <w:rsid w:val="004B1A2D"/>
    <w:rPr>
      <w:rFonts w:ascii="Corbel" w:hAnsi="Corbel"/>
      <w:b/>
      <w:bCs/>
      <w:smallCaps/>
      <w:color w:val="67676C"/>
      <w:spacing w:val="20"/>
      <w:sz w:val="16"/>
      <w:szCs w:val="16"/>
      <w:lang w:val="en-US" w:eastAsia="en-US"/>
    </w:rPr>
  </w:style>
  <w:style w:type="character" w:customStyle="1" w:styleId="Heading8Char">
    <w:name w:val="Heading 8 Char"/>
    <w:basedOn w:val="DefaultParagraphFont"/>
    <w:link w:val="Heading8"/>
    <w:uiPriority w:val="9"/>
    <w:semiHidden/>
    <w:rsid w:val="004B1A2D"/>
    <w:rPr>
      <w:rFonts w:ascii="Corbel" w:hAnsi="Corbel"/>
      <w:b/>
      <w:smallCaps/>
      <w:color w:val="67676C"/>
      <w:spacing w:val="20"/>
      <w:sz w:val="16"/>
      <w:szCs w:val="16"/>
      <w:lang w:val="en-US" w:eastAsia="en-US"/>
    </w:rPr>
  </w:style>
  <w:style w:type="character" w:customStyle="1" w:styleId="Heading9Char">
    <w:name w:val="Heading 9 Char"/>
    <w:basedOn w:val="DefaultParagraphFont"/>
    <w:link w:val="Heading9"/>
    <w:uiPriority w:val="9"/>
    <w:semiHidden/>
    <w:rsid w:val="004B1A2D"/>
    <w:rPr>
      <w:rFonts w:ascii="Corbel" w:hAnsi="Corbel"/>
      <w:smallCaps/>
      <w:color w:val="67676C"/>
      <w:spacing w:val="20"/>
      <w:sz w:val="16"/>
      <w:szCs w:val="16"/>
      <w:lang w:val="en-US" w:eastAsia="en-US"/>
    </w:rPr>
  </w:style>
  <w:style w:type="paragraph" w:styleId="ListParagraph">
    <w:name w:val="List Paragraph"/>
    <w:basedOn w:val="Normal"/>
    <w:uiPriority w:val="34"/>
    <w:qFormat/>
    <w:rsid w:val="004B1A2D"/>
    <w:pPr>
      <w:spacing w:before="0" w:after="160" w:line="288" w:lineRule="auto"/>
      <w:ind w:left="720"/>
      <w:contextualSpacing/>
    </w:pPr>
    <w:rPr>
      <w:rFonts w:ascii="Corbel" w:eastAsia="Corbel" w:hAnsi="Corbel"/>
      <w:color w:val="5A5A5A"/>
      <w:sz w:val="24"/>
      <w:szCs w:val="20"/>
      <w:lang w:val="en-US" w:eastAsia="en-US" w:bidi="en-US"/>
    </w:rPr>
  </w:style>
  <w:style w:type="paragraph" w:styleId="IntenseQuote">
    <w:name w:val="Intense Quote"/>
    <w:basedOn w:val="Normal"/>
    <w:next w:val="Normal"/>
    <w:link w:val="IntenseQuoteChar"/>
    <w:uiPriority w:val="30"/>
    <w:qFormat/>
    <w:rsid w:val="004B1A2D"/>
    <w:pPr>
      <w:pBdr>
        <w:top w:val="single" w:sz="4" w:space="12" w:color="FFC534"/>
        <w:left w:val="single" w:sz="4" w:space="15" w:color="FFC534"/>
        <w:bottom w:val="single" w:sz="12" w:space="10" w:color="B38000"/>
        <w:right w:val="single" w:sz="12" w:space="15" w:color="B38000"/>
        <w:between w:val="single" w:sz="4" w:space="12" w:color="FFC534"/>
        <w:bar w:val="single" w:sz="4" w:color="FFC534"/>
      </w:pBdr>
      <w:spacing w:before="0" w:after="160"/>
      <w:ind w:left="2506" w:right="432"/>
    </w:pPr>
    <w:rPr>
      <w:rFonts w:ascii="Corbel" w:hAnsi="Corbel"/>
      <w:smallCaps/>
      <w:color w:val="B38000"/>
      <w:sz w:val="20"/>
      <w:szCs w:val="20"/>
      <w:lang w:val="en-US" w:eastAsia="en-US"/>
    </w:rPr>
  </w:style>
  <w:style w:type="character" w:customStyle="1" w:styleId="IntenseQuoteChar">
    <w:name w:val="Intense Quote Char"/>
    <w:basedOn w:val="DefaultParagraphFont"/>
    <w:link w:val="IntenseQuote"/>
    <w:uiPriority w:val="30"/>
    <w:rsid w:val="004B1A2D"/>
    <w:rPr>
      <w:rFonts w:ascii="Corbel" w:hAnsi="Corbel"/>
      <w:smallCaps/>
      <w:color w:val="B38000"/>
      <w:lang w:val="en-US" w:eastAsia="en-US"/>
    </w:rPr>
  </w:style>
  <w:style w:type="character" w:styleId="SubtleEmphasis">
    <w:name w:val="Subtle Emphasis"/>
    <w:uiPriority w:val="19"/>
    <w:qFormat/>
    <w:rsid w:val="004B1A2D"/>
    <w:rPr>
      <w:smallCaps/>
      <w:dstrike w:val="0"/>
      <w:color w:val="5A5A5A"/>
      <w:vertAlign w:val="baseline"/>
    </w:rPr>
  </w:style>
  <w:style w:type="character" w:styleId="IntenseEmphasis">
    <w:name w:val="Intense Emphasis"/>
    <w:uiPriority w:val="21"/>
    <w:qFormat/>
    <w:rsid w:val="004B1A2D"/>
    <w:rPr>
      <w:b/>
      <w:bCs/>
      <w:smallCaps/>
      <w:color w:val="F0AD00"/>
      <w:spacing w:val="40"/>
    </w:rPr>
  </w:style>
  <w:style w:type="character" w:styleId="SubtleReference">
    <w:name w:val="Subtle Reference"/>
    <w:uiPriority w:val="31"/>
    <w:qFormat/>
    <w:rsid w:val="004B1A2D"/>
    <w:rPr>
      <w:rFonts w:ascii="Corbel" w:eastAsia="Times New Roman" w:hAnsi="Corbel" w:cs="Times New Roman"/>
      <w:i/>
      <w:iCs/>
      <w:smallCaps/>
      <w:color w:val="5A5A5A"/>
      <w:spacing w:val="20"/>
    </w:rPr>
  </w:style>
  <w:style w:type="character" w:styleId="IntenseReference">
    <w:name w:val="Intense Reference"/>
    <w:uiPriority w:val="32"/>
    <w:qFormat/>
    <w:rsid w:val="004B1A2D"/>
    <w:rPr>
      <w:rFonts w:ascii="Corbel" w:eastAsia="Times New Roman" w:hAnsi="Corbel" w:cs="Times New Roman"/>
      <w:b/>
      <w:bCs/>
      <w:i/>
      <w:iCs/>
      <w:smallCaps/>
      <w:color w:val="434959"/>
      <w:spacing w:val="20"/>
    </w:rPr>
  </w:style>
  <w:style w:type="character" w:styleId="BookTitle">
    <w:name w:val="Book Title"/>
    <w:uiPriority w:val="33"/>
    <w:qFormat/>
    <w:rsid w:val="004B1A2D"/>
    <w:rPr>
      <w:rFonts w:ascii="Corbel" w:eastAsia="Times New Roman" w:hAnsi="Corbel" w:cs="Times New Roman"/>
      <w:b/>
      <w:bCs/>
      <w:smallCaps/>
      <w:color w:val="434959"/>
      <w:spacing w:val="10"/>
      <w:u w:val="single"/>
    </w:rPr>
  </w:style>
  <w:style w:type="paragraph" w:styleId="TOCHeading">
    <w:name w:val="TOC Heading"/>
    <w:basedOn w:val="Heading1"/>
    <w:next w:val="Normal"/>
    <w:uiPriority w:val="39"/>
    <w:semiHidden/>
    <w:unhideWhenUsed/>
    <w:qFormat/>
    <w:rsid w:val="004B1A2D"/>
    <w:pPr>
      <w:keepNext w:val="0"/>
      <w:keepLines w:val="0"/>
      <w:pBdr>
        <w:bottom w:val="none" w:sz="0" w:space="0" w:color="auto"/>
      </w:pBdr>
      <w:spacing w:before="400" w:after="240" w:line="240" w:lineRule="auto"/>
      <w:contextualSpacing/>
      <w:outlineLvl w:val="9"/>
    </w:pPr>
    <w:rPr>
      <w:rFonts w:ascii="Corbel" w:eastAsia="Times New Roman" w:hAnsi="Corbel" w:cs="Times New Roman"/>
      <w:b w:val="0"/>
      <w:bCs w:val="0"/>
      <w:smallCaps/>
      <w:color w:val="2C313B"/>
      <w:spacing w:val="20"/>
      <w:sz w:val="32"/>
      <w:szCs w:val="32"/>
      <w:lang w:val="en-US" w:eastAsia="en-US"/>
    </w:rPr>
  </w:style>
  <w:style w:type="paragraph" w:customStyle="1" w:styleId="Default">
    <w:name w:val="Default"/>
    <w:rsid w:val="004B1A2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4B1A2D"/>
    <w:pPr>
      <w:spacing w:before="0" w:after="160" w:line="288" w:lineRule="auto"/>
    </w:pPr>
    <w:rPr>
      <w:rFonts w:ascii="Corbel" w:eastAsia="Corbel" w:hAnsi="Corbel"/>
      <w:color w:val="5A5A5A"/>
      <w:sz w:val="20"/>
      <w:szCs w:val="20"/>
      <w:lang w:val="en-US" w:eastAsia="en-US" w:bidi="en-US"/>
    </w:rPr>
  </w:style>
  <w:style w:type="character" w:customStyle="1" w:styleId="FootnoteTextChar">
    <w:name w:val="Footnote Text Char"/>
    <w:basedOn w:val="DefaultParagraphFont"/>
    <w:link w:val="FootnoteText"/>
    <w:uiPriority w:val="99"/>
    <w:rsid w:val="004B1A2D"/>
    <w:rPr>
      <w:rFonts w:ascii="Corbel" w:eastAsia="Corbel" w:hAnsi="Corbel"/>
      <w:color w:val="5A5A5A"/>
      <w:lang w:val="en-US" w:eastAsia="en-US" w:bidi="en-US"/>
    </w:rPr>
  </w:style>
  <w:style w:type="character" w:styleId="FootnoteReference">
    <w:name w:val="footnote reference"/>
    <w:uiPriority w:val="99"/>
    <w:unhideWhenUsed/>
    <w:rsid w:val="004B1A2D"/>
    <w:rPr>
      <w:vertAlign w:val="superscript"/>
    </w:rPr>
  </w:style>
  <w:style w:type="character" w:customStyle="1" w:styleId="apple-style-span">
    <w:name w:val="apple-style-span"/>
    <w:rsid w:val="004B1A2D"/>
  </w:style>
  <w:style w:type="character" w:styleId="CommentReference">
    <w:name w:val="annotation reference"/>
    <w:basedOn w:val="DefaultParagraphFont"/>
    <w:uiPriority w:val="99"/>
    <w:unhideWhenUsed/>
    <w:rsid w:val="004B1A2D"/>
    <w:rPr>
      <w:sz w:val="16"/>
      <w:szCs w:val="16"/>
    </w:rPr>
  </w:style>
  <w:style w:type="paragraph" w:styleId="CommentText">
    <w:name w:val="annotation text"/>
    <w:basedOn w:val="Normal"/>
    <w:link w:val="CommentTextChar"/>
    <w:uiPriority w:val="99"/>
    <w:unhideWhenUsed/>
    <w:rsid w:val="004B1A2D"/>
    <w:pPr>
      <w:spacing w:before="0" w:after="160" w:line="240" w:lineRule="auto"/>
    </w:pPr>
    <w:rPr>
      <w:rFonts w:ascii="Corbel" w:eastAsia="Corbel" w:hAnsi="Corbel"/>
      <w:color w:val="5A5A5A"/>
      <w:sz w:val="20"/>
      <w:szCs w:val="20"/>
      <w:lang w:val="en-US" w:eastAsia="en-US" w:bidi="en-US"/>
    </w:rPr>
  </w:style>
  <w:style w:type="character" w:customStyle="1" w:styleId="CommentTextChar">
    <w:name w:val="Comment Text Char"/>
    <w:basedOn w:val="DefaultParagraphFont"/>
    <w:link w:val="CommentText"/>
    <w:uiPriority w:val="99"/>
    <w:rsid w:val="004B1A2D"/>
    <w:rPr>
      <w:rFonts w:ascii="Corbel" w:eastAsia="Corbel" w:hAnsi="Corbel"/>
      <w:color w:val="5A5A5A"/>
      <w:lang w:val="en-US" w:eastAsia="en-US" w:bidi="en-US"/>
    </w:rPr>
  </w:style>
  <w:style w:type="paragraph" w:styleId="CommentSubject">
    <w:name w:val="annotation subject"/>
    <w:basedOn w:val="CommentText"/>
    <w:next w:val="CommentText"/>
    <w:link w:val="CommentSubjectChar"/>
    <w:uiPriority w:val="99"/>
    <w:unhideWhenUsed/>
    <w:rsid w:val="004B1A2D"/>
    <w:rPr>
      <w:b/>
      <w:bCs/>
    </w:rPr>
  </w:style>
  <w:style w:type="character" w:customStyle="1" w:styleId="CommentSubjectChar">
    <w:name w:val="Comment Subject Char"/>
    <w:basedOn w:val="CommentTextChar"/>
    <w:link w:val="CommentSubject"/>
    <w:uiPriority w:val="99"/>
    <w:rsid w:val="004B1A2D"/>
    <w:rPr>
      <w:rFonts w:ascii="Corbel" w:eastAsia="Corbel" w:hAnsi="Corbel"/>
      <w:b/>
      <w:bCs/>
      <w:color w:val="5A5A5A"/>
      <w:lang w:val="en-US" w:eastAsia="en-US" w:bidi="en-US"/>
    </w:rPr>
  </w:style>
  <w:style w:type="paragraph" w:customStyle="1" w:styleId="Bullet">
    <w:name w:val="Bullet"/>
    <w:basedOn w:val="Normal"/>
    <w:link w:val="BulletChar"/>
    <w:rsid w:val="004B1A2D"/>
    <w:pPr>
      <w:numPr>
        <w:numId w:val="4"/>
      </w:numPr>
      <w:spacing w:line="288" w:lineRule="auto"/>
    </w:pPr>
    <w:rPr>
      <w:rFonts w:ascii="Book Antiqua" w:eastAsia="Corbel" w:hAnsi="Book Antiqua"/>
      <w:szCs w:val="22"/>
      <w:lang w:eastAsia="en-US" w:bidi="en-US"/>
    </w:rPr>
  </w:style>
  <w:style w:type="character" w:customStyle="1" w:styleId="BulletChar">
    <w:name w:val="Bullet Char"/>
    <w:basedOn w:val="DefaultParagraphFont"/>
    <w:link w:val="Bullet"/>
    <w:rsid w:val="004B1A2D"/>
    <w:rPr>
      <w:rFonts w:ascii="Book Antiqua" w:eastAsia="Corbel" w:hAnsi="Book Antiqua"/>
      <w:sz w:val="22"/>
      <w:szCs w:val="22"/>
      <w:lang w:eastAsia="en-US" w:bidi="en-US"/>
    </w:rPr>
  </w:style>
  <w:style w:type="paragraph" w:customStyle="1" w:styleId="Dash">
    <w:name w:val="Dash"/>
    <w:basedOn w:val="Normal"/>
    <w:link w:val="DashChar"/>
    <w:rsid w:val="004B1A2D"/>
    <w:pPr>
      <w:numPr>
        <w:ilvl w:val="1"/>
        <w:numId w:val="4"/>
      </w:numPr>
      <w:spacing w:line="288" w:lineRule="auto"/>
    </w:pPr>
    <w:rPr>
      <w:rFonts w:ascii="Book Antiqua" w:eastAsia="Corbel" w:hAnsi="Book Antiqua"/>
      <w:szCs w:val="22"/>
      <w:lang w:eastAsia="en-US" w:bidi="en-US"/>
    </w:rPr>
  </w:style>
  <w:style w:type="character" w:customStyle="1" w:styleId="DashChar">
    <w:name w:val="Dash Char"/>
    <w:basedOn w:val="DefaultParagraphFont"/>
    <w:link w:val="Dash"/>
    <w:rsid w:val="004B1A2D"/>
    <w:rPr>
      <w:rFonts w:ascii="Book Antiqua" w:eastAsia="Corbel" w:hAnsi="Book Antiqua"/>
      <w:sz w:val="22"/>
      <w:szCs w:val="22"/>
      <w:lang w:eastAsia="en-US" w:bidi="en-US"/>
    </w:rPr>
  </w:style>
  <w:style w:type="paragraph" w:customStyle="1" w:styleId="DoubleDot">
    <w:name w:val="Double Dot"/>
    <w:basedOn w:val="Normal"/>
    <w:link w:val="DoubleDotChar"/>
    <w:rsid w:val="004B1A2D"/>
    <w:pPr>
      <w:numPr>
        <w:ilvl w:val="2"/>
        <w:numId w:val="4"/>
      </w:numPr>
      <w:spacing w:line="288" w:lineRule="auto"/>
    </w:pPr>
    <w:rPr>
      <w:rFonts w:ascii="Book Antiqua" w:eastAsia="Corbel" w:hAnsi="Book Antiqua"/>
      <w:szCs w:val="22"/>
      <w:lang w:eastAsia="en-US" w:bidi="en-US"/>
    </w:rPr>
  </w:style>
  <w:style w:type="character" w:customStyle="1" w:styleId="DoubleDotChar">
    <w:name w:val="Double Dot Char"/>
    <w:basedOn w:val="DefaultParagraphFont"/>
    <w:link w:val="DoubleDot"/>
    <w:rsid w:val="004B1A2D"/>
    <w:rPr>
      <w:rFonts w:ascii="Book Antiqua" w:eastAsia="Corbel" w:hAnsi="Book Antiqua"/>
      <w:sz w:val="22"/>
      <w:szCs w:val="22"/>
      <w:lang w:eastAsia="en-US" w:bidi="en-US"/>
    </w:rPr>
  </w:style>
  <w:style w:type="paragraph" w:customStyle="1" w:styleId="ecxmsonormal">
    <w:name w:val="ecxmsonormal"/>
    <w:basedOn w:val="Normal"/>
    <w:rsid w:val="004B1A2D"/>
    <w:pPr>
      <w:spacing w:before="100" w:beforeAutospacing="1" w:after="100" w:afterAutospacing="1" w:line="240" w:lineRule="auto"/>
    </w:pPr>
    <w:rPr>
      <w:rFonts w:ascii="Times New Roman" w:hAnsi="Times New Roman"/>
      <w:sz w:val="24"/>
    </w:rPr>
  </w:style>
  <w:style w:type="paragraph" w:customStyle="1" w:styleId="ecxmsolistparagraph">
    <w:name w:val="ecxmsolistparagraph"/>
    <w:basedOn w:val="Normal"/>
    <w:rsid w:val="004B1A2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4B1A2D"/>
  </w:style>
  <w:style w:type="paragraph" w:styleId="BodyText">
    <w:name w:val="Body Text"/>
    <w:basedOn w:val="Normal"/>
    <w:link w:val="BodyTextChar"/>
    <w:rsid w:val="004B1A2D"/>
  </w:style>
  <w:style w:type="character" w:customStyle="1" w:styleId="BodyTextChar">
    <w:name w:val="Body Text Char"/>
    <w:basedOn w:val="DefaultParagraphFont"/>
    <w:link w:val="BodyText"/>
    <w:rsid w:val="004B1A2D"/>
    <w:rPr>
      <w:rFonts w:asciiTheme="minorHAnsi" w:hAnsiTheme="minorHAnsi"/>
      <w:sz w:val="22"/>
      <w:szCs w:val="24"/>
    </w:rPr>
  </w:style>
  <w:style w:type="paragraph" w:customStyle="1" w:styleId="ShadedListBullet">
    <w:name w:val="Shaded List Bullet"/>
    <w:basedOn w:val="ListBullet"/>
    <w:qFormat/>
    <w:rsid w:val="00AE66D5"/>
    <w:pPr>
      <w:keepNext/>
      <w:numPr>
        <w:numId w:val="3"/>
      </w:numPr>
      <w:pBdr>
        <w:left w:val="single" w:sz="12" w:space="4" w:color="165788"/>
        <w:bottom w:val="single" w:sz="12" w:space="1" w:color="165788"/>
        <w:right w:val="single" w:sz="12" w:space="4" w:color="165788"/>
      </w:pBdr>
      <w:shd w:val="clear" w:color="auto" w:fill="E2EAF0"/>
      <w:spacing w:before="0" w:line="288" w:lineRule="auto"/>
      <w:ind w:left="357" w:hanging="357"/>
    </w:pPr>
    <w:rPr>
      <w:szCs w:val="22"/>
    </w:rPr>
  </w:style>
  <w:style w:type="paragraph" w:customStyle="1" w:styleId="ShadedNumberedList">
    <w:name w:val="Shaded Numbered List"/>
    <w:basedOn w:val="ListNumber"/>
    <w:qFormat/>
    <w:rsid w:val="00E202B8"/>
    <w:pPr>
      <w:pBdr>
        <w:left w:val="single" w:sz="12" w:space="4" w:color="165788"/>
        <w:bottom w:val="single" w:sz="12" w:space="1" w:color="165788"/>
        <w:right w:val="single" w:sz="12" w:space="4" w:color="165788"/>
      </w:pBdr>
      <w:shd w:val="clear" w:color="auto" w:fill="E2EAF0"/>
      <w:spacing w:before="0"/>
      <w:ind w:left="357" w:hanging="357"/>
    </w:pPr>
  </w:style>
  <w:style w:type="paragraph" w:styleId="List">
    <w:name w:val="List"/>
    <w:basedOn w:val="Normal"/>
    <w:rsid w:val="00B32505"/>
    <w:pPr>
      <w:ind w:left="283" w:hanging="283"/>
      <w:contextualSpacing/>
    </w:pPr>
  </w:style>
  <w:style w:type="paragraph" w:customStyle="1" w:styleId="TableBody">
    <w:name w:val="Table Body"/>
    <w:basedOn w:val="BodyText"/>
    <w:qFormat/>
    <w:rsid w:val="005B0FE4"/>
    <w:rPr>
      <w:sz w:val="20"/>
      <w:szCs w:val="20"/>
    </w:rPr>
  </w:style>
  <w:style w:type="paragraph" w:customStyle="1" w:styleId="TableListBullet">
    <w:name w:val="Table List Bullet"/>
    <w:basedOn w:val="ListBullet"/>
    <w:qFormat/>
    <w:rsid w:val="005B0FE4"/>
    <w:rPr>
      <w:sz w:val="20"/>
    </w:rPr>
  </w:style>
  <w:style w:type="paragraph" w:customStyle="1" w:styleId="numberedpara">
    <w:name w:val="numbered para"/>
    <w:basedOn w:val="Normal"/>
    <w:rsid w:val="0019736B"/>
    <w:pPr>
      <w:numPr>
        <w:numId w:val="5"/>
      </w:numPr>
      <w:spacing w:before="0" w:after="0" w:line="240" w:lineRule="auto"/>
    </w:pPr>
    <w:rPr>
      <w:rFonts w:ascii="Calibri" w:eastAsiaTheme="minorHAnsi" w:hAnsi="Calibri" w:cs="Calibri"/>
      <w:szCs w:val="22"/>
    </w:rPr>
  </w:style>
  <w:style w:type="paragraph" w:styleId="BlockText">
    <w:name w:val="Block Text"/>
    <w:basedOn w:val="Normal"/>
    <w:rsid w:val="009F1A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Revision">
    <w:name w:val="Revision"/>
    <w:hidden/>
    <w:uiPriority w:val="99"/>
    <w:semiHidden/>
    <w:rsid w:val="009424D7"/>
    <w:rPr>
      <w:rFonts w:asciiTheme="minorHAnsi" w:hAnsiTheme="minorHAnsi"/>
      <w:sz w:val="22"/>
      <w:szCs w:val="24"/>
    </w:rPr>
  </w:style>
  <w:style w:type="paragraph" w:customStyle="1" w:styleId="Figure">
    <w:name w:val="Figure"/>
    <w:basedOn w:val="Normal"/>
    <w:rsid w:val="001D2646"/>
    <w:pPr>
      <w:widowControl w:val="0"/>
      <w:spacing w:before="0" w:after="0" w:line="240" w:lineRule="auto"/>
      <w:jc w:val="center"/>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0440">
      <w:bodyDiv w:val="1"/>
      <w:marLeft w:val="0"/>
      <w:marRight w:val="0"/>
      <w:marTop w:val="0"/>
      <w:marBottom w:val="0"/>
      <w:divBdr>
        <w:top w:val="none" w:sz="0" w:space="0" w:color="auto"/>
        <w:left w:val="none" w:sz="0" w:space="0" w:color="auto"/>
        <w:bottom w:val="none" w:sz="0" w:space="0" w:color="auto"/>
        <w:right w:val="none" w:sz="0" w:space="0" w:color="auto"/>
      </w:divBdr>
    </w:div>
    <w:div w:id="669455574">
      <w:bodyDiv w:val="1"/>
      <w:marLeft w:val="0"/>
      <w:marRight w:val="0"/>
      <w:marTop w:val="0"/>
      <w:marBottom w:val="0"/>
      <w:divBdr>
        <w:top w:val="none" w:sz="0" w:space="0" w:color="auto"/>
        <w:left w:val="none" w:sz="0" w:space="0" w:color="auto"/>
        <w:bottom w:val="none" w:sz="0" w:space="0" w:color="auto"/>
        <w:right w:val="none" w:sz="0" w:space="0" w:color="auto"/>
      </w:divBdr>
    </w:div>
    <w:div w:id="698967941">
      <w:bodyDiv w:val="1"/>
      <w:marLeft w:val="0"/>
      <w:marRight w:val="0"/>
      <w:marTop w:val="0"/>
      <w:marBottom w:val="0"/>
      <w:divBdr>
        <w:top w:val="none" w:sz="0" w:space="0" w:color="auto"/>
        <w:left w:val="none" w:sz="0" w:space="0" w:color="auto"/>
        <w:bottom w:val="none" w:sz="0" w:space="0" w:color="auto"/>
        <w:right w:val="none" w:sz="0" w:space="0" w:color="auto"/>
      </w:divBdr>
    </w:div>
    <w:div w:id="810288954">
      <w:bodyDiv w:val="1"/>
      <w:marLeft w:val="0"/>
      <w:marRight w:val="0"/>
      <w:marTop w:val="0"/>
      <w:marBottom w:val="0"/>
      <w:divBdr>
        <w:top w:val="none" w:sz="0" w:space="0" w:color="auto"/>
        <w:left w:val="none" w:sz="0" w:space="0" w:color="auto"/>
        <w:bottom w:val="none" w:sz="0" w:space="0" w:color="auto"/>
        <w:right w:val="none" w:sz="0" w:space="0" w:color="auto"/>
      </w:divBdr>
    </w:div>
    <w:div w:id="1500189839">
      <w:bodyDiv w:val="1"/>
      <w:marLeft w:val="0"/>
      <w:marRight w:val="0"/>
      <w:marTop w:val="0"/>
      <w:marBottom w:val="0"/>
      <w:divBdr>
        <w:top w:val="none" w:sz="0" w:space="0" w:color="auto"/>
        <w:left w:val="none" w:sz="0" w:space="0" w:color="auto"/>
        <w:bottom w:val="none" w:sz="0" w:space="0" w:color="auto"/>
        <w:right w:val="none" w:sz="0" w:space="0" w:color="auto"/>
      </w:divBdr>
    </w:div>
    <w:div w:id="171318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http://creativecommons.org/licenses/by/3.0/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www.deewr.gov.au/australianjobs"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5" Type="http://schemas.openxmlformats.org/officeDocument/2006/relationships/image" Target="cid:image001.png@01CC5B5E.C6C84990" TargetMode="External"/><Relationship Id="rId33" Type="http://schemas.openxmlformats.org/officeDocument/2006/relationships/hyperlink" Target="http://www.skillsinfo.gov.au"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29" Type="http://schemas.openxmlformats.org/officeDocument/2006/relationships/hyperlink" Target="http://www.deewr.gov.au/regionalrepor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png"/><Relationship Id="rId32" Type="http://schemas.openxmlformats.org/officeDocument/2006/relationships/hyperlink" Target="http://www.joboutlook.deewr.gov.au"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3.xml"/><Relationship Id="rId28" Type="http://schemas.openxmlformats.org/officeDocument/2006/relationships/hyperlink" Target="mailto:recruitmentsurveys@deewr.gov.au" TargetMode="External"/><Relationship Id="rId36" Type="http://schemas.openxmlformats.org/officeDocument/2006/relationships/header" Target="header4.xml"/><Relationship Id="rId10" Type="http://schemas.microsoft.com/office/2007/relationships/stylesWithEffects" Target="stylesWithEffects.xml"/><Relationship Id="rId19" Type="http://schemas.openxmlformats.org/officeDocument/2006/relationships/header" Target="header2.xml"/><Relationship Id="rId31" Type="http://schemas.openxmlformats.org/officeDocument/2006/relationships/hyperlink" Target="http://www.deewr.gov.au/skillshortag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hyperlink" Target="http://creativecommons.org/licenses/by/3.0/au/legalcode" TargetMode="External"/><Relationship Id="rId30" Type="http://schemas.openxmlformats.org/officeDocument/2006/relationships/hyperlink" Target="http://www.deewr.gov.au/lmip" TargetMode="External"/><Relationship Id="rId35"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Insert the document abstract here. The abstract should describe the purpose of the policy/guide, and is a document metadata field that is used to help establish relevance for search engines, etc. The abstract is also used to populate library cards for any documents publishable under the Information Publication Scheme. You cannot use paragraphs in the abstract so keep it brief.</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26B08DF205FC2F479E17486463F9ACA8" ma:contentTypeVersion="11" ma:contentTypeDescription="Ddocs' Word Content Type" ma:contentTypeScope="" ma:versionID="59e736296bbe3d93632163566f51bc98">
  <xsd:schema xmlns:xsd="http://www.w3.org/2001/XMLSchema" xmlns:p="http://schemas.microsoft.com/office/2006/metadata/properties" xmlns:ns2="http://schemas.microsoft.com/sharepoint/v3/fields" xmlns:ns3="4ff5bc6b-1238-418a-b0ee-f48830a30d62" targetNamespace="http://schemas.microsoft.com/office/2006/metadata/properties" ma:root="true" ma:fieldsID="dc64026ba537ae81b4e4f7ba51bda4c7" ns2:_="" ns3:_="">
    <xsd:import namespace="http://schemas.microsoft.com/sharepoint/v3/fields"/>
    <xsd:import namespace="4ff5bc6b-1238-418a-b0ee-f48830a30d62"/>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ternalName="DNetUniqueId" ma:readOnly="true">
      <xsd:simpleType>
        <xsd:restriction base="dms:Text"/>
      </xsd:simpleType>
    </xsd:element>
  </xsd:schema>
  <xsd:schema xmlns:xsd="http://www.w3.org/2001/XMLSchema" xmlns:dms="http://schemas.microsoft.com/office/2006/documentManagement/types" targetNamespace="4ff5bc6b-1238-418a-b0ee-f48830a30d62" elementFormDefault="qualified">
    <xsd:import namespace="http://schemas.microsoft.com/office/2006/documentManagement/types"/>
    <xsd:element name="_dlc_Exempt" ma:index="9" nillable="true" ma:displayName="Exempt from Policy" ma:description="" ma:hidden="true" ma:internalName="_dlc_Exempt" ma:readOnly="true">
      <xsd:simpleType>
        <xsd:restriction base="dms:Unknow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4.xml><?xml version="1.0" encoding="utf-8"?>
<p:properties xmlns:p="http://schemas.microsoft.com/office/2006/metadata/properties" xmlns:xsi="http://www.w3.org/2001/XMLSchema-instance">
  <documentManagement>
    <DdocsSearchTerms xmlns="http://schemas.microsoft.com/sharepoint/v3/fields" xsi:nil="true"/>
    <_dlc_ExpireDateSaved xmlns="4ff5bc6b-1238-418a-b0ee-f48830a30d62" xsi:nil="true"/>
    <_dlc_ExpireDate xmlns="4ff5bc6b-1238-418a-b0ee-f48830a30d62" xsi:nil="true"/>
  </documentManagement>
</p:properties>
</file>

<file path=customXml/item5.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8C9F18-AFFC-4553-9323-FC66C3EA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5C0D125-9778-4CCD-859F-AD89FBA8A7F8}">
  <ds:schemaRefs>
    <ds:schemaRef ds:uri="http://schemas.microsoft.com/sharepoint/events"/>
  </ds:schemaRefs>
</ds:datastoreItem>
</file>

<file path=customXml/itemProps4.xml><?xml version="1.0" encoding="utf-8"?>
<ds:datastoreItem xmlns:ds="http://schemas.openxmlformats.org/officeDocument/2006/customXml" ds:itemID="{6CE93746-C7CB-47C7-9427-5E12F449EAC1}">
  <ds:schemaRefs>
    <ds:schemaRef ds:uri="http://purl.org/dc/terms/"/>
    <ds:schemaRef ds:uri="http://purl.org/dc/elements/1.1/"/>
    <ds:schemaRef ds:uri="http://schemas.microsoft.com/office/2006/metadata/properties"/>
    <ds:schemaRef ds:uri="http://www.w3.org/XML/1998/namespace"/>
    <ds:schemaRef ds:uri="http://schemas.microsoft.com/sharepoint/v3/fields"/>
    <ds:schemaRef ds:uri="4ff5bc6b-1238-418a-b0ee-f48830a30d62"/>
    <ds:schemaRef ds:uri="http://schemas.microsoft.com/office/2006/documentManagement/type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53794BD5-7DF6-498B-A624-D85A92467193}">
  <ds:schemaRefs>
    <ds:schemaRef ds:uri="office.server.policy"/>
  </ds:schemaRefs>
</ds:datastoreItem>
</file>

<file path=customXml/itemProps6.xml><?xml version="1.0" encoding="utf-8"?>
<ds:datastoreItem xmlns:ds="http://schemas.openxmlformats.org/officeDocument/2006/customXml" ds:itemID="{C36E009B-570D-4D0A-8900-4F635759BC4E}">
  <ds:schemaRefs>
    <ds:schemaRef ds:uri="http://schemas.openxmlformats.org/officeDocument/2006/bibliography"/>
  </ds:schemaRefs>
</ds:datastoreItem>
</file>

<file path=customXml/itemProps7.xml><?xml version="1.0" encoding="utf-8"?>
<ds:datastoreItem xmlns:ds="http://schemas.openxmlformats.org/officeDocument/2006/customXml" ds:itemID="{1F31ECDF-9480-4C79-BFA2-38181B08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Pacey</dc:creator>
  <cp:lastModifiedBy>Sandra Taylor-Steele</cp:lastModifiedBy>
  <cp:revision>3</cp:revision>
  <cp:lastPrinted>2013-05-10T03:45:00Z</cp:lastPrinted>
  <dcterms:created xsi:type="dcterms:W3CDTF">2013-06-03T04:03:00Z</dcterms:created>
  <dcterms:modified xsi:type="dcterms:W3CDTF">2013-06-03T04:04:00Z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0x0101009EDC4876AF524A70BD125A9D2C0D191E0C0026B08DF205FC2F479E17486463F9ACA8</vt:lpwstr>
  </property>
  <property fmtid="{D5CDD505-2E9C-101B-9397-08002B2CF9AE}" pid="3" name="_dlc_ExpireDate">
    <vt:lpwstr>2016-09-15T00:04:33+00:00</vt:lpwstr>
  </property>
  <property fmtid="{D5CDD505-2E9C-101B-9397-08002B2CF9AE}" pid="4" name="_dlc_policyId">
    <vt:lpwstr/>
  </property>
  <property fmtid="{D5CDD505-2E9C-101B-9397-08002B2CF9AE}" pid="5" name="ItemRetentionFormula">
    <vt:lpwstr/>
  </property>
</Properties>
</file>