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0E" w:rsidRPr="001974B9" w:rsidRDefault="00B074A6" w:rsidP="001974B9">
      <w:pPr>
        <w:contextualSpacing/>
        <w:jc w:val="center"/>
        <w:rPr>
          <w:b/>
          <w:iCs/>
          <w:color w:val="336600"/>
          <w:spacing w:val="5"/>
          <w:sz w:val="28"/>
          <w:szCs w:val="36"/>
        </w:rPr>
      </w:pPr>
      <w:r w:rsidRPr="001974B9">
        <w:rPr>
          <w:b/>
          <w:color w:val="336600"/>
          <w:spacing w:val="5"/>
          <w:sz w:val="28"/>
          <w:szCs w:val="36"/>
        </w:rPr>
        <w:t>Labour Market Conditions in</w:t>
      </w:r>
      <w:r w:rsidR="00D805A9" w:rsidRPr="001974B9">
        <w:rPr>
          <w:b/>
          <w:color w:val="336600"/>
          <w:spacing w:val="5"/>
          <w:sz w:val="28"/>
          <w:szCs w:val="36"/>
        </w:rPr>
        <w:t xml:space="preserve"> the</w:t>
      </w:r>
      <w:r w:rsidRPr="001974B9">
        <w:rPr>
          <w:b/>
          <w:color w:val="336600"/>
          <w:spacing w:val="5"/>
          <w:sz w:val="28"/>
          <w:szCs w:val="36"/>
        </w:rPr>
        <w:t xml:space="preserve"> </w:t>
      </w:r>
      <w:r w:rsidR="001974B9" w:rsidRPr="001974B9">
        <w:rPr>
          <w:b/>
          <w:color w:val="336600"/>
          <w:spacing w:val="5"/>
          <w:sz w:val="28"/>
          <w:szCs w:val="36"/>
        </w:rPr>
        <w:t>Bundaberg-Hervey Bay Priority</w:t>
      </w:r>
      <w:r w:rsidR="00D805A9" w:rsidRPr="001974B9">
        <w:rPr>
          <w:b/>
          <w:color w:val="336600"/>
          <w:spacing w:val="5"/>
          <w:sz w:val="28"/>
          <w:szCs w:val="36"/>
        </w:rPr>
        <w:t xml:space="preserve"> Employment Area</w:t>
      </w:r>
    </w:p>
    <w:p w:rsidR="00C85D81" w:rsidRPr="00D96B24" w:rsidRDefault="00703CF9" w:rsidP="002D0D1A">
      <w:pPr>
        <w:spacing w:after="0"/>
      </w:pPr>
      <w:r>
        <w:rPr>
          <w:noProof/>
          <w:lang w:eastAsia="en-AU"/>
        </w:rPr>
        <w:drawing>
          <wp:anchor distT="0" distB="0" distL="114300" distR="114300" simplePos="0" relativeHeight="251668480" behindDoc="1" locked="0" layoutInCell="1" allowOverlap="1" wp14:anchorId="792E5C4C" wp14:editId="0297B883">
            <wp:simplePos x="0" y="0"/>
            <wp:positionH relativeFrom="column">
              <wp:posOffset>5224780</wp:posOffset>
            </wp:positionH>
            <wp:positionV relativeFrom="paragraph">
              <wp:posOffset>235585</wp:posOffset>
            </wp:positionV>
            <wp:extent cx="1533525" cy="1397000"/>
            <wp:effectExtent l="19050" t="19050" r="28575" b="12700"/>
            <wp:wrapThrough wrapText="bothSides">
              <wp:wrapPolygon edited="0">
                <wp:start x="-268" y="-295"/>
                <wp:lineTo x="-268" y="21502"/>
                <wp:lineTo x="21734" y="21502"/>
                <wp:lineTo x="21734" y="-295"/>
                <wp:lineTo x="-268" y="-29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B PEA M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5" cy="139700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D805A9">
        <w:t>Overall, l</w:t>
      </w:r>
      <w:r w:rsidR="008264B8">
        <w:t xml:space="preserve">abour market conditions in the </w:t>
      </w:r>
      <w:r w:rsidR="00D55C97">
        <w:t>Bundaberg-Hervey Bay</w:t>
      </w:r>
      <w:r w:rsidR="008264B8">
        <w:t xml:space="preserve"> </w:t>
      </w:r>
      <w:r w:rsidR="00D805A9">
        <w:t xml:space="preserve">Priority Employment Area (PEA) </w:t>
      </w:r>
      <w:r w:rsidR="009E6EB9">
        <w:t>remain</w:t>
      </w:r>
      <w:r w:rsidR="00CD3B6C">
        <w:t xml:space="preserve"> </w:t>
      </w:r>
      <w:r w:rsidR="00C8133D">
        <w:t>subdued</w:t>
      </w:r>
      <w:r w:rsidR="00163A56">
        <w:t xml:space="preserve"> with evidence of</w:t>
      </w:r>
      <w:r w:rsidR="00A6018A">
        <w:t xml:space="preserve"> persistent disadvantage</w:t>
      </w:r>
      <w:r w:rsidR="00CD3B6C">
        <w:t>.</w:t>
      </w:r>
    </w:p>
    <w:p w:rsidR="00C85D81" w:rsidRDefault="00C85D81" w:rsidP="007F1D22">
      <w:pPr>
        <w:pStyle w:val="ListParagraph"/>
        <w:numPr>
          <w:ilvl w:val="0"/>
          <w:numId w:val="26"/>
        </w:numPr>
        <w:spacing w:after="0"/>
      </w:pPr>
      <w:r>
        <w:rPr>
          <w:noProof/>
          <w:lang w:eastAsia="en-AU"/>
        </w:rPr>
        <mc:AlternateContent>
          <mc:Choice Requires="wps">
            <w:drawing>
              <wp:anchor distT="0" distB="0" distL="114300" distR="114300" simplePos="0" relativeHeight="251673600" behindDoc="0" locked="0" layoutInCell="1" allowOverlap="1" wp14:anchorId="6D3C761D" wp14:editId="438C2248">
                <wp:simplePos x="0" y="0"/>
                <wp:positionH relativeFrom="column">
                  <wp:posOffset>5716321</wp:posOffset>
                </wp:positionH>
                <wp:positionV relativeFrom="paragraph">
                  <wp:posOffset>200330</wp:posOffset>
                </wp:positionV>
                <wp:extent cx="721995"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342900"/>
                        </a:xfrm>
                        <a:prstGeom prst="rect">
                          <a:avLst/>
                        </a:prstGeom>
                        <a:noFill/>
                        <a:ln w="9525">
                          <a:noFill/>
                          <a:miter lim="800000"/>
                          <a:headEnd/>
                          <a:tailEnd/>
                        </a:ln>
                      </wps:spPr>
                      <wps:txbx>
                        <w:txbxContent>
                          <w:p w:rsidR="00A573BC" w:rsidRPr="00705CAF" w:rsidRDefault="00A573BC" w:rsidP="00A573BC">
                            <w:pPr>
                              <w:jc w:val="center"/>
                              <w:rPr>
                                <w:b/>
                                <w:sz w:val="16"/>
                                <w:szCs w:val="12"/>
                              </w:rPr>
                            </w:pPr>
                            <w:r w:rsidRPr="00705CAF">
                              <w:rPr>
                                <w:b/>
                                <w:sz w:val="16"/>
                                <w:szCs w:val="12"/>
                              </w:rPr>
                              <w:t>Bundaberg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0.1pt;margin-top:15.75pt;width:56.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" filled="f" stroked="f">
                <v:textbox>
                  <w:txbxContent>
                    <w:p w:rsidR="00A573BC" w:rsidRPr="00705CAF" w:rsidRDefault="00A573BC" w:rsidP="00A573BC">
                      <w:pPr>
                        <w:jc w:val="center"/>
                        <w:rPr>
                          <w:b/>
                          <w:sz w:val="16"/>
                          <w:szCs w:val="12"/>
                        </w:rPr>
                      </w:pPr>
                      <w:r w:rsidRPr="00705CAF">
                        <w:rPr>
                          <w:b/>
                          <w:sz w:val="16"/>
                          <w:szCs w:val="12"/>
                        </w:rPr>
                        <w:t>Bundaberg</w:t>
                      </w:r>
                    </w:p>
                  </w:txbxContent>
                </v:textbox>
              </v:shape>
            </w:pict>
          </mc:Fallback>
        </mc:AlternateContent>
      </w:r>
      <w:r>
        <w:t xml:space="preserve">The unemployment rate is </w:t>
      </w:r>
      <w:r w:rsidR="00DA74BC">
        <w:t xml:space="preserve">very </w:t>
      </w:r>
      <w:r>
        <w:t>high (9.</w:t>
      </w:r>
      <w:r w:rsidR="00D059C4">
        <w:t>0</w:t>
      </w:r>
      <w:r>
        <w:t xml:space="preserve"> per cent) and has remained consistently above the Australian rate</w:t>
      </w:r>
      <w:r w:rsidR="00B4635A">
        <w:t xml:space="preserve"> over the last five years</w:t>
      </w:r>
      <w:r>
        <w:t>.</w:t>
      </w:r>
      <w:r>
        <w:rPr>
          <w:rStyle w:val="FootnoteReference"/>
        </w:rPr>
        <w:footnoteReference w:id="1"/>
      </w:r>
    </w:p>
    <w:p w:rsidR="00C85D81" w:rsidRDefault="00C85D81" w:rsidP="007F1D22">
      <w:pPr>
        <w:pStyle w:val="ListParagraph"/>
        <w:numPr>
          <w:ilvl w:val="0"/>
          <w:numId w:val="26"/>
        </w:numPr>
        <w:spacing w:after="0"/>
      </w:pPr>
      <w:r>
        <w:rPr>
          <w:noProof/>
          <w:lang w:eastAsia="en-AU"/>
        </w:rPr>
        <mc:AlternateContent>
          <mc:Choice Requires="wps">
            <w:drawing>
              <wp:anchor distT="0" distB="0" distL="114300" distR="114300" simplePos="0" relativeHeight="251678720" behindDoc="0" locked="0" layoutInCell="1" allowOverlap="1" wp14:anchorId="3D5B3008" wp14:editId="6E4E704E">
                <wp:simplePos x="0" y="0"/>
                <wp:positionH relativeFrom="column">
                  <wp:posOffset>6006745</wp:posOffset>
                </wp:positionH>
                <wp:positionV relativeFrom="paragraph">
                  <wp:posOffset>67336</wp:posOffset>
                </wp:positionV>
                <wp:extent cx="548640" cy="3905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90525"/>
                        </a:xfrm>
                        <a:prstGeom prst="rect">
                          <a:avLst/>
                        </a:prstGeom>
                        <a:noFill/>
                        <a:ln w="9525">
                          <a:noFill/>
                          <a:miter lim="800000"/>
                          <a:headEnd/>
                          <a:tailEnd/>
                        </a:ln>
                      </wps:spPr>
                      <wps:txbx>
                        <w:txbxContent>
                          <w:p w:rsidR="00705CAF" w:rsidRPr="00705CAF" w:rsidRDefault="00705CAF" w:rsidP="008E0800">
                            <w:pPr>
                              <w:spacing w:after="0" w:line="240" w:lineRule="auto"/>
                              <w:jc w:val="center"/>
                              <w:rPr>
                                <w:b/>
                                <w:sz w:val="16"/>
                                <w:szCs w:val="12"/>
                              </w:rPr>
                            </w:pPr>
                            <w:r w:rsidRPr="00705CAF">
                              <w:rPr>
                                <w:b/>
                                <w:sz w:val="16"/>
                                <w:szCs w:val="12"/>
                              </w:rPr>
                              <w:t>Hervey Bay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2.95pt;margin-top:5.3pt;width:43.2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" filled="f" stroked="f">
                <v:textbox>
                  <w:txbxContent>
                    <w:p w:rsidR="00705CAF" w:rsidRPr="00705CAF" w:rsidRDefault="00705CAF" w:rsidP="008E0800">
                      <w:pPr>
                        <w:spacing w:after="0" w:line="240" w:lineRule="auto"/>
                        <w:jc w:val="center"/>
                        <w:rPr>
                          <w:b/>
                          <w:sz w:val="16"/>
                          <w:szCs w:val="12"/>
                        </w:rPr>
                      </w:pPr>
                      <w:r w:rsidRPr="00705CAF">
                        <w:rPr>
                          <w:b/>
                          <w:sz w:val="16"/>
                          <w:szCs w:val="12"/>
                        </w:rPr>
                        <w:t>Hervey Bay</w:t>
                      </w:r>
                    </w:p>
                  </w:txbxContent>
                </v:textbox>
              </v:shape>
            </w:pict>
          </mc:Fallback>
        </mc:AlternateContent>
      </w:r>
      <w:r>
        <w:rPr>
          <w:noProof/>
          <w:lang w:eastAsia="en-AU"/>
        </w:rPr>
        <mc:AlternateContent>
          <mc:Choice Requires="wps">
            <w:drawing>
              <wp:anchor distT="0" distB="0" distL="114300" distR="114300" simplePos="0" relativeHeight="251674624" behindDoc="0" locked="0" layoutInCell="1" allowOverlap="1" wp14:anchorId="5AF6C75F" wp14:editId="484B6C11">
                <wp:simplePos x="0" y="0"/>
                <wp:positionH relativeFrom="column">
                  <wp:posOffset>5941060</wp:posOffset>
                </wp:positionH>
                <wp:positionV relativeFrom="paragraph">
                  <wp:posOffset>89230</wp:posOffset>
                </wp:positionV>
                <wp:extent cx="45085" cy="45085"/>
                <wp:effectExtent l="0" t="0" r="12065" b="12065"/>
                <wp:wrapNone/>
                <wp:docPr id="4" name="Oval 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467.8pt;margin-top:7.05pt;width:3.55pt;height:3.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" fillcolor="black [3200]" strokecolor="black [1600]" strokeweight="2pt"/>
            </w:pict>
          </mc:Fallback>
        </mc:AlternateContent>
      </w:r>
      <w:r>
        <w:t xml:space="preserve">29 per cent of </w:t>
      </w:r>
      <w:r w:rsidR="00585E5A">
        <w:t>people</w:t>
      </w:r>
      <w:r>
        <w:t xml:space="preserve"> aged 20 to 24 years are neither working nor studying</w:t>
      </w:r>
      <w:r w:rsidR="000345BC">
        <w:t>.</w:t>
      </w:r>
      <w:r w:rsidR="000345BC">
        <w:rPr>
          <w:rStyle w:val="FootnoteReference"/>
        </w:rPr>
        <w:footnoteReference w:id="2"/>
      </w:r>
    </w:p>
    <w:p w:rsidR="00AB0724" w:rsidRDefault="00C85D81" w:rsidP="00C85D81">
      <w:pPr>
        <w:pStyle w:val="ListParagraph"/>
        <w:numPr>
          <w:ilvl w:val="0"/>
          <w:numId w:val="26"/>
        </w:numPr>
        <w:spacing w:after="0"/>
      </w:pPr>
      <w:r>
        <w:rPr>
          <w:noProof/>
          <w:lang w:eastAsia="en-AU"/>
        </w:rPr>
        <mc:AlternateContent>
          <mc:Choice Requires="wps">
            <w:drawing>
              <wp:anchor distT="0" distB="0" distL="114300" distR="114300" simplePos="0" relativeHeight="251676672" behindDoc="0" locked="0" layoutInCell="1" allowOverlap="1" wp14:anchorId="34724B4D" wp14:editId="1FBF9C12">
                <wp:simplePos x="0" y="0"/>
                <wp:positionH relativeFrom="column">
                  <wp:posOffset>6205855</wp:posOffset>
                </wp:positionH>
                <wp:positionV relativeFrom="paragraph">
                  <wp:posOffset>223825</wp:posOffset>
                </wp:positionV>
                <wp:extent cx="45085" cy="45085"/>
                <wp:effectExtent l="0" t="0" r="12065" b="12065"/>
                <wp:wrapNone/>
                <wp:docPr id="6" name="Oval 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488.65pt;margin-top:17.6pt;width:3.55pt;height: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" fillcolor="black [3200]" strokecolor="black [1600]" strokeweight="2pt"/>
            </w:pict>
          </mc:Fallback>
        </mc:AlternateContent>
      </w:r>
      <w:r w:rsidR="00892A91">
        <w:t>P</w:t>
      </w:r>
      <w:r w:rsidR="007072C6">
        <w:t xml:space="preserve">opulation </w:t>
      </w:r>
      <w:r w:rsidR="00892A91">
        <w:t xml:space="preserve">growth </w:t>
      </w:r>
      <w:r w:rsidR="000345BC">
        <w:t xml:space="preserve">was </w:t>
      </w:r>
      <w:r w:rsidR="002E3EA7">
        <w:t>higher among those aged 45 years and older (1</w:t>
      </w:r>
      <w:r w:rsidR="00441FD7">
        <w:t>2</w:t>
      </w:r>
      <w:r w:rsidR="002E3EA7">
        <w:t xml:space="preserve"> per </w:t>
      </w:r>
      <w:r w:rsidR="00AB0724">
        <w:t xml:space="preserve">cent) </w:t>
      </w:r>
      <w:r w:rsidR="002E3EA7">
        <w:t>compared wi</w:t>
      </w:r>
      <w:r w:rsidR="00703CF9">
        <w:t xml:space="preserve">th those under 45 years of age </w:t>
      </w:r>
      <w:r w:rsidR="002E3EA7">
        <w:t>(</w:t>
      </w:r>
      <w:r w:rsidR="00441FD7">
        <w:t>2</w:t>
      </w:r>
      <w:r w:rsidR="002E3EA7">
        <w:t xml:space="preserve"> per cent)</w:t>
      </w:r>
      <w:r w:rsidR="00E11EDE">
        <w:t>.</w:t>
      </w:r>
      <w:r w:rsidR="009E6AC3">
        <w:rPr>
          <w:rStyle w:val="FootnoteReference"/>
        </w:rPr>
        <w:footnoteReference w:id="3"/>
      </w:r>
    </w:p>
    <w:p w:rsidR="00564FC7" w:rsidRPr="00C85D81" w:rsidRDefault="00564FC7" w:rsidP="00C85D81">
      <w:pPr>
        <w:pStyle w:val="ListParagraph"/>
        <w:numPr>
          <w:ilvl w:val="0"/>
          <w:numId w:val="26"/>
        </w:numPr>
        <w:spacing w:after="0"/>
        <w:rPr>
          <w:rStyle w:val="CommentReference"/>
          <w:sz w:val="22"/>
          <w:szCs w:val="22"/>
        </w:rPr>
      </w:pPr>
      <w:r>
        <w:rPr>
          <w:noProof/>
          <w:lang w:eastAsia="en-AU"/>
        </w:rPr>
        <w:t>At the time of the 2011 Census, only 59 per cent of 25-34 year olds in the PEA had completed Year 12 or equivalent, well below the national average of 75 per cent.</w:t>
      </w:r>
      <w:r>
        <w:rPr>
          <w:rStyle w:val="FootnoteReference"/>
          <w:noProof/>
          <w:lang w:eastAsia="en-AU"/>
        </w:rPr>
        <w:footnoteReference w:id="4"/>
      </w:r>
    </w:p>
    <w:p w:rsidR="00564FC7" w:rsidRDefault="00564FC7" w:rsidP="00564FC7">
      <w:pPr>
        <w:pStyle w:val="ListParagraph"/>
        <w:spacing w:after="120"/>
        <w:ind w:left="0"/>
      </w:pPr>
      <w:r>
        <w:rPr>
          <w:noProof/>
          <w:lang w:eastAsia="en-AU"/>
        </w:rPr>
        <w:t>There are some structural changes occuring across the region.</w:t>
      </w:r>
    </w:p>
    <w:p w:rsidR="00621680" w:rsidRPr="00114E4F" w:rsidRDefault="00564FC7" w:rsidP="00564FC7">
      <w:pPr>
        <w:pStyle w:val="ListParagraph"/>
        <w:numPr>
          <w:ilvl w:val="0"/>
          <w:numId w:val="26"/>
        </w:numPr>
        <w:spacing w:after="120"/>
        <w:rPr>
          <w:noProof/>
          <w:lang w:eastAsia="en-AU"/>
        </w:rPr>
      </w:pPr>
      <w:r w:rsidRPr="00935518">
        <w:rPr>
          <w:noProof/>
          <w:lang w:eastAsia="en-AU"/>
        </w:rPr>
        <w:t>The three largest employing industries are Health Care and Social Assistance, Retail Trade and Construction.</w:t>
      </w:r>
      <w:r>
        <w:rPr>
          <w:noProof/>
          <w:lang w:eastAsia="en-AU"/>
        </w:rPr>
        <w:t xml:space="preserve"> Employment in the </w:t>
      </w:r>
      <w:r w:rsidRPr="00935518">
        <w:rPr>
          <w:noProof/>
          <w:lang w:eastAsia="en-AU"/>
        </w:rPr>
        <w:t>Construction industry decreased by 7 per cent.</w:t>
      </w:r>
      <w:r w:rsidRPr="00935518">
        <w:rPr>
          <w:noProof/>
          <w:vertAlign w:val="superscript"/>
          <w:lang w:eastAsia="en-AU"/>
        </w:rPr>
        <w:footnoteReference w:id="5"/>
      </w:r>
      <w:r w:rsidRPr="00935518">
        <w:rPr>
          <w:noProof/>
          <w:lang w:eastAsia="en-AU"/>
        </w:rPr>
        <w:t xml:space="preserve"> </w:t>
      </w:r>
    </w:p>
    <w:tbl>
      <w:tblPr>
        <w:tblW w:w="10769" w:type="dxa"/>
        <w:tblLook w:val="04A0" w:firstRow="1" w:lastRow="0" w:firstColumn="1" w:lastColumn="0" w:noHBand="0" w:noVBand="1"/>
      </w:tblPr>
      <w:tblGrid>
        <w:gridCol w:w="2943"/>
        <w:gridCol w:w="1985"/>
        <w:gridCol w:w="1843"/>
        <w:gridCol w:w="1984"/>
        <w:gridCol w:w="2014"/>
      </w:tblGrid>
      <w:tr w:rsidR="004338EE" w:rsidRPr="00471027" w:rsidTr="00346354">
        <w:trPr>
          <w:trHeight w:val="702"/>
        </w:trPr>
        <w:tc>
          <w:tcPr>
            <w:tcW w:w="2943" w:type="dxa"/>
            <w:tcBorders>
              <w:top w:val="single" w:sz="8" w:space="0" w:color="auto"/>
              <w:left w:val="single" w:sz="8" w:space="0" w:color="auto"/>
              <w:bottom w:val="single" w:sz="4" w:space="0" w:color="auto"/>
              <w:right w:val="nil"/>
            </w:tcBorders>
            <w:shd w:val="clear" w:color="000000" w:fill="427730"/>
            <w:vAlign w:val="center"/>
            <w:hideMark/>
          </w:tcPr>
          <w:p w:rsidR="00471027" w:rsidRPr="00471027" w:rsidRDefault="00471027" w:rsidP="00D53470">
            <w:pPr>
              <w:spacing w:after="0" w:line="240" w:lineRule="auto"/>
              <w:jc w:val="center"/>
              <w:rPr>
                <w:rFonts w:ascii="Calibri" w:eastAsia="Times New Roman" w:hAnsi="Calibri" w:cs="Calibri"/>
                <w:b/>
                <w:bCs/>
                <w:color w:val="FFFFFF"/>
                <w:sz w:val="20"/>
                <w:szCs w:val="20"/>
                <w:lang w:eastAsia="en-AU"/>
              </w:rPr>
            </w:pPr>
            <w:r w:rsidRPr="00471027">
              <w:rPr>
                <w:rFonts w:ascii="Calibri" w:eastAsia="Times New Roman" w:hAnsi="Calibri" w:cs="Calibri"/>
                <w:b/>
                <w:bCs/>
                <w:color w:val="FFFFFF"/>
                <w:sz w:val="20"/>
                <w:szCs w:val="20"/>
                <w:lang w:eastAsia="en-AU"/>
              </w:rPr>
              <w:t>Region</w:t>
            </w:r>
          </w:p>
        </w:tc>
        <w:tc>
          <w:tcPr>
            <w:tcW w:w="1985" w:type="dxa"/>
            <w:tcBorders>
              <w:top w:val="single" w:sz="8" w:space="0" w:color="auto"/>
              <w:left w:val="single" w:sz="8" w:space="0" w:color="auto"/>
              <w:bottom w:val="single" w:sz="4" w:space="0" w:color="auto"/>
              <w:right w:val="single" w:sz="4" w:space="0" w:color="auto"/>
            </w:tcBorders>
            <w:shd w:val="clear" w:color="000000" w:fill="427730"/>
            <w:vAlign w:val="center"/>
            <w:hideMark/>
          </w:tcPr>
          <w:p w:rsidR="00471027" w:rsidRPr="001E283A" w:rsidRDefault="007F4807" w:rsidP="001E283A">
            <w:pPr>
              <w:spacing w:after="0" w:line="240" w:lineRule="auto"/>
              <w:jc w:val="center"/>
              <w:rPr>
                <w:rFonts w:ascii="Calibri" w:eastAsia="Times New Roman" w:hAnsi="Calibri" w:cs="Calibri"/>
                <w:b/>
                <w:bCs/>
                <w:color w:val="FFFFFF"/>
                <w:sz w:val="20"/>
                <w:szCs w:val="20"/>
                <w:lang w:eastAsia="en-AU"/>
              </w:rPr>
            </w:pPr>
            <w:r w:rsidRPr="001E283A">
              <w:rPr>
                <w:rFonts w:ascii="Calibri" w:eastAsia="Times New Roman" w:hAnsi="Calibri" w:cs="Calibri"/>
                <w:b/>
                <w:bCs/>
                <w:color w:val="FFFFFF"/>
                <w:sz w:val="20"/>
                <w:szCs w:val="20"/>
                <w:lang w:eastAsia="en-AU"/>
              </w:rPr>
              <w:t xml:space="preserve">Unemployment </w:t>
            </w:r>
            <w:r w:rsidR="00471027" w:rsidRPr="001E283A">
              <w:rPr>
                <w:rFonts w:ascii="Calibri" w:eastAsia="Times New Roman" w:hAnsi="Calibri" w:cs="Calibri"/>
                <w:b/>
                <w:bCs/>
                <w:color w:val="FFFFFF"/>
                <w:sz w:val="20"/>
                <w:szCs w:val="20"/>
                <w:lang w:eastAsia="en-AU"/>
              </w:rPr>
              <w:t xml:space="preserve">Rate </w:t>
            </w:r>
            <w:r w:rsidRPr="001E283A">
              <w:rPr>
                <w:rFonts w:ascii="Calibri" w:eastAsia="Times New Roman" w:hAnsi="Calibri" w:cs="Calibri"/>
                <w:b/>
                <w:bCs/>
                <w:color w:val="FFFFFF"/>
                <w:sz w:val="20"/>
                <w:szCs w:val="20"/>
                <w:lang w:eastAsia="en-AU"/>
              </w:rPr>
              <w:br/>
            </w:r>
            <w:r w:rsidR="00471027" w:rsidRPr="001E283A">
              <w:rPr>
                <w:rFonts w:ascii="Calibri" w:eastAsia="Times New Roman" w:hAnsi="Calibri" w:cs="Calibri"/>
                <w:b/>
                <w:bCs/>
                <w:color w:val="FFFFFF"/>
                <w:sz w:val="20"/>
                <w:szCs w:val="20"/>
                <w:lang w:eastAsia="en-AU"/>
              </w:rPr>
              <w:t>(</w:t>
            </w:r>
            <w:proofErr w:type="spellStart"/>
            <w:r w:rsidR="00471027" w:rsidRPr="001E283A">
              <w:rPr>
                <w:rFonts w:ascii="Calibri" w:eastAsia="Times New Roman" w:hAnsi="Calibri" w:cs="Calibri"/>
                <w:b/>
                <w:bCs/>
                <w:color w:val="FFFFFF"/>
                <w:sz w:val="20"/>
                <w:szCs w:val="20"/>
                <w:lang w:eastAsia="en-AU"/>
              </w:rPr>
              <w:t>SALM</w:t>
            </w:r>
            <w:proofErr w:type="spellEnd"/>
            <w:r w:rsidR="00471027" w:rsidRPr="001E283A">
              <w:rPr>
                <w:rFonts w:ascii="Calibri" w:eastAsia="Times New Roman" w:hAnsi="Calibri" w:cs="Calibri"/>
                <w:b/>
                <w:bCs/>
                <w:color w:val="FFFFFF"/>
                <w:sz w:val="20"/>
                <w:szCs w:val="20"/>
                <w:lang w:eastAsia="en-AU"/>
              </w:rPr>
              <w:t xml:space="preserve">, </w:t>
            </w:r>
            <w:r w:rsidR="001E283A">
              <w:rPr>
                <w:rFonts w:ascii="Calibri" w:eastAsia="Times New Roman" w:hAnsi="Calibri" w:cs="Calibri"/>
                <w:b/>
                <w:bCs/>
                <w:color w:val="FFFFFF"/>
                <w:sz w:val="20"/>
                <w:szCs w:val="20"/>
                <w:lang w:eastAsia="en-AU"/>
              </w:rPr>
              <w:t>December</w:t>
            </w:r>
            <w:r w:rsidR="00471027" w:rsidRPr="001E283A">
              <w:rPr>
                <w:rFonts w:ascii="Calibri" w:eastAsia="Times New Roman" w:hAnsi="Calibri" w:cs="Calibri"/>
                <w:b/>
                <w:bCs/>
                <w:color w:val="FFFFFF"/>
                <w:sz w:val="20"/>
                <w:szCs w:val="20"/>
                <w:lang w:eastAsia="en-AU"/>
              </w:rPr>
              <w:t xml:space="preserve"> 2013)</w:t>
            </w:r>
          </w:p>
        </w:tc>
        <w:tc>
          <w:tcPr>
            <w:tcW w:w="1843" w:type="dxa"/>
            <w:tcBorders>
              <w:top w:val="single" w:sz="8" w:space="0" w:color="auto"/>
              <w:left w:val="nil"/>
              <w:bottom w:val="single" w:sz="4" w:space="0" w:color="auto"/>
              <w:right w:val="single" w:sz="4" w:space="0" w:color="auto"/>
            </w:tcBorders>
            <w:shd w:val="clear" w:color="000000" w:fill="427730"/>
            <w:vAlign w:val="center"/>
            <w:hideMark/>
          </w:tcPr>
          <w:p w:rsidR="00471027" w:rsidRPr="00471027" w:rsidRDefault="00471027" w:rsidP="00D53470">
            <w:pPr>
              <w:spacing w:after="0" w:line="240" w:lineRule="auto"/>
              <w:jc w:val="center"/>
              <w:rPr>
                <w:rFonts w:ascii="Calibri" w:eastAsia="Times New Roman" w:hAnsi="Calibri" w:cs="Calibri"/>
                <w:b/>
                <w:bCs/>
                <w:color w:val="FFFFFF"/>
                <w:sz w:val="20"/>
                <w:szCs w:val="20"/>
                <w:lang w:eastAsia="en-AU"/>
              </w:rPr>
            </w:pPr>
            <w:r w:rsidRPr="00471027">
              <w:rPr>
                <w:rFonts w:ascii="Calibri" w:eastAsia="Times New Roman" w:hAnsi="Calibri" w:cs="Calibri"/>
                <w:b/>
                <w:bCs/>
                <w:color w:val="FFFFFF"/>
                <w:sz w:val="20"/>
                <w:szCs w:val="20"/>
                <w:lang w:eastAsia="en-AU"/>
              </w:rPr>
              <w:t>Pa</w:t>
            </w:r>
            <w:r w:rsidR="008022CA">
              <w:rPr>
                <w:rFonts w:ascii="Calibri" w:eastAsia="Times New Roman" w:hAnsi="Calibri" w:cs="Calibri"/>
                <w:b/>
                <w:bCs/>
                <w:color w:val="FFFFFF"/>
                <w:sz w:val="20"/>
                <w:szCs w:val="20"/>
                <w:lang w:eastAsia="en-AU"/>
              </w:rPr>
              <w:t>rticipation Rate (Census, 2011)*</w:t>
            </w:r>
          </w:p>
        </w:tc>
        <w:tc>
          <w:tcPr>
            <w:tcW w:w="1984" w:type="dxa"/>
            <w:tcBorders>
              <w:top w:val="single" w:sz="8" w:space="0" w:color="auto"/>
              <w:left w:val="nil"/>
              <w:bottom w:val="single" w:sz="4" w:space="0" w:color="auto"/>
              <w:right w:val="single" w:sz="4" w:space="0" w:color="auto"/>
            </w:tcBorders>
            <w:shd w:val="clear" w:color="000000" w:fill="427730"/>
            <w:vAlign w:val="center"/>
            <w:hideMark/>
          </w:tcPr>
          <w:p w:rsidR="00471027" w:rsidRPr="00471027" w:rsidRDefault="00471027" w:rsidP="00D53470">
            <w:pPr>
              <w:spacing w:after="0" w:line="240" w:lineRule="auto"/>
              <w:jc w:val="center"/>
              <w:rPr>
                <w:rFonts w:ascii="Calibri" w:eastAsia="Times New Roman" w:hAnsi="Calibri" w:cs="Calibri"/>
                <w:b/>
                <w:bCs/>
                <w:color w:val="FFFFFF"/>
                <w:sz w:val="20"/>
                <w:szCs w:val="20"/>
                <w:lang w:eastAsia="en-AU"/>
              </w:rPr>
            </w:pPr>
            <w:r w:rsidRPr="00471027">
              <w:rPr>
                <w:rFonts w:ascii="Calibri" w:eastAsia="Times New Roman" w:hAnsi="Calibri" w:cs="Calibri"/>
                <w:b/>
                <w:bCs/>
                <w:color w:val="FFFFFF"/>
                <w:sz w:val="20"/>
                <w:szCs w:val="20"/>
                <w:lang w:eastAsia="en-AU"/>
              </w:rPr>
              <w:t>Proportion of WAP</w:t>
            </w:r>
            <w:r w:rsidR="008022CA">
              <w:rPr>
                <w:rFonts w:ascii="Calibri" w:eastAsia="Times New Roman" w:hAnsi="Calibri" w:cs="Calibri"/>
                <w:b/>
                <w:bCs/>
                <w:color w:val="FFFFFF"/>
                <w:sz w:val="20"/>
                <w:szCs w:val="20"/>
                <w:lang w:eastAsia="en-AU"/>
              </w:rPr>
              <w:t>*</w:t>
            </w:r>
            <w:r w:rsidR="00D569C7">
              <w:rPr>
                <w:rFonts w:ascii="Calibri" w:eastAsia="Times New Roman" w:hAnsi="Calibri" w:cs="Calibri"/>
                <w:b/>
                <w:bCs/>
                <w:color w:val="FFFFFF"/>
                <w:sz w:val="20"/>
                <w:szCs w:val="20"/>
                <w:lang w:eastAsia="en-AU"/>
              </w:rPr>
              <w:t xml:space="preserve"> receiving income support payments</w:t>
            </w:r>
            <w:r w:rsidR="00532AAF" w:rsidRPr="0010350F">
              <w:rPr>
                <w:rStyle w:val="FootnoteReference"/>
                <w:rFonts w:ascii="Calibri" w:eastAsia="Times New Roman" w:hAnsi="Calibri" w:cs="Calibri"/>
                <w:b/>
                <w:bCs/>
                <w:color w:val="FFFFFF"/>
                <w:lang w:eastAsia="en-AU"/>
              </w:rPr>
              <w:footnoteReference w:id="6"/>
            </w:r>
          </w:p>
        </w:tc>
        <w:tc>
          <w:tcPr>
            <w:tcW w:w="2014" w:type="dxa"/>
            <w:tcBorders>
              <w:top w:val="single" w:sz="8" w:space="0" w:color="auto"/>
              <w:left w:val="nil"/>
              <w:bottom w:val="single" w:sz="4" w:space="0" w:color="auto"/>
              <w:right w:val="single" w:sz="8" w:space="0" w:color="auto"/>
            </w:tcBorders>
            <w:shd w:val="clear" w:color="000000" w:fill="427730"/>
            <w:vAlign w:val="center"/>
            <w:hideMark/>
          </w:tcPr>
          <w:p w:rsidR="006D64B4" w:rsidRDefault="00C3746E" w:rsidP="00D53470">
            <w:pPr>
              <w:spacing w:after="0" w:line="240" w:lineRule="auto"/>
              <w:jc w:val="center"/>
              <w:rPr>
                <w:rFonts w:ascii="Calibri" w:eastAsia="Times New Roman" w:hAnsi="Calibri" w:cs="Calibri"/>
                <w:b/>
                <w:bCs/>
                <w:color w:val="FFFFFF"/>
                <w:sz w:val="20"/>
                <w:szCs w:val="20"/>
                <w:lang w:eastAsia="en-AU"/>
              </w:rPr>
            </w:pPr>
            <w:r>
              <w:rPr>
                <w:rFonts w:ascii="Calibri" w:eastAsia="Times New Roman" w:hAnsi="Calibri" w:cs="Calibri"/>
                <w:b/>
                <w:bCs/>
                <w:color w:val="FFFFFF"/>
                <w:sz w:val="20"/>
                <w:szCs w:val="20"/>
                <w:lang w:eastAsia="en-AU"/>
              </w:rPr>
              <w:t>Employment Growth</w:t>
            </w:r>
          </w:p>
          <w:p w:rsidR="00471027" w:rsidRPr="00471027" w:rsidRDefault="00471027" w:rsidP="00D53470">
            <w:pPr>
              <w:spacing w:after="0" w:line="240" w:lineRule="auto"/>
              <w:jc w:val="center"/>
              <w:rPr>
                <w:rFonts w:ascii="Calibri" w:eastAsia="Times New Roman" w:hAnsi="Calibri" w:cs="Calibri"/>
                <w:b/>
                <w:bCs/>
                <w:color w:val="FFFFFF"/>
                <w:sz w:val="20"/>
                <w:szCs w:val="20"/>
                <w:lang w:eastAsia="en-AU"/>
              </w:rPr>
            </w:pPr>
            <w:r w:rsidRPr="00471027">
              <w:rPr>
                <w:rFonts w:ascii="Calibri" w:eastAsia="Times New Roman" w:hAnsi="Calibri" w:cs="Calibri"/>
                <w:b/>
                <w:bCs/>
                <w:color w:val="FFFFFF"/>
                <w:sz w:val="20"/>
                <w:szCs w:val="20"/>
                <w:lang w:eastAsia="en-AU"/>
              </w:rPr>
              <w:t>(</w:t>
            </w:r>
            <w:r w:rsidR="000749E2">
              <w:rPr>
                <w:rFonts w:ascii="Calibri" w:eastAsia="Times New Roman" w:hAnsi="Calibri" w:cs="Calibri"/>
                <w:b/>
                <w:bCs/>
                <w:color w:val="FFFFFF"/>
                <w:sz w:val="20"/>
                <w:szCs w:val="20"/>
                <w:lang w:eastAsia="en-AU"/>
              </w:rPr>
              <w:t xml:space="preserve">5 years, </w:t>
            </w:r>
            <w:r w:rsidR="00C3746E">
              <w:rPr>
                <w:rFonts w:ascii="Calibri" w:eastAsia="Times New Roman" w:hAnsi="Calibri" w:cs="Calibri"/>
                <w:b/>
                <w:bCs/>
                <w:color w:val="FFFFFF"/>
                <w:sz w:val="20"/>
                <w:szCs w:val="20"/>
                <w:lang w:eastAsia="en-AU"/>
              </w:rPr>
              <w:t>200</w:t>
            </w:r>
            <w:r w:rsidR="000E5630">
              <w:rPr>
                <w:rFonts w:ascii="Calibri" w:eastAsia="Times New Roman" w:hAnsi="Calibri" w:cs="Calibri"/>
                <w:b/>
                <w:bCs/>
                <w:color w:val="FFFFFF"/>
                <w:sz w:val="20"/>
                <w:szCs w:val="20"/>
                <w:lang w:eastAsia="en-AU"/>
              </w:rPr>
              <w:t>8</w:t>
            </w:r>
            <w:r w:rsidR="00594239">
              <w:rPr>
                <w:rFonts w:ascii="Calibri" w:eastAsia="Times New Roman" w:hAnsi="Calibri" w:cs="Calibri"/>
                <w:b/>
                <w:bCs/>
                <w:color w:val="FFFFFF"/>
                <w:sz w:val="20"/>
                <w:szCs w:val="20"/>
                <w:lang w:eastAsia="en-AU"/>
              </w:rPr>
              <w:t xml:space="preserve"> </w:t>
            </w:r>
            <w:r w:rsidR="000749E2">
              <w:rPr>
                <w:rFonts w:ascii="Calibri" w:eastAsia="Times New Roman" w:hAnsi="Calibri" w:cs="Calibri"/>
                <w:b/>
                <w:bCs/>
                <w:color w:val="FFFFFF"/>
                <w:sz w:val="20"/>
                <w:szCs w:val="20"/>
                <w:lang w:eastAsia="en-AU"/>
              </w:rPr>
              <w:t>-</w:t>
            </w:r>
            <w:r w:rsidR="00594239">
              <w:rPr>
                <w:rFonts w:ascii="Calibri" w:eastAsia="Times New Roman" w:hAnsi="Calibri" w:cs="Calibri"/>
                <w:b/>
                <w:bCs/>
                <w:color w:val="FFFFFF"/>
                <w:sz w:val="20"/>
                <w:szCs w:val="20"/>
                <w:lang w:eastAsia="en-AU"/>
              </w:rPr>
              <w:t xml:space="preserve"> 201</w:t>
            </w:r>
            <w:r w:rsidR="000E5630">
              <w:rPr>
                <w:rFonts w:ascii="Calibri" w:eastAsia="Times New Roman" w:hAnsi="Calibri" w:cs="Calibri"/>
                <w:b/>
                <w:bCs/>
                <w:color w:val="FFFFFF"/>
                <w:sz w:val="20"/>
                <w:szCs w:val="20"/>
                <w:lang w:eastAsia="en-AU"/>
              </w:rPr>
              <w:t>3</w:t>
            </w:r>
            <w:r w:rsidRPr="00471027">
              <w:rPr>
                <w:rFonts w:ascii="Calibri" w:eastAsia="Times New Roman" w:hAnsi="Calibri" w:cs="Calibri"/>
                <w:b/>
                <w:bCs/>
                <w:color w:val="FFFFFF"/>
                <w:sz w:val="20"/>
                <w:szCs w:val="20"/>
                <w:lang w:eastAsia="en-AU"/>
              </w:rPr>
              <w:t>)</w:t>
            </w:r>
          </w:p>
        </w:tc>
      </w:tr>
      <w:tr w:rsidR="004338EE" w:rsidRPr="00471027" w:rsidTr="00346354">
        <w:trPr>
          <w:trHeight w:val="319"/>
        </w:trPr>
        <w:tc>
          <w:tcPr>
            <w:tcW w:w="2943" w:type="dxa"/>
            <w:tcBorders>
              <w:top w:val="single" w:sz="4" w:space="0" w:color="auto"/>
              <w:left w:val="single" w:sz="8" w:space="0" w:color="auto"/>
              <w:bottom w:val="single" w:sz="4" w:space="0" w:color="auto"/>
              <w:right w:val="nil"/>
            </w:tcBorders>
            <w:shd w:val="clear" w:color="auto" w:fill="auto"/>
            <w:noWrap/>
            <w:vAlign w:val="center"/>
            <w:hideMark/>
          </w:tcPr>
          <w:p w:rsidR="00471027" w:rsidRPr="00471027" w:rsidRDefault="00D53470" w:rsidP="00D53470">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Bundaberg-Hervey Bay</w:t>
            </w:r>
            <w:r w:rsidR="00471027" w:rsidRPr="00471027">
              <w:rPr>
                <w:rFonts w:ascii="Calibri" w:eastAsia="Times New Roman" w:hAnsi="Calibri" w:cs="Calibri"/>
                <w:color w:val="000000"/>
                <w:lang w:eastAsia="en-AU"/>
              </w:rPr>
              <w:t xml:space="preserve"> PEA</w:t>
            </w:r>
          </w:p>
        </w:tc>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tcPr>
          <w:p w:rsidR="00471027" w:rsidRPr="001E283A" w:rsidRDefault="00293D1B" w:rsidP="001E283A">
            <w:pPr>
              <w:spacing w:after="0" w:line="240" w:lineRule="auto"/>
              <w:jc w:val="center"/>
              <w:rPr>
                <w:rFonts w:ascii="Calibri" w:eastAsia="Times New Roman" w:hAnsi="Calibri" w:cs="Calibri"/>
                <w:color w:val="000000"/>
                <w:lang w:eastAsia="en-AU"/>
              </w:rPr>
            </w:pPr>
            <w:r w:rsidRPr="001E283A">
              <w:rPr>
                <w:rFonts w:ascii="Calibri" w:eastAsia="Times New Roman" w:hAnsi="Calibri" w:cs="Calibri"/>
                <w:color w:val="000000"/>
                <w:lang w:eastAsia="en-AU"/>
              </w:rPr>
              <w:t>9.</w:t>
            </w:r>
            <w:r w:rsidR="001E283A" w:rsidRPr="001E283A">
              <w:rPr>
                <w:rFonts w:ascii="Calibri" w:eastAsia="Times New Roman" w:hAnsi="Calibri" w:cs="Calibri"/>
                <w:color w:val="000000"/>
                <w:lang w:eastAsia="en-AU"/>
              </w:rPr>
              <w:t>0</w:t>
            </w:r>
            <w:r w:rsidR="00D53470" w:rsidRPr="001E283A">
              <w:rPr>
                <w:rFonts w:ascii="Calibri" w:eastAsia="Times New Roman" w:hAnsi="Calibri" w:cs="Calibri"/>
                <w:color w:val="000000"/>
                <w:lang w:eastAsia="en-A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1027" w:rsidRPr="00471027" w:rsidRDefault="00443944" w:rsidP="00443944">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66.9%</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71027" w:rsidRPr="00471027" w:rsidRDefault="00293D1B" w:rsidP="00D53470">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30%</w:t>
            </w:r>
          </w:p>
        </w:tc>
        <w:tc>
          <w:tcPr>
            <w:tcW w:w="2014" w:type="dxa"/>
            <w:tcBorders>
              <w:top w:val="single" w:sz="4" w:space="0" w:color="auto"/>
              <w:left w:val="nil"/>
              <w:bottom w:val="single" w:sz="4" w:space="0" w:color="auto"/>
              <w:right w:val="single" w:sz="8" w:space="0" w:color="auto"/>
            </w:tcBorders>
            <w:shd w:val="clear" w:color="auto" w:fill="auto"/>
            <w:noWrap/>
            <w:vAlign w:val="center"/>
          </w:tcPr>
          <w:p w:rsidR="00471027" w:rsidRPr="00471027" w:rsidRDefault="005B6F0A" w:rsidP="006C1746">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9%</w:t>
            </w:r>
          </w:p>
        </w:tc>
      </w:tr>
      <w:tr w:rsidR="004338EE" w:rsidRPr="00471027" w:rsidTr="00346354">
        <w:trPr>
          <w:trHeight w:val="328"/>
        </w:trPr>
        <w:tc>
          <w:tcPr>
            <w:tcW w:w="2943" w:type="dxa"/>
            <w:tcBorders>
              <w:top w:val="nil"/>
              <w:left w:val="single" w:sz="8" w:space="0" w:color="auto"/>
              <w:bottom w:val="single" w:sz="8" w:space="0" w:color="auto"/>
              <w:right w:val="nil"/>
            </w:tcBorders>
            <w:shd w:val="clear" w:color="auto" w:fill="auto"/>
            <w:noWrap/>
            <w:vAlign w:val="center"/>
            <w:hideMark/>
          </w:tcPr>
          <w:p w:rsidR="00471027" w:rsidRPr="00471027" w:rsidRDefault="00471027" w:rsidP="00D53470">
            <w:pPr>
              <w:spacing w:after="0" w:line="240" w:lineRule="auto"/>
              <w:jc w:val="center"/>
              <w:rPr>
                <w:rFonts w:ascii="Calibri" w:eastAsia="Times New Roman" w:hAnsi="Calibri" w:cs="Calibri"/>
                <w:color w:val="000000"/>
                <w:lang w:eastAsia="en-AU"/>
              </w:rPr>
            </w:pPr>
            <w:r w:rsidRPr="00471027">
              <w:rPr>
                <w:rFonts w:ascii="Calibri" w:eastAsia="Times New Roman" w:hAnsi="Calibri" w:cs="Calibri"/>
                <w:color w:val="000000"/>
                <w:lang w:eastAsia="en-AU"/>
              </w:rPr>
              <w:t>Australia</w:t>
            </w:r>
          </w:p>
        </w:tc>
        <w:tc>
          <w:tcPr>
            <w:tcW w:w="1985" w:type="dxa"/>
            <w:tcBorders>
              <w:top w:val="nil"/>
              <w:left w:val="single" w:sz="8" w:space="0" w:color="auto"/>
              <w:bottom w:val="single" w:sz="8" w:space="0" w:color="auto"/>
              <w:right w:val="single" w:sz="4" w:space="0" w:color="auto"/>
            </w:tcBorders>
            <w:shd w:val="clear" w:color="auto" w:fill="auto"/>
            <w:noWrap/>
            <w:vAlign w:val="center"/>
            <w:hideMark/>
          </w:tcPr>
          <w:p w:rsidR="00471027" w:rsidRPr="00471027" w:rsidRDefault="005C1F94" w:rsidP="006C1746">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6.0</w:t>
            </w:r>
            <w:r w:rsidR="00471027" w:rsidRPr="00471027">
              <w:rPr>
                <w:rFonts w:ascii="Calibri" w:eastAsia="Times New Roman" w:hAnsi="Calibri" w:cs="Calibri"/>
                <w:color w:val="000000"/>
                <w:lang w:eastAsia="en-AU"/>
              </w:rPr>
              <w:t>%</w:t>
            </w:r>
            <w:r w:rsidR="004F269B">
              <w:rPr>
                <w:rStyle w:val="FootnoteReference"/>
                <w:rFonts w:ascii="Calibri" w:eastAsia="Times New Roman" w:hAnsi="Calibri" w:cs="Calibri"/>
                <w:color w:val="000000"/>
                <w:lang w:eastAsia="en-AU"/>
              </w:rPr>
              <w:footnoteReference w:id="7"/>
            </w:r>
          </w:p>
        </w:tc>
        <w:tc>
          <w:tcPr>
            <w:tcW w:w="1843" w:type="dxa"/>
            <w:tcBorders>
              <w:top w:val="nil"/>
              <w:left w:val="nil"/>
              <w:bottom w:val="single" w:sz="8" w:space="0" w:color="auto"/>
              <w:right w:val="single" w:sz="4" w:space="0" w:color="auto"/>
            </w:tcBorders>
            <w:shd w:val="clear" w:color="auto" w:fill="auto"/>
            <w:noWrap/>
            <w:vAlign w:val="center"/>
            <w:hideMark/>
          </w:tcPr>
          <w:p w:rsidR="00471027" w:rsidRPr="00471027" w:rsidRDefault="00471027" w:rsidP="00D53470">
            <w:pPr>
              <w:spacing w:after="0" w:line="240" w:lineRule="auto"/>
              <w:jc w:val="center"/>
              <w:rPr>
                <w:rFonts w:ascii="Calibri" w:eastAsia="Times New Roman" w:hAnsi="Calibri" w:cs="Calibri"/>
                <w:color w:val="000000"/>
                <w:lang w:eastAsia="en-AU"/>
              </w:rPr>
            </w:pPr>
            <w:r w:rsidRPr="00471027">
              <w:rPr>
                <w:rFonts w:ascii="Calibri" w:eastAsia="Times New Roman" w:hAnsi="Calibri" w:cs="Calibri"/>
                <w:color w:val="000000"/>
                <w:lang w:eastAsia="en-AU"/>
              </w:rPr>
              <w:t>75.8%</w:t>
            </w:r>
          </w:p>
        </w:tc>
        <w:tc>
          <w:tcPr>
            <w:tcW w:w="1984" w:type="dxa"/>
            <w:tcBorders>
              <w:top w:val="nil"/>
              <w:left w:val="nil"/>
              <w:bottom w:val="single" w:sz="8" w:space="0" w:color="auto"/>
              <w:right w:val="single" w:sz="4" w:space="0" w:color="auto"/>
            </w:tcBorders>
            <w:shd w:val="clear" w:color="auto" w:fill="auto"/>
            <w:noWrap/>
            <w:vAlign w:val="center"/>
            <w:hideMark/>
          </w:tcPr>
          <w:p w:rsidR="00471027" w:rsidRPr="00471027" w:rsidRDefault="00471027" w:rsidP="00D53470">
            <w:pPr>
              <w:spacing w:after="0" w:line="240" w:lineRule="auto"/>
              <w:jc w:val="center"/>
              <w:rPr>
                <w:rFonts w:ascii="Calibri" w:eastAsia="Times New Roman" w:hAnsi="Calibri" w:cs="Calibri"/>
                <w:color w:val="000000"/>
                <w:lang w:eastAsia="en-AU"/>
              </w:rPr>
            </w:pPr>
            <w:r w:rsidRPr="00471027">
              <w:rPr>
                <w:rFonts w:ascii="Calibri" w:eastAsia="Times New Roman" w:hAnsi="Calibri" w:cs="Calibri"/>
                <w:color w:val="000000"/>
                <w:lang w:eastAsia="en-AU"/>
              </w:rPr>
              <w:t>17%</w:t>
            </w:r>
          </w:p>
        </w:tc>
        <w:tc>
          <w:tcPr>
            <w:tcW w:w="2014" w:type="dxa"/>
            <w:tcBorders>
              <w:top w:val="nil"/>
              <w:left w:val="nil"/>
              <w:bottom w:val="single" w:sz="8" w:space="0" w:color="auto"/>
              <w:right w:val="single" w:sz="8" w:space="0" w:color="auto"/>
            </w:tcBorders>
            <w:shd w:val="clear" w:color="auto" w:fill="auto"/>
            <w:noWrap/>
            <w:vAlign w:val="center"/>
          </w:tcPr>
          <w:p w:rsidR="00471027" w:rsidRPr="00471027" w:rsidRDefault="005B6F0A" w:rsidP="00D53470">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11%</w:t>
            </w:r>
          </w:p>
        </w:tc>
      </w:tr>
    </w:tbl>
    <w:p w:rsidR="00621680" w:rsidRPr="00621680" w:rsidRDefault="00621680" w:rsidP="00621680">
      <w:pPr>
        <w:pStyle w:val="Heading1"/>
        <w:spacing w:before="0" w:line="20" w:lineRule="atLeast"/>
        <w:rPr>
          <w:color w:val="000000" w:themeColor="text1"/>
          <w:sz w:val="16"/>
          <w:szCs w:val="16"/>
        </w:rPr>
      </w:pPr>
      <w:r>
        <w:rPr>
          <w:color w:val="000000" w:themeColor="text1"/>
          <w:sz w:val="16"/>
          <w:szCs w:val="16"/>
        </w:rPr>
        <w:t>*working age population</w:t>
      </w:r>
      <w:r w:rsidR="004305A1">
        <w:rPr>
          <w:color w:val="000000" w:themeColor="text1"/>
          <w:sz w:val="16"/>
          <w:szCs w:val="16"/>
        </w:rPr>
        <w:t xml:space="preserve"> </w:t>
      </w:r>
      <w:r w:rsidR="00AB4D7E">
        <w:rPr>
          <w:color w:val="000000" w:themeColor="text1"/>
          <w:sz w:val="16"/>
          <w:szCs w:val="16"/>
        </w:rPr>
        <w:t>(15-64)</w:t>
      </w:r>
    </w:p>
    <w:p w:rsidR="00C04021" w:rsidRPr="008022CA" w:rsidRDefault="00D04991" w:rsidP="00ED02DA">
      <w:pPr>
        <w:pStyle w:val="Heading1"/>
        <w:spacing w:before="240" w:after="0" w:line="20" w:lineRule="atLeast"/>
        <w:rPr>
          <w:color w:val="008000"/>
          <w:sz w:val="28"/>
          <w:szCs w:val="30"/>
        </w:rPr>
      </w:pPr>
      <w:r w:rsidRPr="008022CA">
        <w:rPr>
          <w:sz w:val="28"/>
          <w:szCs w:val="30"/>
        </w:rPr>
        <w:t>What employers are telling us</w:t>
      </w:r>
      <w:r w:rsidR="001E2AA5" w:rsidRPr="008022CA">
        <w:rPr>
          <w:rStyle w:val="FootnoteReference"/>
          <w:color w:val="008000"/>
          <w:sz w:val="28"/>
          <w:szCs w:val="30"/>
        </w:rPr>
        <w:footnoteReference w:id="8"/>
      </w:r>
    </w:p>
    <w:p w:rsidR="001246CA" w:rsidRDefault="00AB4D7E" w:rsidP="001246CA">
      <w:pPr>
        <w:spacing w:after="0"/>
      </w:pPr>
      <w:r>
        <w:t>The s</w:t>
      </w:r>
      <w:r w:rsidR="001246CA">
        <w:t xml:space="preserve">urvey results </w:t>
      </w:r>
      <w:r>
        <w:t>indicate that</w:t>
      </w:r>
      <w:r w:rsidR="001246CA">
        <w:t xml:space="preserve"> recruitment activity</w:t>
      </w:r>
      <w:r>
        <w:t xml:space="preserve"> has</w:t>
      </w:r>
      <w:r w:rsidR="001246CA">
        <w:t xml:space="preserve"> </w:t>
      </w:r>
      <w:r w:rsidR="00552307">
        <w:t>remain</w:t>
      </w:r>
      <w:r>
        <w:t>ed</w:t>
      </w:r>
      <w:r w:rsidR="00552307">
        <w:t xml:space="preserve"> subdued </w:t>
      </w:r>
      <w:r w:rsidR="001246CA">
        <w:t xml:space="preserve">since the region was last surveyed in 2012. </w:t>
      </w:r>
    </w:p>
    <w:p w:rsidR="00823B3A" w:rsidRDefault="00AB4D7E" w:rsidP="00823B3A">
      <w:pPr>
        <w:pStyle w:val="ListParagraph"/>
        <w:numPr>
          <w:ilvl w:val="0"/>
          <w:numId w:val="26"/>
        </w:numPr>
        <w:spacing w:after="0"/>
      </w:pPr>
      <w:r>
        <w:t>The c</w:t>
      </w:r>
      <w:r w:rsidR="00823B3A">
        <w:t xml:space="preserve">ompetition for vacancies was high, with an average of 11.0 applicants per vacancy. </w:t>
      </w:r>
    </w:p>
    <w:p w:rsidR="0063008D" w:rsidRDefault="0063008D" w:rsidP="00823B3A">
      <w:pPr>
        <w:pStyle w:val="ListParagraph"/>
        <w:numPr>
          <w:ilvl w:val="0"/>
          <w:numId w:val="25"/>
        </w:numPr>
        <w:spacing w:after="0"/>
      </w:pPr>
      <w:r>
        <w:t>However, the low average number of suitable applicants (1.5) and the relatively high unfill rate (5.8 per cent) suggest a mismatch between job seekers’ skills and those sought by employers.</w:t>
      </w:r>
    </w:p>
    <w:p w:rsidR="00823B3A" w:rsidRDefault="00823B3A" w:rsidP="00823B3A">
      <w:pPr>
        <w:pStyle w:val="ListParagraph"/>
        <w:numPr>
          <w:ilvl w:val="0"/>
          <w:numId w:val="25"/>
        </w:numPr>
        <w:spacing w:after="0"/>
      </w:pPr>
      <w:r>
        <w:t>The majority (74 per cent) of applicants did not receive an interview, with employers citing a lack of relevant experience and insufficient qu</w:t>
      </w:r>
      <w:bookmarkStart w:id="0" w:name="_GoBack"/>
      <w:bookmarkEnd w:id="0"/>
      <w:r>
        <w:t>alifications or training as the most common reasons.</w:t>
      </w:r>
    </w:p>
    <w:tbl>
      <w:tblPr>
        <w:tblpPr w:leftFromText="180" w:rightFromText="180" w:vertAnchor="text" w:horzAnchor="margin" w:tblpY="766"/>
        <w:tblW w:w="10786" w:type="dxa"/>
        <w:tblLook w:val="04A0" w:firstRow="1" w:lastRow="0" w:firstColumn="1" w:lastColumn="0" w:noHBand="0" w:noVBand="1"/>
      </w:tblPr>
      <w:tblGrid>
        <w:gridCol w:w="3369"/>
        <w:gridCol w:w="1275"/>
        <w:gridCol w:w="2410"/>
        <w:gridCol w:w="2268"/>
        <w:gridCol w:w="1464"/>
      </w:tblGrid>
      <w:tr w:rsidR="00ED02DA" w:rsidRPr="009515C3" w:rsidTr="00ED02DA">
        <w:trPr>
          <w:trHeight w:val="411"/>
        </w:trPr>
        <w:tc>
          <w:tcPr>
            <w:tcW w:w="3369" w:type="dxa"/>
            <w:tcBorders>
              <w:top w:val="single" w:sz="8" w:space="0" w:color="auto"/>
              <w:left w:val="single" w:sz="8" w:space="0" w:color="auto"/>
              <w:bottom w:val="single" w:sz="4" w:space="0" w:color="auto"/>
              <w:right w:val="single" w:sz="4" w:space="0" w:color="auto"/>
            </w:tcBorders>
            <w:shd w:val="clear" w:color="000000" w:fill="427730"/>
            <w:vAlign w:val="center"/>
            <w:hideMark/>
          </w:tcPr>
          <w:p w:rsidR="00ED02DA" w:rsidRPr="00972862" w:rsidRDefault="00ED02DA" w:rsidP="00ED02DA">
            <w:pPr>
              <w:spacing w:after="0" w:line="240" w:lineRule="auto"/>
              <w:jc w:val="center"/>
              <w:rPr>
                <w:rFonts w:ascii="Calibri" w:eastAsia="Times New Roman" w:hAnsi="Calibri" w:cs="Calibri"/>
                <w:b/>
                <w:bCs/>
                <w:color w:val="FFFFFF"/>
                <w:sz w:val="20"/>
                <w:szCs w:val="20"/>
                <w:lang w:eastAsia="en-AU"/>
              </w:rPr>
            </w:pPr>
            <w:r w:rsidRPr="00972862">
              <w:rPr>
                <w:rFonts w:ascii="Calibri" w:eastAsia="Times New Roman" w:hAnsi="Calibri" w:cs="Calibri"/>
                <w:b/>
                <w:bCs/>
                <w:color w:val="FFFFFF"/>
                <w:sz w:val="20"/>
                <w:szCs w:val="20"/>
                <w:lang w:eastAsia="en-AU"/>
              </w:rPr>
              <w:t>Region</w:t>
            </w:r>
          </w:p>
        </w:tc>
        <w:tc>
          <w:tcPr>
            <w:tcW w:w="1275" w:type="dxa"/>
            <w:tcBorders>
              <w:top w:val="single" w:sz="8" w:space="0" w:color="auto"/>
              <w:left w:val="nil"/>
              <w:bottom w:val="single" w:sz="4" w:space="0" w:color="auto"/>
              <w:right w:val="single" w:sz="4" w:space="0" w:color="auto"/>
            </w:tcBorders>
            <w:shd w:val="clear" w:color="000000" w:fill="427730"/>
            <w:vAlign w:val="center"/>
            <w:hideMark/>
          </w:tcPr>
          <w:p w:rsidR="00ED02DA" w:rsidRPr="00972862" w:rsidRDefault="00ED02DA" w:rsidP="00ED02DA">
            <w:pPr>
              <w:spacing w:after="0" w:line="240" w:lineRule="auto"/>
              <w:jc w:val="center"/>
              <w:rPr>
                <w:rFonts w:ascii="Calibri" w:eastAsia="Times New Roman" w:hAnsi="Calibri" w:cs="Calibri"/>
                <w:b/>
                <w:bCs/>
                <w:color w:val="FFFFFF"/>
                <w:sz w:val="20"/>
                <w:szCs w:val="20"/>
                <w:lang w:eastAsia="en-AU"/>
              </w:rPr>
            </w:pPr>
            <w:r w:rsidRPr="00972862">
              <w:rPr>
                <w:rFonts w:ascii="Calibri" w:eastAsia="Times New Roman" w:hAnsi="Calibri" w:cs="Calibri"/>
                <w:b/>
                <w:bCs/>
                <w:color w:val="FFFFFF"/>
                <w:sz w:val="20"/>
                <w:szCs w:val="20"/>
                <w:lang w:eastAsia="en-AU"/>
              </w:rPr>
              <w:t>% recruited</w:t>
            </w:r>
          </w:p>
        </w:tc>
        <w:tc>
          <w:tcPr>
            <w:tcW w:w="2410" w:type="dxa"/>
            <w:tcBorders>
              <w:top w:val="single" w:sz="8" w:space="0" w:color="auto"/>
              <w:left w:val="single" w:sz="4" w:space="0" w:color="auto"/>
              <w:bottom w:val="single" w:sz="4" w:space="0" w:color="auto"/>
              <w:right w:val="single" w:sz="4" w:space="0" w:color="auto"/>
            </w:tcBorders>
            <w:shd w:val="clear" w:color="000000" w:fill="427730"/>
            <w:vAlign w:val="center"/>
            <w:hideMark/>
          </w:tcPr>
          <w:p w:rsidR="00ED02DA" w:rsidRPr="00972862" w:rsidRDefault="00ED02DA" w:rsidP="00ED02DA">
            <w:pPr>
              <w:spacing w:after="0" w:line="240" w:lineRule="auto"/>
              <w:jc w:val="center"/>
              <w:rPr>
                <w:rFonts w:ascii="Calibri" w:eastAsia="Times New Roman" w:hAnsi="Calibri" w:cs="Calibri"/>
                <w:b/>
                <w:bCs/>
                <w:color w:val="FFFFFF"/>
                <w:sz w:val="20"/>
                <w:szCs w:val="20"/>
                <w:lang w:eastAsia="en-AU"/>
              </w:rPr>
            </w:pPr>
            <w:r w:rsidRPr="00972862">
              <w:rPr>
                <w:rFonts w:ascii="Calibri" w:eastAsia="Times New Roman" w:hAnsi="Calibri" w:cs="Calibri"/>
                <w:b/>
                <w:bCs/>
                <w:color w:val="FFFFFF"/>
                <w:sz w:val="20"/>
                <w:szCs w:val="20"/>
                <w:lang w:eastAsia="en-AU"/>
              </w:rPr>
              <w:t>Applicants per vacancy                              (Average Number)</w:t>
            </w:r>
          </w:p>
        </w:tc>
        <w:tc>
          <w:tcPr>
            <w:tcW w:w="2268" w:type="dxa"/>
            <w:tcBorders>
              <w:top w:val="single" w:sz="8" w:space="0" w:color="auto"/>
              <w:left w:val="nil"/>
              <w:bottom w:val="single" w:sz="4" w:space="0" w:color="auto"/>
              <w:right w:val="single" w:sz="4" w:space="0" w:color="auto"/>
            </w:tcBorders>
            <w:shd w:val="clear" w:color="000000" w:fill="427730"/>
            <w:vAlign w:val="center"/>
            <w:hideMark/>
          </w:tcPr>
          <w:p w:rsidR="00ED02DA" w:rsidRPr="00972862" w:rsidRDefault="00ED02DA" w:rsidP="00ED02DA">
            <w:pPr>
              <w:spacing w:after="0" w:line="240" w:lineRule="auto"/>
              <w:jc w:val="center"/>
              <w:rPr>
                <w:rFonts w:ascii="Calibri" w:eastAsia="Times New Roman" w:hAnsi="Calibri" w:cs="Calibri"/>
                <w:b/>
                <w:bCs/>
                <w:color w:val="FFFFFF"/>
                <w:sz w:val="20"/>
                <w:szCs w:val="20"/>
                <w:lang w:eastAsia="en-AU"/>
              </w:rPr>
            </w:pPr>
            <w:r w:rsidRPr="00972862">
              <w:rPr>
                <w:rFonts w:ascii="Calibri" w:eastAsia="Times New Roman" w:hAnsi="Calibri" w:cs="Calibri"/>
                <w:b/>
                <w:bCs/>
                <w:color w:val="FFFFFF"/>
                <w:sz w:val="20"/>
                <w:szCs w:val="20"/>
                <w:lang w:eastAsia="en-AU"/>
              </w:rPr>
              <w:t>Suitable Applicants                (Average Number)</w:t>
            </w:r>
          </w:p>
        </w:tc>
        <w:tc>
          <w:tcPr>
            <w:tcW w:w="1464" w:type="dxa"/>
            <w:tcBorders>
              <w:top w:val="single" w:sz="8" w:space="0" w:color="auto"/>
              <w:left w:val="nil"/>
              <w:bottom w:val="single" w:sz="4" w:space="0" w:color="auto"/>
              <w:right w:val="single" w:sz="8" w:space="0" w:color="auto"/>
            </w:tcBorders>
            <w:shd w:val="clear" w:color="000000" w:fill="427730"/>
            <w:vAlign w:val="center"/>
            <w:hideMark/>
          </w:tcPr>
          <w:p w:rsidR="00ED02DA" w:rsidRPr="00972862" w:rsidRDefault="00ED02DA" w:rsidP="00ED02DA">
            <w:pPr>
              <w:spacing w:after="0" w:line="240" w:lineRule="auto"/>
              <w:jc w:val="center"/>
              <w:rPr>
                <w:rFonts w:ascii="Calibri" w:eastAsia="Times New Roman" w:hAnsi="Calibri" w:cs="Calibri"/>
                <w:b/>
                <w:bCs/>
                <w:color w:val="FFFFFF"/>
                <w:sz w:val="20"/>
                <w:szCs w:val="20"/>
                <w:lang w:eastAsia="en-AU"/>
              </w:rPr>
            </w:pPr>
            <w:r w:rsidRPr="00972862">
              <w:rPr>
                <w:rFonts w:ascii="Calibri" w:eastAsia="Times New Roman" w:hAnsi="Calibri" w:cs="Calibri"/>
                <w:b/>
                <w:bCs/>
                <w:color w:val="FFFFFF"/>
                <w:sz w:val="20"/>
                <w:szCs w:val="20"/>
                <w:lang w:eastAsia="en-AU"/>
              </w:rPr>
              <w:t>%Will Recruit</w:t>
            </w:r>
          </w:p>
        </w:tc>
      </w:tr>
      <w:tr w:rsidR="00ED02DA" w:rsidRPr="009515C3" w:rsidTr="00ED02DA">
        <w:trPr>
          <w:trHeight w:val="182"/>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Bundaberg-Hervey Bay PEA 2013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62%</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11.0</w:t>
            </w:r>
          </w:p>
        </w:tc>
        <w:tc>
          <w:tcPr>
            <w:tcW w:w="2268" w:type="dxa"/>
            <w:tcBorders>
              <w:top w:val="nil"/>
              <w:left w:val="nil"/>
              <w:bottom w:val="single" w:sz="4" w:space="0" w:color="auto"/>
              <w:right w:val="single" w:sz="4" w:space="0" w:color="auto"/>
            </w:tcBorders>
            <w:shd w:val="clear" w:color="auto" w:fill="auto"/>
            <w:noWrap/>
            <w:vAlign w:val="center"/>
            <w:hideMark/>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1.5</w:t>
            </w:r>
          </w:p>
        </w:tc>
        <w:tc>
          <w:tcPr>
            <w:tcW w:w="1464" w:type="dxa"/>
            <w:tcBorders>
              <w:top w:val="nil"/>
              <w:left w:val="nil"/>
              <w:bottom w:val="single" w:sz="4" w:space="0" w:color="auto"/>
              <w:right w:val="single" w:sz="8" w:space="0" w:color="auto"/>
            </w:tcBorders>
            <w:shd w:val="clear" w:color="auto" w:fill="auto"/>
            <w:noWrap/>
            <w:vAlign w:val="center"/>
            <w:hideMark/>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37%</w:t>
            </w:r>
          </w:p>
        </w:tc>
      </w:tr>
      <w:tr w:rsidR="00ED02DA" w:rsidRPr="009515C3" w:rsidTr="00ED02DA">
        <w:trPr>
          <w:trHeight w:val="263"/>
        </w:trPr>
        <w:tc>
          <w:tcPr>
            <w:tcW w:w="3369" w:type="dxa"/>
            <w:tcBorders>
              <w:top w:val="nil"/>
              <w:left w:val="single" w:sz="8" w:space="0" w:color="auto"/>
              <w:bottom w:val="single" w:sz="8" w:space="0" w:color="auto"/>
              <w:right w:val="single" w:sz="8" w:space="0" w:color="auto"/>
            </w:tcBorders>
            <w:shd w:val="clear" w:color="auto" w:fill="auto"/>
            <w:vAlign w:val="center"/>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Bundaberg-Hervey Bay PEA 2012</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63%</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7.7</w:t>
            </w:r>
          </w:p>
        </w:tc>
        <w:tc>
          <w:tcPr>
            <w:tcW w:w="2268" w:type="dxa"/>
            <w:tcBorders>
              <w:top w:val="nil"/>
              <w:left w:val="nil"/>
              <w:bottom w:val="single" w:sz="4" w:space="0" w:color="auto"/>
              <w:right w:val="single" w:sz="4" w:space="0" w:color="auto"/>
            </w:tcBorders>
            <w:shd w:val="clear" w:color="auto" w:fill="auto"/>
            <w:noWrap/>
            <w:vAlign w:val="center"/>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2.1</w:t>
            </w:r>
          </w:p>
        </w:tc>
        <w:tc>
          <w:tcPr>
            <w:tcW w:w="1464" w:type="dxa"/>
            <w:tcBorders>
              <w:top w:val="nil"/>
              <w:left w:val="nil"/>
              <w:bottom w:val="single" w:sz="4" w:space="0" w:color="auto"/>
              <w:right w:val="single" w:sz="8" w:space="0" w:color="auto"/>
            </w:tcBorders>
            <w:shd w:val="clear" w:color="auto" w:fill="auto"/>
            <w:noWrap/>
            <w:vAlign w:val="center"/>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48%</w:t>
            </w:r>
          </w:p>
        </w:tc>
      </w:tr>
      <w:tr w:rsidR="00ED02DA" w:rsidRPr="009515C3" w:rsidTr="00ED02DA">
        <w:trPr>
          <w:trHeight w:val="252"/>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ED02DA" w:rsidRPr="009515C3" w:rsidRDefault="00ED02DA" w:rsidP="00ED02D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All regions</w:t>
            </w:r>
            <w:r w:rsidRPr="009515C3">
              <w:rPr>
                <w:rFonts w:ascii="Calibri" w:eastAsia="Times New Roman" w:hAnsi="Calibri" w:cs="Calibri"/>
                <w:color w:val="000000"/>
                <w:lang w:eastAsia="en-AU"/>
              </w:rPr>
              <w:t xml:space="preserve"> Combined (9 Months)</w:t>
            </w:r>
            <w:r w:rsidRPr="009515C3">
              <w:rPr>
                <w:rStyle w:val="FootnoteReference"/>
                <w:rFonts w:ascii="Calibri" w:eastAsia="Times New Roman" w:hAnsi="Calibri" w:cs="Calibri"/>
                <w:color w:val="000000"/>
                <w:lang w:eastAsia="en-AU"/>
              </w:rPr>
              <w:footnoteReference w:id="9"/>
            </w:r>
          </w:p>
        </w:tc>
        <w:tc>
          <w:tcPr>
            <w:tcW w:w="1275" w:type="dxa"/>
            <w:tcBorders>
              <w:top w:val="nil"/>
              <w:left w:val="single" w:sz="4" w:space="0" w:color="auto"/>
              <w:bottom w:val="single" w:sz="8" w:space="0" w:color="auto"/>
              <w:right w:val="single" w:sz="4" w:space="0" w:color="auto"/>
            </w:tcBorders>
            <w:shd w:val="clear" w:color="auto" w:fill="auto"/>
            <w:noWrap/>
            <w:vAlign w:val="center"/>
            <w:hideMark/>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62%</w:t>
            </w:r>
          </w:p>
        </w:tc>
        <w:tc>
          <w:tcPr>
            <w:tcW w:w="2410" w:type="dxa"/>
            <w:tcBorders>
              <w:top w:val="nil"/>
              <w:left w:val="single" w:sz="4" w:space="0" w:color="auto"/>
              <w:bottom w:val="single" w:sz="8" w:space="0" w:color="auto"/>
              <w:right w:val="single" w:sz="4" w:space="0" w:color="auto"/>
            </w:tcBorders>
            <w:shd w:val="clear" w:color="auto" w:fill="auto"/>
            <w:noWrap/>
            <w:vAlign w:val="center"/>
            <w:hideMark/>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10.1</w:t>
            </w:r>
          </w:p>
        </w:tc>
        <w:tc>
          <w:tcPr>
            <w:tcW w:w="2268" w:type="dxa"/>
            <w:tcBorders>
              <w:top w:val="nil"/>
              <w:left w:val="nil"/>
              <w:bottom w:val="single" w:sz="8" w:space="0" w:color="auto"/>
              <w:right w:val="single" w:sz="4" w:space="0" w:color="auto"/>
            </w:tcBorders>
            <w:shd w:val="clear" w:color="auto" w:fill="auto"/>
            <w:noWrap/>
            <w:vAlign w:val="center"/>
            <w:hideMark/>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1.5</w:t>
            </w:r>
          </w:p>
        </w:tc>
        <w:tc>
          <w:tcPr>
            <w:tcW w:w="1464" w:type="dxa"/>
            <w:tcBorders>
              <w:top w:val="nil"/>
              <w:left w:val="nil"/>
              <w:bottom w:val="single" w:sz="8" w:space="0" w:color="auto"/>
              <w:right w:val="single" w:sz="8" w:space="0" w:color="auto"/>
            </w:tcBorders>
            <w:shd w:val="clear" w:color="auto" w:fill="auto"/>
            <w:noWrap/>
            <w:vAlign w:val="center"/>
            <w:hideMark/>
          </w:tcPr>
          <w:p w:rsidR="00ED02DA" w:rsidRPr="009515C3" w:rsidRDefault="00ED02DA" w:rsidP="00ED02DA">
            <w:pPr>
              <w:spacing w:after="0" w:line="240" w:lineRule="auto"/>
              <w:jc w:val="center"/>
              <w:rPr>
                <w:rFonts w:ascii="Calibri" w:eastAsia="Times New Roman" w:hAnsi="Calibri" w:cs="Calibri"/>
                <w:color w:val="000000"/>
                <w:lang w:eastAsia="en-AU"/>
              </w:rPr>
            </w:pPr>
            <w:r w:rsidRPr="009515C3">
              <w:rPr>
                <w:rFonts w:ascii="Calibri" w:eastAsia="Times New Roman" w:hAnsi="Calibri" w:cs="Calibri"/>
                <w:color w:val="000000"/>
                <w:lang w:eastAsia="en-AU"/>
              </w:rPr>
              <w:t>39%</w:t>
            </w:r>
          </w:p>
        </w:tc>
      </w:tr>
    </w:tbl>
    <w:p w:rsidR="00ED02DA" w:rsidRPr="00ED02DA" w:rsidRDefault="00AB4D7E" w:rsidP="00ED02DA">
      <w:pPr>
        <w:pStyle w:val="ListParagraph"/>
        <w:numPr>
          <w:ilvl w:val="0"/>
          <w:numId w:val="26"/>
        </w:numPr>
        <w:spacing w:after="0"/>
        <w:ind w:left="357" w:hanging="357"/>
      </w:pPr>
      <w:r>
        <w:t xml:space="preserve">While </w:t>
      </w:r>
      <w:r w:rsidR="002924A9">
        <w:t>37 per cent of employers expected to recruit</w:t>
      </w:r>
      <w:r w:rsidR="00ED02DA">
        <w:t xml:space="preserve"> in the </w:t>
      </w:r>
      <w:r>
        <w:t>12 months following the survey</w:t>
      </w:r>
      <w:r w:rsidR="002924A9">
        <w:t>, only 17 per cent exp</w:t>
      </w:r>
      <w:r>
        <w:t xml:space="preserve">ected to increase staff numbers over the same period. </w:t>
      </w:r>
    </w:p>
    <w:p w:rsidR="00267902" w:rsidRPr="007F1D22" w:rsidRDefault="001E2AA5" w:rsidP="00ED02DA">
      <w:pPr>
        <w:pStyle w:val="Subtitle"/>
        <w:spacing w:before="120" w:after="0" w:line="240" w:lineRule="auto"/>
        <w:rPr>
          <w:iCs w:val="0"/>
          <w:color w:val="336600"/>
          <w:spacing w:val="5"/>
          <w:sz w:val="28"/>
          <w:szCs w:val="28"/>
        </w:rPr>
      </w:pPr>
      <w:r w:rsidRPr="007F1D22">
        <w:rPr>
          <w:iCs w:val="0"/>
          <w:color w:val="336600"/>
          <w:spacing w:val="5"/>
          <w:sz w:val="28"/>
          <w:szCs w:val="28"/>
        </w:rPr>
        <w:t>Where are the opportunities?</w:t>
      </w:r>
    </w:p>
    <w:p w:rsidR="00C31CB6" w:rsidRPr="00505EEB" w:rsidRDefault="0045208B" w:rsidP="00346354">
      <w:pPr>
        <w:pStyle w:val="ListBullet2"/>
        <w:numPr>
          <w:ilvl w:val="0"/>
          <w:numId w:val="0"/>
        </w:numPr>
        <w:spacing w:after="0" w:line="264" w:lineRule="auto"/>
        <w:contextualSpacing w:val="0"/>
        <w:rPr>
          <w:color w:val="000000" w:themeColor="text1"/>
        </w:rPr>
      </w:pPr>
      <w:r>
        <w:rPr>
          <w:color w:val="000000" w:themeColor="text1"/>
        </w:rPr>
        <w:t xml:space="preserve">Employers </w:t>
      </w:r>
      <w:r w:rsidR="00AB4D7E">
        <w:rPr>
          <w:color w:val="000000" w:themeColor="text1"/>
        </w:rPr>
        <w:t>are currently having</w:t>
      </w:r>
      <w:r>
        <w:rPr>
          <w:color w:val="000000" w:themeColor="text1"/>
        </w:rPr>
        <w:t xml:space="preserve"> difficulty fill</w:t>
      </w:r>
      <w:r w:rsidR="00394E83">
        <w:rPr>
          <w:color w:val="000000" w:themeColor="text1"/>
        </w:rPr>
        <w:t>ing</w:t>
      </w:r>
      <w:r>
        <w:rPr>
          <w:color w:val="000000" w:themeColor="text1"/>
        </w:rPr>
        <w:t xml:space="preserve"> vacancies for Child Carers, Early Childhood (Pre-primary schoo</w:t>
      </w:r>
      <w:r w:rsidR="000511F4">
        <w:rPr>
          <w:color w:val="000000" w:themeColor="text1"/>
        </w:rPr>
        <w:t>l) Teachers, and Truck Drivers.</w:t>
      </w:r>
      <w:r w:rsidR="009D3BAD">
        <w:rPr>
          <w:color w:val="000000" w:themeColor="text1"/>
        </w:rPr>
        <w:t xml:space="preserve"> Over the next 12 months</w:t>
      </w:r>
      <w:r w:rsidR="004305A1">
        <w:rPr>
          <w:color w:val="000000" w:themeColor="text1"/>
        </w:rPr>
        <w:t>,</w:t>
      </w:r>
      <w:r w:rsidR="00032A3D">
        <w:rPr>
          <w:color w:val="000000" w:themeColor="text1"/>
        </w:rPr>
        <w:t xml:space="preserve"> </w:t>
      </w:r>
      <w:r w:rsidR="009D3BAD">
        <w:rPr>
          <w:color w:val="000000" w:themeColor="text1"/>
        </w:rPr>
        <w:t>e</w:t>
      </w:r>
      <w:r w:rsidR="00032A3D">
        <w:rPr>
          <w:color w:val="000000" w:themeColor="text1"/>
        </w:rPr>
        <w:t>mployers expected to recruit for</w:t>
      </w:r>
      <w:r w:rsidR="00650E82">
        <w:rPr>
          <w:color w:val="000000" w:themeColor="text1"/>
        </w:rPr>
        <w:t xml:space="preserve"> a variety of</w:t>
      </w:r>
      <w:r w:rsidR="00032A3D">
        <w:rPr>
          <w:color w:val="000000" w:themeColor="text1"/>
        </w:rPr>
        <w:t xml:space="preserve"> occupations such as Sales Assistants (General),</w:t>
      </w:r>
      <w:r w:rsidR="00596749" w:rsidRPr="00596749">
        <w:rPr>
          <w:color w:val="000000" w:themeColor="text1"/>
        </w:rPr>
        <w:t xml:space="preserve"> </w:t>
      </w:r>
      <w:r w:rsidR="00596749">
        <w:rPr>
          <w:color w:val="000000" w:themeColor="text1"/>
        </w:rPr>
        <w:t>General Clerks,</w:t>
      </w:r>
      <w:r w:rsidR="00032A3D">
        <w:rPr>
          <w:color w:val="000000" w:themeColor="text1"/>
        </w:rPr>
        <w:t xml:space="preserve"> </w:t>
      </w:r>
      <w:r w:rsidR="00596749">
        <w:rPr>
          <w:color w:val="000000" w:themeColor="text1"/>
        </w:rPr>
        <w:t>Receptionists,</w:t>
      </w:r>
      <w:r w:rsidR="00596749" w:rsidRPr="00596749">
        <w:rPr>
          <w:color w:val="000000" w:themeColor="text1"/>
        </w:rPr>
        <w:t xml:space="preserve"> </w:t>
      </w:r>
      <w:r w:rsidR="00596749">
        <w:rPr>
          <w:color w:val="000000" w:themeColor="text1"/>
        </w:rPr>
        <w:t>Real Estate Sales Agents, Bar Attendants and Baristas, Nursing</w:t>
      </w:r>
      <w:r w:rsidR="00032A3D">
        <w:rPr>
          <w:color w:val="000000" w:themeColor="text1"/>
        </w:rPr>
        <w:t xml:space="preserve"> Support and Personal Care workers,</w:t>
      </w:r>
      <w:r w:rsidR="00596749">
        <w:rPr>
          <w:color w:val="000000" w:themeColor="text1"/>
        </w:rPr>
        <w:t xml:space="preserve"> Child Carers,</w:t>
      </w:r>
      <w:r w:rsidR="00032A3D">
        <w:rPr>
          <w:color w:val="000000" w:themeColor="text1"/>
        </w:rPr>
        <w:t xml:space="preserve"> </w:t>
      </w:r>
      <w:r w:rsidR="00596749">
        <w:rPr>
          <w:color w:val="000000" w:themeColor="text1"/>
        </w:rPr>
        <w:t xml:space="preserve">Motor Mechanics </w:t>
      </w:r>
      <w:r w:rsidR="00032A3D">
        <w:rPr>
          <w:color w:val="000000" w:themeColor="text1"/>
        </w:rPr>
        <w:t xml:space="preserve">and Truck Drivers.  </w:t>
      </w:r>
    </w:p>
    <w:sectPr w:rsidR="00C31CB6" w:rsidRPr="00505EEB" w:rsidSect="004305A1">
      <w:headerReference w:type="default" r:id="rId10"/>
      <w:footerReference w:type="default" r:id="rId11"/>
      <w:type w:val="continuous"/>
      <w:pgSz w:w="11906" w:h="16838"/>
      <w:pgMar w:top="720" w:right="566" w:bottom="568"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C8" w:rsidRDefault="007349C8" w:rsidP="007349C8">
      <w:pPr>
        <w:spacing w:after="0" w:line="240" w:lineRule="auto"/>
      </w:pPr>
      <w:r>
        <w:separator/>
      </w:r>
    </w:p>
  </w:endnote>
  <w:endnote w:type="continuationSeparator" w:id="0">
    <w:p w:rsidR="007349C8" w:rsidRDefault="007349C8" w:rsidP="0073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54" w:rsidRPr="00AA5767" w:rsidRDefault="00346354" w:rsidP="00346354">
    <w:pPr>
      <w:pStyle w:val="ListBullet"/>
      <w:numPr>
        <w:ilvl w:val="0"/>
        <w:numId w:val="0"/>
      </w:numPr>
      <w:tabs>
        <w:tab w:val="left" w:pos="5529"/>
      </w:tabs>
      <w:spacing w:after="0" w:line="240" w:lineRule="auto"/>
      <w:ind w:right="1961"/>
      <w:rPr>
        <w:sz w:val="18"/>
        <w:szCs w:val="18"/>
      </w:rPr>
    </w:pPr>
    <w:r w:rsidRPr="00AA5767">
      <w:rPr>
        <w:sz w:val="18"/>
        <w:szCs w:val="18"/>
      </w:rPr>
      <w:t xml:space="preserve">Further information can be found at </w:t>
    </w:r>
    <w:hyperlink r:id="rId1" w:history="1">
      <w:r w:rsidRPr="00AA5767">
        <w:rPr>
          <w:rStyle w:val="Hyperlink"/>
          <w:sz w:val="18"/>
          <w:szCs w:val="18"/>
        </w:rPr>
        <w:t>www.employment.gov.au/regionalreports</w:t>
      </w:r>
    </w:hyperlink>
    <w:r w:rsidRPr="00AA5767">
      <w:rPr>
        <w:sz w:val="18"/>
        <w:szCs w:val="18"/>
      </w:rPr>
      <w:t xml:space="preserve">, </w:t>
    </w:r>
    <w:r w:rsidRPr="00AA5767">
      <w:rPr>
        <w:sz w:val="18"/>
        <w:szCs w:val="18"/>
      </w:rPr>
      <w:br/>
      <w:t>on 1800 059 439 or email recruitmentsurveys@deewr.gov.au</w:t>
    </w:r>
  </w:p>
  <w:p w:rsidR="00346354" w:rsidRDefault="00346354">
    <w:pPr>
      <w:pStyle w:val="Footer"/>
    </w:pPr>
  </w:p>
  <w:p w:rsidR="00B409EF" w:rsidRDefault="00B409EF" w:rsidP="00C17D9D">
    <w:pPr>
      <w:pStyle w:val="ListBullet"/>
      <w:numPr>
        <w:ilvl w:val="0"/>
        <w:numId w:val="0"/>
      </w:numPr>
      <w:spacing w:after="0" w:line="240" w:lineRule="auto"/>
      <w:ind w:left="-851" w:right="35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C8" w:rsidRDefault="007349C8" w:rsidP="007349C8">
      <w:pPr>
        <w:spacing w:after="0" w:line="240" w:lineRule="auto"/>
      </w:pPr>
      <w:r>
        <w:separator/>
      </w:r>
    </w:p>
  </w:footnote>
  <w:footnote w:type="continuationSeparator" w:id="0">
    <w:p w:rsidR="007349C8" w:rsidRDefault="007349C8" w:rsidP="007349C8">
      <w:pPr>
        <w:spacing w:after="0" w:line="240" w:lineRule="auto"/>
      </w:pPr>
      <w:r>
        <w:continuationSeparator/>
      </w:r>
    </w:p>
  </w:footnote>
  <w:footnote w:id="1">
    <w:p w:rsidR="00C85D81" w:rsidRPr="009E6AC3" w:rsidRDefault="00C85D81" w:rsidP="00C85D81">
      <w:pPr>
        <w:pStyle w:val="FootnoteText"/>
        <w:rPr>
          <w:rFonts w:asciiTheme="minorHAnsi" w:hAnsiTheme="minorHAnsi" w:cstheme="minorHAnsi"/>
          <w:sz w:val="14"/>
          <w:szCs w:val="14"/>
        </w:rPr>
      </w:pPr>
      <w:r w:rsidRPr="009E6AC3">
        <w:rPr>
          <w:rStyle w:val="FootnoteReference"/>
          <w:rFonts w:asciiTheme="minorHAnsi" w:hAnsiTheme="minorHAnsi" w:cstheme="minorHAnsi"/>
          <w:sz w:val="14"/>
          <w:szCs w:val="14"/>
        </w:rPr>
        <w:footnoteRef/>
      </w:r>
      <w:r w:rsidRPr="009E6AC3">
        <w:rPr>
          <w:rFonts w:asciiTheme="minorHAnsi" w:hAnsiTheme="minorHAnsi" w:cstheme="minorHAnsi"/>
          <w:sz w:val="14"/>
          <w:szCs w:val="14"/>
        </w:rPr>
        <w:t xml:space="preserve"> Department of Employment, Small Area Labour Market data, </w:t>
      </w:r>
      <w:r w:rsidR="00D059C4">
        <w:rPr>
          <w:rFonts w:asciiTheme="minorHAnsi" w:hAnsiTheme="minorHAnsi" w:cstheme="minorHAnsi"/>
          <w:sz w:val="14"/>
          <w:szCs w:val="14"/>
        </w:rPr>
        <w:t>December</w:t>
      </w:r>
      <w:r w:rsidRPr="009E6AC3">
        <w:rPr>
          <w:rFonts w:asciiTheme="minorHAnsi" w:hAnsiTheme="minorHAnsi" w:cstheme="minorHAnsi"/>
          <w:sz w:val="14"/>
          <w:szCs w:val="14"/>
        </w:rPr>
        <w:t xml:space="preserve"> quarter 2013</w:t>
      </w:r>
    </w:p>
  </w:footnote>
  <w:footnote w:id="2">
    <w:p w:rsidR="000345BC" w:rsidRPr="000345BC" w:rsidRDefault="000345BC">
      <w:pPr>
        <w:pStyle w:val="FootnoteText"/>
        <w:rPr>
          <w:rFonts w:asciiTheme="minorHAnsi" w:hAnsiTheme="minorHAnsi" w:cstheme="minorHAnsi"/>
          <w:sz w:val="14"/>
          <w:szCs w:val="14"/>
        </w:rPr>
      </w:pPr>
      <w:r w:rsidRPr="000345BC">
        <w:rPr>
          <w:rStyle w:val="FootnoteReference"/>
          <w:rFonts w:asciiTheme="minorHAnsi" w:hAnsiTheme="minorHAnsi" w:cstheme="minorHAnsi"/>
          <w:sz w:val="14"/>
          <w:szCs w:val="14"/>
        </w:rPr>
        <w:footnoteRef/>
      </w:r>
      <w:r w:rsidRPr="000345BC">
        <w:rPr>
          <w:rFonts w:asciiTheme="minorHAnsi" w:hAnsiTheme="minorHAnsi" w:cstheme="minorHAnsi"/>
          <w:sz w:val="14"/>
          <w:szCs w:val="14"/>
        </w:rPr>
        <w:t xml:space="preserve"> ABS, Census of Population and Housing, 2011</w:t>
      </w:r>
    </w:p>
  </w:footnote>
  <w:footnote w:id="3">
    <w:p w:rsidR="009E6AC3" w:rsidRPr="009E6AC3" w:rsidRDefault="009E6AC3">
      <w:pPr>
        <w:pStyle w:val="FootnoteText"/>
        <w:rPr>
          <w:rFonts w:asciiTheme="minorHAnsi" w:hAnsiTheme="minorHAnsi" w:cstheme="minorHAnsi"/>
          <w:sz w:val="14"/>
          <w:szCs w:val="14"/>
        </w:rPr>
      </w:pPr>
      <w:r w:rsidRPr="009E6AC3">
        <w:rPr>
          <w:rStyle w:val="FootnoteReference"/>
          <w:rFonts w:asciiTheme="minorHAnsi" w:hAnsiTheme="minorHAnsi" w:cstheme="minorHAnsi"/>
          <w:sz w:val="14"/>
          <w:szCs w:val="14"/>
        </w:rPr>
        <w:footnoteRef/>
      </w:r>
      <w:r w:rsidRPr="009E6AC3">
        <w:rPr>
          <w:rFonts w:asciiTheme="minorHAnsi" w:hAnsiTheme="minorHAnsi" w:cstheme="minorHAnsi"/>
          <w:sz w:val="14"/>
          <w:szCs w:val="14"/>
        </w:rPr>
        <w:t xml:space="preserve"> </w:t>
      </w:r>
      <w:r w:rsidR="00C85D81">
        <w:rPr>
          <w:rFonts w:asciiTheme="minorHAnsi" w:hAnsiTheme="minorHAnsi" w:cstheme="minorHAnsi"/>
          <w:sz w:val="14"/>
          <w:szCs w:val="14"/>
        </w:rPr>
        <w:t xml:space="preserve">ABS, </w:t>
      </w:r>
      <w:r w:rsidR="00441FD7">
        <w:rPr>
          <w:rFonts w:asciiTheme="minorHAnsi" w:hAnsiTheme="minorHAnsi" w:cstheme="minorHAnsi"/>
          <w:sz w:val="14"/>
          <w:szCs w:val="14"/>
        </w:rPr>
        <w:t>Estimated Residential Population</w:t>
      </w:r>
      <w:r w:rsidRPr="009E6AC3">
        <w:rPr>
          <w:rFonts w:asciiTheme="minorHAnsi" w:hAnsiTheme="minorHAnsi" w:cstheme="minorHAnsi"/>
          <w:sz w:val="14"/>
          <w:szCs w:val="14"/>
        </w:rPr>
        <w:t>, 2006-2011</w:t>
      </w:r>
    </w:p>
  </w:footnote>
  <w:footnote w:id="4">
    <w:p w:rsidR="00564FC7" w:rsidRDefault="00564FC7" w:rsidP="00564FC7">
      <w:pPr>
        <w:pStyle w:val="FootnoteText"/>
      </w:pPr>
      <w:r w:rsidRPr="00757761">
        <w:rPr>
          <w:rStyle w:val="FootnoteReference"/>
          <w:rFonts w:asciiTheme="minorHAnsi" w:hAnsiTheme="minorHAnsi" w:cstheme="minorHAnsi"/>
          <w:sz w:val="14"/>
          <w:szCs w:val="14"/>
        </w:rPr>
        <w:footnoteRef/>
      </w:r>
      <w:r>
        <w:rPr>
          <w:rFonts w:asciiTheme="minorHAnsi" w:hAnsiTheme="minorHAnsi" w:cstheme="minorHAnsi"/>
          <w:sz w:val="14"/>
          <w:szCs w:val="14"/>
        </w:rPr>
        <w:t xml:space="preserve"> Ibid.</w:t>
      </w:r>
    </w:p>
  </w:footnote>
  <w:footnote w:id="5">
    <w:p w:rsidR="00564FC7" w:rsidRPr="009E6AC3" w:rsidRDefault="00564FC7" w:rsidP="00564FC7">
      <w:pPr>
        <w:pStyle w:val="FootnoteText"/>
        <w:rPr>
          <w:rFonts w:asciiTheme="minorHAnsi" w:hAnsiTheme="minorHAnsi" w:cstheme="minorHAnsi"/>
          <w:sz w:val="14"/>
          <w:szCs w:val="14"/>
        </w:rPr>
      </w:pPr>
      <w:r w:rsidRPr="009E6AC3">
        <w:rPr>
          <w:rStyle w:val="FootnoteReference"/>
          <w:rFonts w:asciiTheme="minorHAnsi" w:hAnsiTheme="minorHAnsi" w:cstheme="minorHAnsi"/>
          <w:sz w:val="14"/>
          <w:szCs w:val="14"/>
        </w:rPr>
        <w:footnoteRef/>
      </w:r>
      <w:r w:rsidRPr="009E6AC3">
        <w:rPr>
          <w:rFonts w:asciiTheme="minorHAnsi" w:hAnsiTheme="minorHAnsi" w:cstheme="minorHAnsi"/>
          <w:iCs/>
          <w:sz w:val="14"/>
          <w:szCs w:val="14"/>
        </w:rPr>
        <w:t xml:space="preserve"> ABS, Census of Population and Housing</w:t>
      </w:r>
      <w:r w:rsidRPr="004305A1">
        <w:rPr>
          <w:rFonts w:asciiTheme="minorHAnsi" w:hAnsiTheme="minorHAnsi" w:cstheme="minorHAnsi"/>
          <w:iCs/>
          <w:sz w:val="14"/>
          <w:szCs w:val="14"/>
        </w:rPr>
        <w:t>, 2006 and 2011</w:t>
      </w:r>
      <w:r>
        <w:rPr>
          <w:rFonts w:asciiTheme="minorHAnsi" w:hAnsiTheme="minorHAnsi" w:cstheme="minorHAnsi"/>
          <w:iCs/>
          <w:sz w:val="14"/>
          <w:szCs w:val="14"/>
        </w:rPr>
        <w:t xml:space="preserve"> </w:t>
      </w:r>
    </w:p>
  </w:footnote>
  <w:footnote w:id="6">
    <w:p w:rsidR="00532AAF" w:rsidRPr="009E6AC3" w:rsidRDefault="00532AAF">
      <w:pPr>
        <w:pStyle w:val="FootnoteText"/>
        <w:rPr>
          <w:rFonts w:asciiTheme="minorHAnsi" w:hAnsiTheme="minorHAnsi" w:cstheme="minorHAnsi"/>
          <w:sz w:val="14"/>
          <w:szCs w:val="14"/>
        </w:rPr>
      </w:pPr>
      <w:r w:rsidRPr="009E6AC3">
        <w:rPr>
          <w:rStyle w:val="FootnoteReference"/>
          <w:rFonts w:asciiTheme="minorHAnsi" w:hAnsiTheme="minorHAnsi" w:cstheme="minorHAnsi"/>
          <w:sz w:val="14"/>
          <w:szCs w:val="14"/>
        </w:rPr>
        <w:footnoteRef/>
      </w:r>
      <w:r w:rsidRPr="009E6AC3">
        <w:rPr>
          <w:rFonts w:asciiTheme="minorHAnsi" w:hAnsiTheme="minorHAnsi" w:cstheme="minorHAnsi"/>
          <w:sz w:val="14"/>
          <w:szCs w:val="14"/>
        </w:rPr>
        <w:t xml:space="preserve"> </w:t>
      </w:r>
      <w:r w:rsidR="005B0F92" w:rsidRPr="009E6AC3">
        <w:rPr>
          <w:rFonts w:asciiTheme="minorHAnsi" w:hAnsiTheme="minorHAnsi" w:cstheme="minorHAnsi"/>
          <w:sz w:val="14"/>
          <w:szCs w:val="14"/>
        </w:rPr>
        <w:t>Department of Employment</w:t>
      </w:r>
      <w:r w:rsidRPr="009E6AC3">
        <w:rPr>
          <w:rFonts w:asciiTheme="minorHAnsi" w:hAnsiTheme="minorHAnsi" w:cstheme="minorHAnsi"/>
          <w:sz w:val="14"/>
          <w:szCs w:val="14"/>
        </w:rPr>
        <w:t xml:space="preserve">, Administrative data, </w:t>
      </w:r>
      <w:r w:rsidR="00041014" w:rsidRPr="009E6AC3">
        <w:rPr>
          <w:rFonts w:asciiTheme="minorHAnsi" w:hAnsiTheme="minorHAnsi" w:cstheme="minorHAnsi"/>
          <w:sz w:val="14"/>
          <w:szCs w:val="14"/>
        </w:rPr>
        <w:t>December</w:t>
      </w:r>
      <w:r w:rsidRPr="009E6AC3">
        <w:rPr>
          <w:rFonts w:asciiTheme="minorHAnsi" w:hAnsiTheme="minorHAnsi" w:cstheme="minorHAnsi"/>
          <w:sz w:val="14"/>
          <w:szCs w:val="14"/>
        </w:rPr>
        <w:t xml:space="preserve"> 2013; Estimated Resident Population, 2011</w:t>
      </w:r>
    </w:p>
  </w:footnote>
  <w:footnote w:id="7">
    <w:p w:rsidR="004F269B" w:rsidRPr="009E6AC3" w:rsidRDefault="004F269B">
      <w:pPr>
        <w:pStyle w:val="FootnoteText"/>
        <w:rPr>
          <w:rFonts w:asciiTheme="minorHAnsi" w:hAnsiTheme="minorHAnsi" w:cstheme="minorHAnsi"/>
          <w:sz w:val="14"/>
          <w:szCs w:val="14"/>
        </w:rPr>
      </w:pPr>
      <w:r w:rsidRPr="009E6AC3">
        <w:rPr>
          <w:rStyle w:val="FootnoteReference"/>
          <w:rFonts w:asciiTheme="minorHAnsi" w:hAnsiTheme="minorHAnsi" w:cstheme="minorHAnsi"/>
          <w:sz w:val="14"/>
          <w:szCs w:val="14"/>
        </w:rPr>
        <w:footnoteRef/>
      </w:r>
      <w:r w:rsidRPr="009E6AC3">
        <w:rPr>
          <w:rStyle w:val="FootnoteReference"/>
          <w:rFonts w:asciiTheme="minorHAnsi" w:hAnsiTheme="minorHAnsi" w:cstheme="minorHAnsi"/>
          <w:sz w:val="14"/>
          <w:szCs w:val="14"/>
        </w:rPr>
        <w:t xml:space="preserve"> </w:t>
      </w:r>
      <w:r w:rsidRPr="009E6AC3">
        <w:rPr>
          <w:rFonts w:asciiTheme="minorHAnsi" w:hAnsiTheme="minorHAnsi" w:cstheme="minorHAnsi"/>
          <w:iCs/>
          <w:sz w:val="14"/>
          <w:szCs w:val="14"/>
        </w:rPr>
        <w:t xml:space="preserve">ABS Labour Force Survey, </w:t>
      </w:r>
      <w:r w:rsidR="005C1F94" w:rsidRPr="009E6AC3">
        <w:rPr>
          <w:rFonts w:asciiTheme="minorHAnsi" w:hAnsiTheme="minorHAnsi" w:cstheme="minorHAnsi"/>
          <w:iCs/>
          <w:sz w:val="14"/>
          <w:szCs w:val="14"/>
        </w:rPr>
        <w:t>January 2014</w:t>
      </w:r>
      <w:r w:rsidR="00C3746E" w:rsidRPr="009E6AC3">
        <w:rPr>
          <w:rFonts w:asciiTheme="minorHAnsi" w:hAnsiTheme="minorHAnsi" w:cstheme="minorHAnsi"/>
          <w:iCs/>
          <w:sz w:val="14"/>
          <w:szCs w:val="14"/>
        </w:rPr>
        <w:t xml:space="preserve"> (seasonally adjusted)</w:t>
      </w:r>
    </w:p>
  </w:footnote>
  <w:footnote w:id="8">
    <w:p w:rsidR="001E2AA5" w:rsidRPr="009E6AC3" w:rsidRDefault="001E2AA5">
      <w:pPr>
        <w:pStyle w:val="FootnoteText"/>
        <w:rPr>
          <w:rFonts w:asciiTheme="minorHAnsi" w:hAnsiTheme="minorHAnsi" w:cstheme="minorHAnsi"/>
          <w:sz w:val="14"/>
          <w:szCs w:val="14"/>
        </w:rPr>
      </w:pPr>
      <w:r w:rsidRPr="009E6AC3">
        <w:rPr>
          <w:rStyle w:val="FootnoteReference"/>
          <w:rFonts w:asciiTheme="minorHAnsi" w:hAnsiTheme="minorHAnsi" w:cstheme="minorHAnsi"/>
          <w:sz w:val="14"/>
          <w:szCs w:val="14"/>
        </w:rPr>
        <w:footnoteRef/>
      </w:r>
      <w:r w:rsidRPr="009E6AC3">
        <w:rPr>
          <w:rStyle w:val="FootnoteReference"/>
          <w:rFonts w:asciiTheme="minorHAnsi" w:hAnsiTheme="minorHAnsi" w:cstheme="minorHAnsi"/>
          <w:sz w:val="14"/>
          <w:szCs w:val="14"/>
        </w:rPr>
        <w:t xml:space="preserve"> </w:t>
      </w:r>
      <w:r w:rsidRPr="009E6AC3">
        <w:rPr>
          <w:rFonts w:asciiTheme="minorHAnsi" w:hAnsiTheme="minorHAnsi" w:cstheme="minorHAnsi"/>
          <w:sz w:val="14"/>
          <w:szCs w:val="14"/>
        </w:rPr>
        <w:t>Based on a Survey of Employers’ Recruitment Experiences</w:t>
      </w:r>
      <w:r w:rsidR="0053563D" w:rsidRPr="009E6AC3">
        <w:rPr>
          <w:rFonts w:asciiTheme="minorHAnsi" w:hAnsiTheme="minorHAnsi" w:cstheme="minorHAnsi"/>
          <w:sz w:val="14"/>
          <w:szCs w:val="14"/>
        </w:rPr>
        <w:t xml:space="preserve"> of 383</w:t>
      </w:r>
      <w:r w:rsidR="00100AF4" w:rsidRPr="009E6AC3">
        <w:rPr>
          <w:rFonts w:asciiTheme="minorHAnsi" w:hAnsiTheme="minorHAnsi" w:cstheme="minorHAnsi"/>
          <w:sz w:val="14"/>
          <w:szCs w:val="14"/>
        </w:rPr>
        <w:t xml:space="preserve"> employers</w:t>
      </w:r>
      <w:r w:rsidR="003D68EA" w:rsidRPr="009E6AC3">
        <w:rPr>
          <w:rFonts w:asciiTheme="minorHAnsi" w:hAnsiTheme="minorHAnsi" w:cstheme="minorHAnsi"/>
          <w:sz w:val="14"/>
          <w:szCs w:val="14"/>
        </w:rPr>
        <w:t xml:space="preserve"> undertaken by </w:t>
      </w:r>
      <w:r w:rsidR="00F81FCE">
        <w:rPr>
          <w:rFonts w:asciiTheme="minorHAnsi" w:hAnsiTheme="minorHAnsi" w:cstheme="minorHAnsi"/>
          <w:sz w:val="14"/>
          <w:szCs w:val="14"/>
        </w:rPr>
        <w:t xml:space="preserve">the </w:t>
      </w:r>
      <w:r w:rsidR="00F81FCE" w:rsidRPr="00AA5767">
        <w:rPr>
          <w:rFonts w:asciiTheme="minorHAnsi" w:hAnsiTheme="minorHAnsi" w:cstheme="minorHAnsi"/>
          <w:sz w:val="18"/>
          <w:szCs w:val="18"/>
        </w:rPr>
        <w:t>Labour Market &amp; Analysis Branch</w:t>
      </w:r>
      <w:r w:rsidR="00F81FCE">
        <w:rPr>
          <w:rFonts w:asciiTheme="minorHAnsi" w:hAnsiTheme="minorHAnsi" w:cstheme="minorHAnsi"/>
          <w:sz w:val="14"/>
          <w:szCs w:val="14"/>
        </w:rPr>
        <w:t xml:space="preserve"> </w:t>
      </w:r>
      <w:r w:rsidR="003D68EA" w:rsidRPr="009E6AC3">
        <w:rPr>
          <w:rFonts w:asciiTheme="minorHAnsi" w:hAnsiTheme="minorHAnsi" w:cstheme="minorHAnsi"/>
          <w:sz w:val="14"/>
          <w:szCs w:val="14"/>
        </w:rPr>
        <w:t xml:space="preserve">in </w:t>
      </w:r>
      <w:r w:rsidR="0053563D" w:rsidRPr="009E6AC3">
        <w:rPr>
          <w:rFonts w:asciiTheme="minorHAnsi" w:hAnsiTheme="minorHAnsi" w:cstheme="minorHAnsi"/>
          <w:sz w:val="14"/>
          <w:szCs w:val="14"/>
        </w:rPr>
        <w:t>December</w:t>
      </w:r>
      <w:r w:rsidR="003D68EA" w:rsidRPr="009E6AC3">
        <w:rPr>
          <w:rFonts w:asciiTheme="minorHAnsi" w:hAnsiTheme="minorHAnsi" w:cstheme="minorHAnsi"/>
          <w:sz w:val="14"/>
          <w:szCs w:val="14"/>
        </w:rPr>
        <w:t xml:space="preserve"> 2013</w:t>
      </w:r>
    </w:p>
  </w:footnote>
  <w:footnote w:id="9">
    <w:p w:rsidR="00ED02DA" w:rsidRDefault="00ED02DA" w:rsidP="00ED02DA">
      <w:pPr>
        <w:pStyle w:val="FootnoteText"/>
      </w:pPr>
      <w:r w:rsidRPr="009E6AC3">
        <w:rPr>
          <w:rStyle w:val="FootnoteReference"/>
          <w:rFonts w:asciiTheme="minorHAnsi" w:hAnsiTheme="minorHAnsi" w:cstheme="minorHAnsi"/>
          <w:sz w:val="14"/>
          <w:szCs w:val="14"/>
        </w:rPr>
        <w:footnoteRef/>
      </w:r>
      <w:r w:rsidRPr="009E6AC3">
        <w:rPr>
          <w:rStyle w:val="FootnoteReference"/>
          <w:rFonts w:asciiTheme="minorHAnsi" w:hAnsiTheme="minorHAnsi" w:cstheme="minorHAnsi"/>
          <w:sz w:val="14"/>
          <w:szCs w:val="14"/>
        </w:rPr>
        <w:t xml:space="preserve"> </w:t>
      </w:r>
      <w:r w:rsidRPr="009E6AC3">
        <w:rPr>
          <w:rFonts w:asciiTheme="minorHAnsi" w:hAnsiTheme="minorHAnsi" w:cstheme="minorHAnsi"/>
          <w:sz w:val="14"/>
          <w:szCs w:val="14"/>
        </w:rPr>
        <w:t>Most Recent Combined, 9 months to November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54" w:rsidRDefault="00346354">
    <w:pPr>
      <w:pStyle w:val="Header"/>
    </w:pPr>
    <w:r w:rsidRPr="00A36D9A">
      <w:rPr>
        <w:iCs/>
        <w:noProof/>
        <w:color w:val="336600"/>
        <w:spacing w:val="5"/>
        <w:sz w:val="56"/>
        <w:szCs w:val="52"/>
        <w:lang w:eastAsia="en-AU"/>
      </w:rPr>
      <w:drawing>
        <wp:anchor distT="0" distB="0" distL="114300" distR="114300" simplePos="0" relativeHeight="251659264" behindDoc="0" locked="0" layoutInCell="1" allowOverlap="1" wp14:anchorId="59F98B0A" wp14:editId="5557E8F5">
          <wp:simplePos x="0" y="0"/>
          <wp:positionH relativeFrom="column">
            <wp:posOffset>1943100</wp:posOffset>
          </wp:positionH>
          <wp:positionV relativeFrom="paragraph">
            <wp:posOffset>-307340</wp:posOffset>
          </wp:positionV>
          <wp:extent cx="2419350" cy="561975"/>
          <wp:effectExtent l="0" t="0" r="0" b="9525"/>
          <wp:wrapSquare wrapText="bothSides"/>
          <wp:docPr id="2" name="Picture 1" descr="Dept Employment_Inl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ept Employment_Inl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7F1D22" w:rsidRDefault="007F1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5C21B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6F649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9D80A2AA"/>
    <w:lvl w:ilvl="0">
      <w:start w:val="1"/>
      <w:numFmt w:val="bullet"/>
      <w:lvlText w:val=""/>
      <w:lvlJc w:val="left"/>
      <w:pPr>
        <w:tabs>
          <w:tab w:val="num" w:pos="360"/>
        </w:tabs>
        <w:ind w:left="360" w:hanging="360"/>
      </w:pPr>
      <w:rPr>
        <w:rFonts w:ascii="Symbol" w:hAnsi="Symbol" w:hint="default"/>
      </w:rPr>
    </w:lvl>
  </w:abstractNum>
  <w:abstractNum w:abstractNumId="10">
    <w:nsid w:val="06300975"/>
    <w:multiLevelType w:val="hybridMultilevel"/>
    <w:tmpl w:val="91EC7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620ED4"/>
    <w:multiLevelType w:val="hybridMultilevel"/>
    <w:tmpl w:val="673A9CB4"/>
    <w:lvl w:ilvl="0" w:tplc="4E741702">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FDF1F70"/>
    <w:multiLevelType w:val="hybridMultilevel"/>
    <w:tmpl w:val="03DA3DBA"/>
    <w:lvl w:ilvl="0" w:tplc="CA22F8B0">
      <w:start w:val="1"/>
      <w:numFmt w:val="bullet"/>
      <w:lvlText w:val=""/>
      <w:lvlJc w:val="left"/>
      <w:pPr>
        <w:ind w:left="360" w:hanging="360"/>
      </w:pPr>
      <w:rPr>
        <w:rFonts w:ascii="Symbol" w:hAnsi="Symbol" w:hint="default"/>
        <w:sz w:val="24"/>
        <w:szCs w:val="24"/>
      </w:rPr>
    </w:lvl>
    <w:lvl w:ilvl="1" w:tplc="D8163D9C">
      <w:start w:val="5"/>
      <w:numFmt w:val="bullet"/>
      <w:lvlText w:val="-"/>
      <w:lvlJc w:val="left"/>
      <w:pPr>
        <w:ind w:left="1080" w:hanging="360"/>
      </w:pPr>
      <w:rPr>
        <w:rFonts w:ascii="Calibri" w:eastAsiaTheme="minorEastAsia" w:hAnsi="Calibri" w:cs="Calibri" w:hint="default"/>
        <w:sz w:val="22"/>
        <w:szCs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3776B20"/>
    <w:multiLevelType w:val="hybridMultilevel"/>
    <w:tmpl w:val="C9A8CAF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5133AB5"/>
    <w:multiLevelType w:val="hybridMultilevel"/>
    <w:tmpl w:val="D64E21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9670B9"/>
    <w:multiLevelType w:val="hybridMultilevel"/>
    <w:tmpl w:val="1EB8BEC6"/>
    <w:lvl w:ilvl="0" w:tplc="BEC8911C">
      <w:start w:val="5"/>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23577BA0"/>
    <w:multiLevelType w:val="hybridMultilevel"/>
    <w:tmpl w:val="CC16E77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087C83"/>
    <w:multiLevelType w:val="hybridMultilevel"/>
    <w:tmpl w:val="FCA616EE"/>
    <w:lvl w:ilvl="0" w:tplc="BEC8911C">
      <w:start w:val="5"/>
      <w:numFmt w:val="bullet"/>
      <w:lvlText w:val="-"/>
      <w:lvlJc w:val="left"/>
      <w:pPr>
        <w:ind w:left="786" w:hanging="360"/>
      </w:pPr>
      <w:rPr>
        <w:rFonts w:ascii="Calibri" w:eastAsiaTheme="minorEastAsia"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nsid w:val="3A9531B9"/>
    <w:multiLevelType w:val="hybridMultilevel"/>
    <w:tmpl w:val="9FC600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3D46544D"/>
    <w:multiLevelType w:val="hybridMultilevel"/>
    <w:tmpl w:val="DB60A010"/>
    <w:lvl w:ilvl="0" w:tplc="0394902E">
      <w:start w:val="7"/>
      <w:numFmt w:val="bullet"/>
      <w:lvlText w:val="-"/>
      <w:lvlJc w:val="left"/>
      <w:pPr>
        <w:ind w:left="360" w:hanging="360"/>
      </w:pPr>
      <w:rPr>
        <w:rFonts w:ascii="Calibri" w:eastAsiaTheme="minorEastAsia"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93C3F78"/>
    <w:multiLevelType w:val="hybridMultilevel"/>
    <w:tmpl w:val="3D0A3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90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61B7F1F"/>
    <w:multiLevelType w:val="hybridMultilevel"/>
    <w:tmpl w:val="480C87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nsid w:val="70E9712B"/>
    <w:multiLevelType w:val="hybridMultilevel"/>
    <w:tmpl w:val="948410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8"/>
  </w:num>
  <w:num w:numId="15">
    <w:abstractNumId w:val="15"/>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4"/>
  </w:num>
  <w:num w:numId="20">
    <w:abstractNumId w:val="14"/>
  </w:num>
  <w:num w:numId="21">
    <w:abstractNumId w:val="19"/>
  </w:num>
  <w:num w:numId="22">
    <w:abstractNumId w:val="16"/>
  </w:num>
  <w:num w:numId="23">
    <w:abstractNumId w:val="24"/>
  </w:num>
  <w:num w:numId="24">
    <w:abstractNumId w:val="9"/>
  </w:num>
  <w:num w:numId="25">
    <w:abstractNumId w:val="17"/>
  </w:num>
  <w:num w:numId="26">
    <w:abstractNumId w:val="13"/>
  </w:num>
  <w:num w:numId="27">
    <w:abstractNumId w:val="22"/>
  </w:num>
  <w:num w:numId="28">
    <w:abstractNumId w:val="10"/>
  </w:num>
  <w:num w:numId="29">
    <w:abstractNumId w:val="27"/>
  </w:num>
  <w:num w:numId="30">
    <w:abstractNumId w:val="21"/>
  </w:num>
  <w:num w:numId="31">
    <w:abstractNumId w:val="23"/>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78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593"/>
    <w:rsid w:val="00002721"/>
    <w:rsid w:val="00021979"/>
    <w:rsid w:val="00021FE2"/>
    <w:rsid w:val="00023DBF"/>
    <w:rsid w:val="00024E24"/>
    <w:rsid w:val="000254ED"/>
    <w:rsid w:val="0002734F"/>
    <w:rsid w:val="00032A3D"/>
    <w:rsid w:val="000345BC"/>
    <w:rsid w:val="00041014"/>
    <w:rsid w:val="000511F4"/>
    <w:rsid w:val="000749E2"/>
    <w:rsid w:val="00077D4D"/>
    <w:rsid w:val="000861A6"/>
    <w:rsid w:val="000930CC"/>
    <w:rsid w:val="000B176D"/>
    <w:rsid w:val="000B7296"/>
    <w:rsid w:val="000C57C3"/>
    <w:rsid w:val="000D4EE6"/>
    <w:rsid w:val="000E421C"/>
    <w:rsid w:val="000E5630"/>
    <w:rsid w:val="000E73E0"/>
    <w:rsid w:val="000F3BA2"/>
    <w:rsid w:val="000F7090"/>
    <w:rsid w:val="00100AF4"/>
    <w:rsid w:val="0010350F"/>
    <w:rsid w:val="001111BE"/>
    <w:rsid w:val="00114E4F"/>
    <w:rsid w:val="001170D4"/>
    <w:rsid w:val="001175BF"/>
    <w:rsid w:val="001246CA"/>
    <w:rsid w:val="00125E63"/>
    <w:rsid w:val="0013123A"/>
    <w:rsid w:val="0013485F"/>
    <w:rsid w:val="00143FCD"/>
    <w:rsid w:val="00145DE3"/>
    <w:rsid w:val="001469EC"/>
    <w:rsid w:val="00146E38"/>
    <w:rsid w:val="00151183"/>
    <w:rsid w:val="00153B26"/>
    <w:rsid w:val="00160384"/>
    <w:rsid w:val="00163A56"/>
    <w:rsid w:val="0016401E"/>
    <w:rsid w:val="001811D2"/>
    <w:rsid w:val="0019190D"/>
    <w:rsid w:val="001919B8"/>
    <w:rsid w:val="001974B9"/>
    <w:rsid w:val="001A4D41"/>
    <w:rsid w:val="001A6A3A"/>
    <w:rsid w:val="001B42E5"/>
    <w:rsid w:val="001B6467"/>
    <w:rsid w:val="001B6D44"/>
    <w:rsid w:val="001C0A62"/>
    <w:rsid w:val="001E0E07"/>
    <w:rsid w:val="001E283A"/>
    <w:rsid w:val="001E2AA5"/>
    <w:rsid w:val="001E649B"/>
    <w:rsid w:val="001F232D"/>
    <w:rsid w:val="001F3955"/>
    <w:rsid w:val="002052C6"/>
    <w:rsid w:val="00221FE8"/>
    <w:rsid w:val="00222614"/>
    <w:rsid w:val="00223EB1"/>
    <w:rsid w:val="00236917"/>
    <w:rsid w:val="00241D88"/>
    <w:rsid w:val="00246E66"/>
    <w:rsid w:val="0025069C"/>
    <w:rsid w:val="0025319C"/>
    <w:rsid w:val="00255568"/>
    <w:rsid w:val="00255C65"/>
    <w:rsid w:val="00266566"/>
    <w:rsid w:val="00267902"/>
    <w:rsid w:val="00272D7B"/>
    <w:rsid w:val="00285A67"/>
    <w:rsid w:val="002924A9"/>
    <w:rsid w:val="00293D1B"/>
    <w:rsid w:val="00295D61"/>
    <w:rsid w:val="00295F43"/>
    <w:rsid w:val="002A2150"/>
    <w:rsid w:val="002B06E6"/>
    <w:rsid w:val="002B1671"/>
    <w:rsid w:val="002B1D56"/>
    <w:rsid w:val="002C19E3"/>
    <w:rsid w:val="002D0D1A"/>
    <w:rsid w:val="002D271F"/>
    <w:rsid w:val="002D6386"/>
    <w:rsid w:val="002E3EA7"/>
    <w:rsid w:val="002E502C"/>
    <w:rsid w:val="002F0897"/>
    <w:rsid w:val="00305B35"/>
    <w:rsid w:val="00307186"/>
    <w:rsid w:val="00310618"/>
    <w:rsid w:val="003144D1"/>
    <w:rsid w:val="003201A6"/>
    <w:rsid w:val="003222EE"/>
    <w:rsid w:val="0032639C"/>
    <w:rsid w:val="00346354"/>
    <w:rsid w:val="003752D4"/>
    <w:rsid w:val="00377F31"/>
    <w:rsid w:val="003803BD"/>
    <w:rsid w:val="00383B45"/>
    <w:rsid w:val="00386795"/>
    <w:rsid w:val="003925E5"/>
    <w:rsid w:val="00394E83"/>
    <w:rsid w:val="003A0E15"/>
    <w:rsid w:val="003A1E1A"/>
    <w:rsid w:val="003B10A0"/>
    <w:rsid w:val="003B6548"/>
    <w:rsid w:val="003C3739"/>
    <w:rsid w:val="003D68EA"/>
    <w:rsid w:val="003D69EA"/>
    <w:rsid w:val="003E3A65"/>
    <w:rsid w:val="003F060E"/>
    <w:rsid w:val="00406E5A"/>
    <w:rsid w:val="00410738"/>
    <w:rsid w:val="004139A6"/>
    <w:rsid w:val="00413C64"/>
    <w:rsid w:val="00424943"/>
    <w:rsid w:val="004305A1"/>
    <w:rsid w:val="004338EE"/>
    <w:rsid w:val="00441FD7"/>
    <w:rsid w:val="00443944"/>
    <w:rsid w:val="00445359"/>
    <w:rsid w:val="00447A3A"/>
    <w:rsid w:val="004500DA"/>
    <w:rsid w:val="004510C9"/>
    <w:rsid w:val="00451112"/>
    <w:rsid w:val="0045208B"/>
    <w:rsid w:val="00455B34"/>
    <w:rsid w:val="0046093F"/>
    <w:rsid w:val="00462281"/>
    <w:rsid w:val="00471027"/>
    <w:rsid w:val="00477F52"/>
    <w:rsid w:val="00481201"/>
    <w:rsid w:val="004A0327"/>
    <w:rsid w:val="004A05D7"/>
    <w:rsid w:val="004A1868"/>
    <w:rsid w:val="004A49A8"/>
    <w:rsid w:val="004A66E2"/>
    <w:rsid w:val="004A7CE3"/>
    <w:rsid w:val="004B176C"/>
    <w:rsid w:val="004B256F"/>
    <w:rsid w:val="004C7A66"/>
    <w:rsid w:val="004E1087"/>
    <w:rsid w:val="004E416F"/>
    <w:rsid w:val="004F269B"/>
    <w:rsid w:val="00505EEB"/>
    <w:rsid w:val="00530620"/>
    <w:rsid w:val="00530EC3"/>
    <w:rsid w:val="00531817"/>
    <w:rsid w:val="00531C21"/>
    <w:rsid w:val="00531CE8"/>
    <w:rsid w:val="00532AAF"/>
    <w:rsid w:val="0053563D"/>
    <w:rsid w:val="00541383"/>
    <w:rsid w:val="00542C8B"/>
    <w:rsid w:val="005433BB"/>
    <w:rsid w:val="00546036"/>
    <w:rsid w:val="00547470"/>
    <w:rsid w:val="00552307"/>
    <w:rsid w:val="00557199"/>
    <w:rsid w:val="005624F3"/>
    <w:rsid w:val="00564FC7"/>
    <w:rsid w:val="0056501A"/>
    <w:rsid w:val="00573ACE"/>
    <w:rsid w:val="00576CFC"/>
    <w:rsid w:val="005811EF"/>
    <w:rsid w:val="00585E5A"/>
    <w:rsid w:val="00586BDB"/>
    <w:rsid w:val="00592251"/>
    <w:rsid w:val="00592D79"/>
    <w:rsid w:val="00594239"/>
    <w:rsid w:val="00596749"/>
    <w:rsid w:val="005A4828"/>
    <w:rsid w:val="005A5966"/>
    <w:rsid w:val="005B0878"/>
    <w:rsid w:val="005B0F92"/>
    <w:rsid w:val="005B3728"/>
    <w:rsid w:val="005B6F0A"/>
    <w:rsid w:val="005C1F94"/>
    <w:rsid w:val="005C473C"/>
    <w:rsid w:val="005C4D74"/>
    <w:rsid w:val="005D004F"/>
    <w:rsid w:val="005D3936"/>
    <w:rsid w:val="005D5AE8"/>
    <w:rsid w:val="005D632A"/>
    <w:rsid w:val="005E18AE"/>
    <w:rsid w:val="005E6CEE"/>
    <w:rsid w:val="005E799F"/>
    <w:rsid w:val="00610654"/>
    <w:rsid w:val="00621680"/>
    <w:rsid w:val="0062379A"/>
    <w:rsid w:val="0063008D"/>
    <w:rsid w:val="0063248C"/>
    <w:rsid w:val="00633210"/>
    <w:rsid w:val="00634516"/>
    <w:rsid w:val="00634807"/>
    <w:rsid w:val="006420BF"/>
    <w:rsid w:val="00645E62"/>
    <w:rsid w:val="006463BA"/>
    <w:rsid w:val="00650E82"/>
    <w:rsid w:val="00657D35"/>
    <w:rsid w:val="00660AA4"/>
    <w:rsid w:val="00665519"/>
    <w:rsid w:val="00666BA3"/>
    <w:rsid w:val="006813A5"/>
    <w:rsid w:val="006864C3"/>
    <w:rsid w:val="00686C08"/>
    <w:rsid w:val="00694DBF"/>
    <w:rsid w:val="0069559C"/>
    <w:rsid w:val="00696584"/>
    <w:rsid w:val="006A7BFE"/>
    <w:rsid w:val="006B3178"/>
    <w:rsid w:val="006B5278"/>
    <w:rsid w:val="006C0D7D"/>
    <w:rsid w:val="006C1746"/>
    <w:rsid w:val="006D64B4"/>
    <w:rsid w:val="006E0579"/>
    <w:rsid w:val="006F2DB2"/>
    <w:rsid w:val="006F3BB9"/>
    <w:rsid w:val="00703CF9"/>
    <w:rsid w:val="00705B13"/>
    <w:rsid w:val="00705CAF"/>
    <w:rsid w:val="007072C6"/>
    <w:rsid w:val="00710D9A"/>
    <w:rsid w:val="00716DBE"/>
    <w:rsid w:val="007210AF"/>
    <w:rsid w:val="007253AB"/>
    <w:rsid w:val="007301E3"/>
    <w:rsid w:val="007349C8"/>
    <w:rsid w:val="00742886"/>
    <w:rsid w:val="00747F3B"/>
    <w:rsid w:val="00757761"/>
    <w:rsid w:val="00761817"/>
    <w:rsid w:val="0076380E"/>
    <w:rsid w:val="00780860"/>
    <w:rsid w:val="00791DE2"/>
    <w:rsid w:val="00792CA3"/>
    <w:rsid w:val="007A5F7C"/>
    <w:rsid w:val="007B0AF3"/>
    <w:rsid w:val="007B2C34"/>
    <w:rsid w:val="007B2FDD"/>
    <w:rsid w:val="007D5370"/>
    <w:rsid w:val="007E1944"/>
    <w:rsid w:val="007E6286"/>
    <w:rsid w:val="007F086D"/>
    <w:rsid w:val="007F08E2"/>
    <w:rsid w:val="007F194F"/>
    <w:rsid w:val="007F1D22"/>
    <w:rsid w:val="007F4807"/>
    <w:rsid w:val="008022CA"/>
    <w:rsid w:val="00806560"/>
    <w:rsid w:val="00811230"/>
    <w:rsid w:val="00814F1E"/>
    <w:rsid w:val="008163CE"/>
    <w:rsid w:val="00823B3A"/>
    <w:rsid w:val="008264B8"/>
    <w:rsid w:val="0083468A"/>
    <w:rsid w:val="00842D43"/>
    <w:rsid w:val="00845ACC"/>
    <w:rsid w:val="00875A56"/>
    <w:rsid w:val="00876B3F"/>
    <w:rsid w:val="00891232"/>
    <w:rsid w:val="00892A91"/>
    <w:rsid w:val="00895387"/>
    <w:rsid w:val="008A1CCE"/>
    <w:rsid w:val="008A2FAA"/>
    <w:rsid w:val="008A44B7"/>
    <w:rsid w:val="008B045F"/>
    <w:rsid w:val="008B06B2"/>
    <w:rsid w:val="008B3572"/>
    <w:rsid w:val="008B45F3"/>
    <w:rsid w:val="008E0800"/>
    <w:rsid w:val="008E45E7"/>
    <w:rsid w:val="009010C4"/>
    <w:rsid w:val="009048B6"/>
    <w:rsid w:val="00905FD1"/>
    <w:rsid w:val="009116EA"/>
    <w:rsid w:val="00933671"/>
    <w:rsid w:val="0094064B"/>
    <w:rsid w:val="009515C3"/>
    <w:rsid w:val="00953185"/>
    <w:rsid w:val="009567E4"/>
    <w:rsid w:val="00964D72"/>
    <w:rsid w:val="00972862"/>
    <w:rsid w:val="00980094"/>
    <w:rsid w:val="00984879"/>
    <w:rsid w:val="00985632"/>
    <w:rsid w:val="00987047"/>
    <w:rsid w:val="00987410"/>
    <w:rsid w:val="00991B63"/>
    <w:rsid w:val="0099681C"/>
    <w:rsid w:val="009A218A"/>
    <w:rsid w:val="009A6BDC"/>
    <w:rsid w:val="009B2428"/>
    <w:rsid w:val="009B44EC"/>
    <w:rsid w:val="009B5CB7"/>
    <w:rsid w:val="009C3B12"/>
    <w:rsid w:val="009D3764"/>
    <w:rsid w:val="009D3BAD"/>
    <w:rsid w:val="009E0265"/>
    <w:rsid w:val="009E5F23"/>
    <w:rsid w:val="009E6AC3"/>
    <w:rsid w:val="009E6EB9"/>
    <w:rsid w:val="009F0D8B"/>
    <w:rsid w:val="009F7E9F"/>
    <w:rsid w:val="00A05736"/>
    <w:rsid w:val="00A05CFB"/>
    <w:rsid w:val="00A15B94"/>
    <w:rsid w:val="00A23842"/>
    <w:rsid w:val="00A2425D"/>
    <w:rsid w:val="00A2766A"/>
    <w:rsid w:val="00A31242"/>
    <w:rsid w:val="00A4001A"/>
    <w:rsid w:val="00A40385"/>
    <w:rsid w:val="00A52530"/>
    <w:rsid w:val="00A52E35"/>
    <w:rsid w:val="00A54B46"/>
    <w:rsid w:val="00A573BC"/>
    <w:rsid w:val="00A6018A"/>
    <w:rsid w:val="00A66E4D"/>
    <w:rsid w:val="00A70569"/>
    <w:rsid w:val="00A7619F"/>
    <w:rsid w:val="00A763D4"/>
    <w:rsid w:val="00A76F38"/>
    <w:rsid w:val="00A81519"/>
    <w:rsid w:val="00A91A73"/>
    <w:rsid w:val="00A92D9C"/>
    <w:rsid w:val="00A9313D"/>
    <w:rsid w:val="00A95F3B"/>
    <w:rsid w:val="00AA5767"/>
    <w:rsid w:val="00AB0724"/>
    <w:rsid w:val="00AB4D7E"/>
    <w:rsid w:val="00AB7FB8"/>
    <w:rsid w:val="00AC23A3"/>
    <w:rsid w:val="00AC5C04"/>
    <w:rsid w:val="00AC65DA"/>
    <w:rsid w:val="00AD548C"/>
    <w:rsid w:val="00AE08A7"/>
    <w:rsid w:val="00AE4341"/>
    <w:rsid w:val="00AF6E25"/>
    <w:rsid w:val="00AF6E85"/>
    <w:rsid w:val="00B074A6"/>
    <w:rsid w:val="00B10BD1"/>
    <w:rsid w:val="00B11903"/>
    <w:rsid w:val="00B23FD6"/>
    <w:rsid w:val="00B24D1A"/>
    <w:rsid w:val="00B300CE"/>
    <w:rsid w:val="00B3625D"/>
    <w:rsid w:val="00B3674C"/>
    <w:rsid w:val="00B409EF"/>
    <w:rsid w:val="00B40E45"/>
    <w:rsid w:val="00B45116"/>
    <w:rsid w:val="00B4635A"/>
    <w:rsid w:val="00B53981"/>
    <w:rsid w:val="00B6120A"/>
    <w:rsid w:val="00B626A5"/>
    <w:rsid w:val="00B6658D"/>
    <w:rsid w:val="00B7034E"/>
    <w:rsid w:val="00B71CAE"/>
    <w:rsid w:val="00B7403C"/>
    <w:rsid w:val="00B77A09"/>
    <w:rsid w:val="00B8434D"/>
    <w:rsid w:val="00B8652B"/>
    <w:rsid w:val="00B90EB5"/>
    <w:rsid w:val="00B9628B"/>
    <w:rsid w:val="00BB717A"/>
    <w:rsid w:val="00BC0908"/>
    <w:rsid w:val="00BC28C0"/>
    <w:rsid w:val="00BC5774"/>
    <w:rsid w:val="00BD5F90"/>
    <w:rsid w:val="00BF6435"/>
    <w:rsid w:val="00C03EDE"/>
    <w:rsid w:val="00C04021"/>
    <w:rsid w:val="00C05E74"/>
    <w:rsid w:val="00C10C19"/>
    <w:rsid w:val="00C17D9D"/>
    <w:rsid w:val="00C247AD"/>
    <w:rsid w:val="00C31CB6"/>
    <w:rsid w:val="00C31FC3"/>
    <w:rsid w:val="00C3457E"/>
    <w:rsid w:val="00C3746E"/>
    <w:rsid w:val="00C43F3E"/>
    <w:rsid w:val="00C5649C"/>
    <w:rsid w:val="00C56AD4"/>
    <w:rsid w:val="00C65C6F"/>
    <w:rsid w:val="00C72D27"/>
    <w:rsid w:val="00C762AE"/>
    <w:rsid w:val="00C76D13"/>
    <w:rsid w:val="00C8133D"/>
    <w:rsid w:val="00C8202C"/>
    <w:rsid w:val="00C85D81"/>
    <w:rsid w:val="00C92A5B"/>
    <w:rsid w:val="00C962E8"/>
    <w:rsid w:val="00CA354F"/>
    <w:rsid w:val="00CA46EC"/>
    <w:rsid w:val="00CA7605"/>
    <w:rsid w:val="00CA7B85"/>
    <w:rsid w:val="00CC437F"/>
    <w:rsid w:val="00CC60B0"/>
    <w:rsid w:val="00CD3B6C"/>
    <w:rsid w:val="00CD4515"/>
    <w:rsid w:val="00CD73CB"/>
    <w:rsid w:val="00CE1DA4"/>
    <w:rsid w:val="00CE4863"/>
    <w:rsid w:val="00CE6117"/>
    <w:rsid w:val="00D00C76"/>
    <w:rsid w:val="00D0261F"/>
    <w:rsid w:val="00D04991"/>
    <w:rsid w:val="00D0598F"/>
    <w:rsid w:val="00D059C4"/>
    <w:rsid w:val="00D06F44"/>
    <w:rsid w:val="00D13688"/>
    <w:rsid w:val="00D1394D"/>
    <w:rsid w:val="00D17848"/>
    <w:rsid w:val="00D21534"/>
    <w:rsid w:val="00D245BA"/>
    <w:rsid w:val="00D4291B"/>
    <w:rsid w:val="00D45209"/>
    <w:rsid w:val="00D53470"/>
    <w:rsid w:val="00D55C97"/>
    <w:rsid w:val="00D569C7"/>
    <w:rsid w:val="00D637C0"/>
    <w:rsid w:val="00D805A9"/>
    <w:rsid w:val="00D8076B"/>
    <w:rsid w:val="00D814D0"/>
    <w:rsid w:val="00D83FBC"/>
    <w:rsid w:val="00D878AE"/>
    <w:rsid w:val="00D90241"/>
    <w:rsid w:val="00D903FD"/>
    <w:rsid w:val="00D9622A"/>
    <w:rsid w:val="00D967F1"/>
    <w:rsid w:val="00D96B24"/>
    <w:rsid w:val="00D96C08"/>
    <w:rsid w:val="00DA74BC"/>
    <w:rsid w:val="00DB2553"/>
    <w:rsid w:val="00DB38AF"/>
    <w:rsid w:val="00DD2D6E"/>
    <w:rsid w:val="00DD5BE4"/>
    <w:rsid w:val="00DE2651"/>
    <w:rsid w:val="00DF76EF"/>
    <w:rsid w:val="00E04161"/>
    <w:rsid w:val="00E11BEA"/>
    <w:rsid w:val="00E11EDE"/>
    <w:rsid w:val="00E11F75"/>
    <w:rsid w:val="00E13CFE"/>
    <w:rsid w:val="00E15391"/>
    <w:rsid w:val="00E16C5B"/>
    <w:rsid w:val="00E32601"/>
    <w:rsid w:val="00E4294E"/>
    <w:rsid w:val="00E527B2"/>
    <w:rsid w:val="00E5500D"/>
    <w:rsid w:val="00E600F5"/>
    <w:rsid w:val="00E7032C"/>
    <w:rsid w:val="00E77F40"/>
    <w:rsid w:val="00E84A53"/>
    <w:rsid w:val="00E84C5F"/>
    <w:rsid w:val="00E856A0"/>
    <w:rsid w:val="00E87C48"/>
    <w:rsid w:val="00E90FDD"/>
    <w:rsid w:val="00E92FA2"/>
    <w:rsid w:val="00EA4E4B"/>
    <w:rsid w:val="00EA6C2F"/>
    <w:rsid w:val="00EA6DAD"/>
    <w:rsid w:val="00EA7DEF"/>
    <w:rsid w:val="00EB34D8"/>
    <w:rsid w:val="00EB5766"/>
    <w:rsid w:val="00EB7FD3"/>
    <w:rsid w:val="00EC30C5"/>
    <w:rsid w:val="00ED02DA"/>
    <w:rsid w:val="00ED3CCF"/>
    <w:rsid w:val="00ED43D2"/>
    <w:rsid w:val="00ED714D"/>
    <w:rsid w:val="00ED7550"/>
    <w:rsid w:val="00EE3B8C"/>
    <w:rsid w:val="00EF03DE"/>
    <w:rsid w:val="00EF052C"/>
    <w:rsid w:val="00EF1717"/>
    <w:rsid w:val="00EF6215"/>
    <w:rsid w:val="00EF69FD"/>
    <w:rsid w:val="00F00817"/>
    <w:rsid w:val="00F00F40"/>
    <w:rsid w:val="00F07C60"/>
    <w:rsid w:val="00F14D78"/>
    <w:rsid w:val="00F1739A"/>
    <w:rsid w:val="00F32065"/>
    <w:rsid w:val="00F34B97"/>
    <w:rsid w:val="00F355DF"/>
    <w:rsid w:val="00F52A6E"/>
    <w:rsid w:val="00F54393"/>
    <w:rsid w:val="00F54811"/>
    <w:rsid w:val="00F73A1F"/>
    <w:rsid w:val="00F77A61"/>
    <w:rsid w:val="00F81FCE"/>
    <w:rsid w:val="00F868F6"/>
    <w:rsid w:val="00F877BC"/>
    <w:rsid w:val="00F953AB"/>
    <w:rsid w:val="00F96D99"/>
    <w:rsid w:val="00FA209D"/>
    <w:rsid w:val="00FA4FA8"/>
    <w:rsid w:val="00FA53BF"/>
    <w:rsid w:val="00FB10CB"/>
    <w:rsid w:val="00FB1A40"/>
    <w:rsid w:val="00FB24C6"/>
    <w:rsid w:val="00FC0FB1"/>
    <w:rsid w:val="00FC380B"/>
    <w:rsid w:val="00FE5B33"/>
    <w:rsid w:val="00FF6501"/>
    <w:rsid w:val="00FF7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contextualSpacing/>
    </w:pPr>
  </w:style>
  <w:style w:type="paragraph" w:styleId="ListBullet4">
    <w:name w:val="List Bullet 4"/>
    <w:basedOn w:val="Normal"/>
    <w:uiPriority w:val="99"/>
    <w:unhideWhenUsed/>
    <w:rsid w:val="00CA46EC"/>
    <w:pPr>
      <w:numPr>
        <w:ilvl w:val="3"/>
        <w:numId w:val="16"/>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F060E"/>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F060E"/>
    <w:rPr>
      <w:rFonts w:ascii="Arial" w:eastAsia="Times New Roman" w:hAnsi="Arial" w:cs="Times New Roman"/>
      <w:sz w:val="20"/>
      <w:szCs w:val="20"/>
    </w:rPr>
  </w:style>
  <w:style w:type="character" w:styleId="FootnoteReference">
    <w:name w:val="footnote reference"/>
    <w:basedOn w:val="DefaultParagraphFont"/>
    <w:uiPriority w:val="99"/>
    <w:unhideWhenUsed/>
    <w:rsid w:val="003F060E"/>
    <w:rPr>
      <w:vertAlign w:val="superscript"/>
    </w:rPr>
  </w:style>
  <w:style w:type="table" w:styleId="LightShading-Accent1">
    <w:name w:val="Light Shading Accent 1"/>
    <w:basedOn w:val="TableNormal"/>
    <w:uiPriority w:val="60"/>
    <w:rsid w:val="003F060E"/>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074A6"/>
    <w:rPr>
      <w:color w:val="800080" w:themeColor="followedHyperlink"/>
      <w:u w:val="single"/>
    </w:rPr>
  </w:style>
  <w:style w:type="paragraph" w:styleId="NormalWeb">
    <w:name w:val="Normal (Web)"/>
    <w:basedOn w:val="Normal"/>
    <w:uiPriority w:val="99"/>
    <w:semiHidden/>
    <w:unhideWhenUsed/>
    <w:rsid w:val="009531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F3955"/>
    <w:rPr>
      <w:sz w:val="16"/>
      <w:szCs w:val="16"/>
    </w:rPr>
  </w:style>
  <w:style w:type="paragraph" w:styleId="CommentText">
    <w:name w:val="annotation text"/>
    <w:basedOn w:val="Normal"/>
    <w:link w:val="CommentTextChar"/>
    <w:uiPriority w:val="99"/>
    <w:semiHidden/>
    <w:unhideWhenUsed/>
    <w:rsid w:val="001F3955"/>
    <w:pPr>
      <w:spacing w:line="240" w:lineRule="auto"/>
    </w:pPr>
    <w:rPr>
      <w:sz w:val="20"/>
      <w:szCs w:val="20"/>
    </w:rPr>
  </w:style>
  <w:style w:type="character" w:customStyle="1" w:styleId="CommentTextChar">
    <w:name w:val="Comment Text Char"/>
    <w:basedOn w:val="DefaultParagraphFont"/>
    <w:link w:val="CommentText"/>
    <w:uiPriority w:val="99"/>
    <w:semiHidden/>
    <w:rsid w:val="001F3955"/>
    <w:rPr>
      <w:sz w:val="20"/>
      <w:szCs w:val="20"/>
    </w:rPr>
  </w:style>
  <w:style w:type="paragraph" w:styleId="CommentSubject">
    <w:name w:val="annotation subject"/>
    <w:basedOn w:val="CommentText"/>
    <w:next w:val="CommentText"/>
    <w:link w:val="CommentSubjectChar"/>
    <w:uiPriority w:val="99"/>
    <w:semiHidden/>
    <w:unhideWhenUsed/>
    <w:rsid w:val="001F3955"/>
    <w:rPr>
      <w:b/>
      <w:bCs/>
    </w:rPr>
  </w:style>
  <w:style w:type="character" w:customStyle="1" w:styleId="CommentSubjectChar">
    <w:name w:val="Comment Subject Char"/>
    <w:basedOn w:val="CommentTextChar"/>
    <w:link w:val="CommentSubject"/>
    <w:uiPriority w:val="99"/>
    <w:semiHidden/>
    <w:rsid w:val="001F3955"/>
    <w:rPr>
      <w:b/>
      <w:bCs/>
      <w:sz w:val="20"/>
      <w:szCs w:val="20"/>
    </w:rPr>
  </w:style>
  <w:style w:type="paragraph" w:styleId="EndnoteText">
    <w:name w:val="endnote text"/>
    <w:basedOn w:val="Normal"/>
    <w:link w:val="EndnoteTextChar"/>
    <w:uiPriority w:val="99"/>
    <w:semiHidden/>
    <w:unhideWhenUsed/>
    <w:rsid w:val="00145D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5DE3"/>
    <w:rPr>
      <w:sz w:val="20"/>
      <w:szCs w:val="20"/>
    </w:rPr>
  </w:style>
  <w:style w:type="character" w:styleId="EndnoteReference">
    <w:name w:val="endnote reference"/>
    <w:basedOn w:val="DefaultParagraphFont"/>
    <w:uiPriority w:val="99"/>
    <w:semiHidden/>
    <w:unhideWhenUsed/>
    <w:rsid w:val="00145DE3"/>
    <w:rPr>
      <w:vertAlign w:val="superscript"/>
    </w:rPr>
  </w:style>
  <w:style w:type="paragraph" w:styleId="Revision">
    <w:name w:val="Revision"/>
    <w:hidden/>
    <w:uiPriority w:val="99"/>
    <w:semiHidden/>
    <w:rsid w:val="00153B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contextualSpacing/>
    </w:pPr>
  </w:style>
  <w:style w:type="paragraph" w:styleId="ListBullet4">
    <w:name w:val="List Bullet 4"/>
    <w:basedOn w:val="Normal"/>
    <w:uiPriority w:val="99"/>
    <w:unhideWhenUsed/>
    <w:rsid w:val="00CA46EC"/>
    <w:pPr>
      <w:numPr>
        <w:ilvl w:val="3"/>
        <w:numId w:val="16"/>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F060E"/>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F060E"/>
    <w:rPr>
      <w:rFonts w:ascii="Arial" w:eastAsia="Times New Roman" w:hAnsi="Arial" w:cs="Times New Roman"/>
      <w:sz w:val="20"/>
      <w:szCs w:val="20"/>
    </w:rPr>
  </w:style>
  <w:style w:type="character" w:styleId="FootnoteReference">
    <w:name w:val="footnote reference"/>
    <w:basedOn w:val="DefaultParagraphFont"/>
    <w:uiPriority w:val="99"/>
    <w:unhideWhenUsed/>
    <w:rsid w:val="003F060E"/>
    <w:rPr>
      <w:vertAlign w:val="superscript"/>
    </w:rPr>
  </w:style>
  <w:style w:type="table" w:styleId="LightShading-Accent1">
    <w:name w:val="Light Shading Accent 1"/>
    <w:basedOn w:val="TableNormal"/>
    <w:uiPriority w:val="60"/>
    <w:rsid w:val="003F060E"/>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074A6"/>
    <w:rPr>
      <w:color w:val="800080" w:themeColor="followedHyperlink"/>
      <w:u w:val="single"/>
    </w:rPr>
  </w:style>
  <w:style w:type="paragraph" w:styleId="NormalWeb">
    <w:name w:val="Normal (Web)"/>
    <w:basedOn w:val="Normal"/>
    <w:uiPriority w:val="99"/>
    <w:semiHidden/>
    <w:unhideWhenUsed/>
    <w:rsid w:val="009531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F3955"/>
    <w:rPr>
      <w:sz w:val="16"/>
      <w:szCs w:val="16"/>
    </w:rPr>
  </w:style>
  <w:style w:type="paragraph" w:styleId="CommentText">
    <w:name w:val="annotation text"/>
    <w:basedOn w:val="Normal"/>
    <w:link w:val="CommentTextChar"/>
    <w:uiPriority w:val="99"/>
    <w:semiHidden/>
    <w:unhideWhenUsed/>
    <w:rsid w:val="001F3955"/>
    <w:pPr>
      <w:spacing w:line="240" w:lineRule="auto"/>
    </w:pPr>
    <w:rPr>
      <w:sz w:val="20"/>
      <w:szCs w:val="20"/>
    </w:rPr>
  </w:style>
  <w:style w:type="character" w:customStyle="1" w:styleId="CommentTextChar">
    <w:name w:val="Comment Text Char"/>
    <w:basedOn w:val="DefaultParagraphFont"/>
    <w:link w:val="CommentText"/>
    <w:uiPriority w:val="99"/>
    <w:semiHidden/>
    <w:rsid w:val="001F3955"/>
    <w:rPr>
      <w:sz w:val="20"/>
      <w:szCs w:val="20"/>
    </w:rPr>
  </w:style>
  <w:style w:type="paragraph" w:styleId="CommentSubject">
    <w:name w:val="annotation subject"/>
    <w:basedOn w:val="CommentText"/>
    <w:next w:val="CommentText"/>
    <w:link w:val="CommentSubjectChar"/>
    <w:uiPriority w:val="99"/>
    <w:semiHidden/>
    <w:unhideWhenUsed/>
    <w:rsid w:val="001F3955"/>
    <w:rPr>
      <w:b/>
      <w:bCs/>
    </w:rPr>
  </w:style>
  <w:style w:type="character" w:customStyle="1" w:styleId="CommentSubjectChar">
    <w:name w:val="Comment Subject Char"/>
    <w:basedOn w:val="CommentTextChar"/>
    <w:link w:val="CommentSubject"/>
    <w:uiPriority w:val="99"/>
    <w:semiHidden/>
    <w:rsid w:val="001F3955"/>
    <w:rPr>
      <w:b/>
      <w:bCs/>
      <w:sz w:val="20"/>
      <w:szCs w:val="20"/>
    </w:rPr>
  </w:style>
  <w:style w:type="paragraph" w:styleId="EndnoteText">
    <w:name w:val="endnote text"/>
    <w:basedOn w:val="Normal"/>
    <w:link w:val="EndnoteTextChar"/>
    <w:uiPriority w:val="99"/>
    <w:semiHidden/>
    <w:unhideWhenUsed/>
    <w:rsid w:val="00145D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5DE3"/>
    <w:rPr>
      <w:sz w:val="20"/>
      <w:szCs w:val="20"/>
    </w:rPr>
  </w:style>
  <w:style w:type="character" w:styleId="EndnoteReference">
    <w:name w:val="endnote reference"/>
    <w:basedOn w:val="DefaultParagraphFont"/>
    <w:uiPriority w:val="99"/>
    <w:semiHidden/>
    <w:unhideWhenUsed/>
    <w:rsid w:val="00145DE3"/>
    <w:rPr>
      <w:vertAlign w:val="superscript"/>
    </w:rPr>
  </w:style>
  <w:style w:type="paragraph" w:styleId="Revision">
    <w:name w:val="Revision"/>
    <w:hidden/>
    <w:uiPriority w:val="99"/>
    <w:semiHidden/>
    <w:rsid w:val="00153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76525547">
      <w:bodyDiv w:val="1"/>
      <w:marLeft w:val="0"/>
      <w:marRight w:val="0"/>
      <w:marTop w:val="0"/>
      <w:marBottom w:val="0"/>
      <w:divBdr>
        <w:top w:val="none" w:sz="0" w:space="0" w:color="auto"/>
        <w:left w:val="none" w:sz="0" w:space="0" w:color="auto"/>
        <w:bottom w:val="none" w:sz="0" w:space="0" w:color="auto"/>
        <w:right w:val="none" w:sz="0" w:space="0" w:color="auto"/>
      </w:divBdr>
    </w:div>
    <w:div w:id="644313764">
      <w:bodyDiv w:val="1"/>
      <w:marLeft w:val="0"/>
      <w:marRight w:val="0"/>
      <w:marTop w:val="0"/>
      <w:marBottom w:val="0"/>
      <w:divBdr>
        <w:top w:val="none" w:sz="0" w:space="0" w:color="auto"/>
        <w:left w:val="none" w:sz="0" w:space="0" w:color="auto"/>
        <w:bottom w:val="none" w:sz="0" w:space="0" w:color="auto"/>
        <w:right w:val="none" w:sz="0" w:space="0" w:color="auto"/>
      </w:divBdr>
    </w:div>
    <w:div w:id="805466232">
      <w:bodyDiv w:val="1"/>
      <w:marLeft w:val="0"/>
      <w:marRight w:val="0"/>
      <w:marTop w:val="0"/>
      <w:marBottom w:val="0"/>
      <w:divBdr>
        <w:top w:val="none" w:sz="0" w:space="0" w:color="auto"/>
        <w:left w:val="none" w:sz="0" w:space="0" w:color="auto"/>
        <w:bottom w:val="none" w:sz="0" w:space="0" w:color="auto"/>
        <w:right w:val="none" w:sz="0" w:space="0" w:color="auto"/>
      </w:divBdr>
    </w:div>
    <w:div w:id="1040131730">
      <w:bodyDiv w:val="1"/>
      <w:marLeft w:val="0"/>
      <w:marRight w:val="0"/>
      <w:marTop w:val="0"/>
      <w:marBottom w:val="0"/>
      <w:divBdr>
        <w:top w:val="none" w:sz="0" w:space="0" w:color="auto"/>
        <w:left w:val="none" w:sz="0" w:space="0" w:color="auto"/>
        <w:bottom w:val="none" w:sz="0" w:space="0" w:color="auto"/>
        <w:right w:val="none" w:sz="0" w:space="0" w:color="auto"/>
      </w:divBdr>
    </w:div>
    <w:div w:id="1048187755">
      <w:bodyDiv w:val="1"/>
      <w:marLeft w:val="0"/>
      <w:marRight w:val="0"/>
      <w:marTop w:val="0"/>
      <w:marBottom w:val="0"/>
      <w:divBdr>
        <w:top w:val="none" w:sz="0" w:space="0" w:color="auto"/>
        <w:left w:val="none" w:sz="0" w:space="0" w:color="auto"/>
        <w:bottom w:val="none" w:sz="0" w:space="0" w:color="auto"/>
        <w:right w:val="none" w:sz="0" w:space="0" w:color="auto"/>
      </w:divBdr>
    </w:div>
    <w:div w:id="1198005231">
      <w:bodyDiv w:val="1"/>
      <w:marLeft w:val="0"/>
      <w:marRight w:val="0"/>
      <w:marTop w:val="0"/>
      <w:marBottom w:val="0"/>
      <w:divBdr>
        <w:top w:val="none" w:sz="0" w:space="0" w:color="auto"/>
        <w:left w:val="none" w:sz="0" w:space="0" w:color="auto"/>
        <w:bottom w:val="none" w:sz="0" w:space="0" w:color="auto"/>
        <w:right w:val="none" w:sz="0" w:space="0" w:color="auto"/>
      </w:divBdr>
    </w:div>
    <w:div w:id="1220625832">
      <w:bodyDiv w:val="1"/>
      <w:marLeft w:val="0"/>
      <w:marRight w:val="0"/>
      <w:marTop w:val="0"/>
      <w:marBottom w:val="0"/>
      <w:divBdr>
        <w:top w:val="none" w:sz="0" w:space="0" w:color="auto"/>
        <w:left w:val="none" w:sz="0" w:space="0" w:color="auto"/>
        <w:bottom w:val="none" w:sz="0" w:space="0" w:color="auto"/>
        <w:right w:val="none" w:sz="0" w:space="0" w:color="auto"/>
      </w:divBdr>
    </w:div>
    <w:div w:id="1312832047">
      <w:bodyDiv w:val="1"/>
      <w:marLeft w:val="0"/>
      <w:marRight w:val="0"/>
      <w:marTop w:val="0"/>
      <w:marBottom w:val="0"/>
      <w:divBdr>
        <w:top w:val="none" w:sz="0" w:space="0" w:color="auto"/>
        <w:left w:val="none" w:sz="0" w:space="0" w:color="auto"/>
        <w:bottom w:val="none" w:sz="0" w:space="0" w:color="auto"/>
        <w:right w:val="none" w:sz="0" w:space="0" w:color="auto"/>
      </w:divBdr>
    </w:div>
    <w:div w:id="16287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employment.gov.au/regional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FC86C-5EBC-435D-BEFF-CB64E9A8904F}"/>
</file>

<file path=customXml/itemProps2.xml><?xml version="1.0" encoding="utf-8"?>
<ds:datastoreItem xmlns:ds="http://schemas.openxmlformats.org/officeDocument/2006/customXml" ds:itemID="{B3DEE56E-76DC-4F7B-BCEB-A0BDB21F2D41}"/>
</file>

<file path=customXml/itemProps3.xml><?xml version="1.0" encoding="utf-8"?>
<ds:datastoreItem xmlns:ds="http://schemas.openxmlformats.org/officeDocument/2006/customXml" ds:itemID="{AFDE253D-CED6-463F-BA4A-72D9BBE683A1}"/>
</file>

<file path=customXml/itemProps4.xml><?xml version="1.0" encoding="utf-8"?>
<ds:datastoreItem xmlns:ds="http://schemas.openxmlformats.org/officeDocument/2006/customXml" ds:itemID="{F444B9DC-C163-4ED0-9AF0-311EB4AB5A96}"/>
</file>

<file path=docProps/app.xml><?xml version="1.0" encoding="utf-8"?>
<Properties xmlns="http://schemas.openxmlformats.org/officeDocument/2006/extended-properties" xmlns:vt="http://schemas.openxmlformats.org/officeDocument/2006/docPropsVTypes">
  <Template>5A19C207.dotm</Template>
  <TotalTime>3</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Sebastian Lavers</cp:lastModifiedBy>
  <cp:revision>3</cp:revision>
  <cp:lastPrinted>2014-02-27T00:36:00Z</cp:lastPrinted>
  <dcterms:created xsi:type="dcterms:W3CDTF">2014-03-04T01:02:00Z</dcterms:created>
  <dcterms:modified xsi:type="dcterms:W3CDTF">2014-03-04T01:04:00Z</dcterms:modified>
</cp:coreProperties>
</file>