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7108" w14:textId="77777777" w:rsidR="005565B8" w:rsidRDefault="00286F3C" w:rsidP="00C55A70">
      <w:pPr>
        <w:spacing w:after="1600"/>
        <w:sectPr w:rsidR="005565B8" w:rsidSect="00C55A70">
          <w:headerReference w:type="even" r:id="rId11"/>
          <w:headerReference w:type="default" r:id="rId12"/>
          <w:footerReference w:type="even" r:id="rId13"/>
          <w:footerReference w:type="default" r:id="rId14"/>
          <w:headerReference w:type="first" r:id="rId15"/>
          <w:footerReference w:type="first" r:id="rId16"/>
          <w:pgSz w:w="11906" w:h="16838"/>
          <w:pgMar w:top="1021" w:right="851" w:bottom="1418" w:left="851" w:header="227" w:footer="1474" w:gutter="0"/>
          <w:cols w:space="708"/>
          <w:titlePg/>
          <w:docGrid w:linePitch="360"/>
        </w:sectPr>
      </w:pPr>
      <w:r>
        <w:rPr>
          <w:noProof/>
        </w:rPr>
        <w:drawing>
          <wp:inline distT="0" distB="0" distL="0" distR="0" wp14:anchorId="4E78EA70" wp14:editId="0FC6A2E2">
            <wp:extent cx="3506400" cy="968400"/>
            <wp:effectExtent l="0" t="0" r="0" b="3175"/>
            <wp:docPr id="6" name="Picture 6" descr="Australian Government&#10;Workforc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10;Workforce Australia"/>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06400" cy="968400"/>
                    </a:xfrm>
                    <a:prstGeom prst="rect">
                      <a:avLst/>
                    </a:prstGeom>
                  </pic:spPr>
                </pic:pic>
              </a:graphicData>
            </a:graphic>
          </wp:inline>
        </w:drawing>
      </w:r>
      <w:r>
        <w:rPr>
          <w:noProof/>
        </w:rPr>
        <mc:AlternateContent>
          <mc:Choice Requires="wps">
            <w:drawing>
              <wp:anchor distT="0" distB="0" distL="114300" distR="114300" simplePos="0" relativeHeight="251661312" behindDoc="1" locked="0" layoutInCell="1" allowOverlap="1" wp14:anchorId="5263638F" wp14:editId="49EF4C46">
                <wp:simplePos x="0" y="0"/>
                <wp:positionH relativeFrom="page">
                  <wp:align>left</wp:align>
                </wp:positionH>
                <wp:positionV relativeFrom="page">
                  <wp:posOffset>0</wp:posOffset>
                </wp:positionV>
                <wp:extent cx="7560000" cy="216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160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AB4A2" id="Rectangle 3" o:spid="_x0000_s1026" alt="&quot;&quot;" style="position:absolute;margin-left:0;margin-top:0;width:595.3pt;height:170.1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MAkwIAAIYFAAAOAAAAZHJzL2Uyb0RvYy54bWysVN9P2zAQfp+0/8Hy+0hTKGwVKapATJMQ&#10;IGDi2XXsNpLj82y3affX785OAmNoD9P64Pp83333I3d3frFvDdspHxqwFS+PJpwpK6Fu7Lri35+u&#10;P33mLERha2HAqoofVOAXi48fzjs3V1PYgKmVZ0hiw7xzFd/E6OZFEeRGtSIcgVMWlRp8KyKKfl3U&#10;XnTI3ppiOpmcFh342nmQKgR8vcpKvkj8WisZ77QOKjJTcYwtptOnc0VnsTgX87UXbtPIPgzxD1G0&#10;orHodKS6ElGwrW/+oGob6SGAjkcS2gK0bqRKOWA25eRNNo8b4VTKBYsT3Fim8P9o5e3u3rOmrvgx&#10;Z1a0+IkesGjCro1ix1SezoU5oh7dve+lgFfKda99S/+YBdunkh7Gkqp9ZBIfz2anE/xxJlE3LbOA&#10;PMWLufMhflXQMrpU3KP7VEqxuwkxQwcIeQtgmvq6MSYJfr26NJ7tBH3fWTk7nlLMyP4bzFgCWyCz&#10;rKaXglLLyaRbPBhFOGMflMaaYPjTFEnqRjX6EVIqG8us2ohaZfezlGjvnfqXLFIsiZCYNfofuXuC&#10;AZlJBu5M0+PJVKVmHo0nfwssG48WyTPYOBq3jQX/HoHBrHrPGT8UKZeGqrSC+oAd4yGPUnDyusHv&#10;diNCvBceZwe/Ne6DeIeHNtBVHPobZxvwP997Jzy2NGo563AWKx5+bIVXnJlvFpv9S3lyQsObhJPZ&#10;2RQF/1qzeq2x2/YSsB1K3DxOpivhoxmu2kP7jGtjSV5RJaxE3xWX0Q/CZcw7AhePVMtlguHAOhFv&#10;7KOTRE5Vpb582j8L7/rmjdj3tzDMrZi/6eGMJUsLy20E3aQGf6lrX28c9tQ4/WKibfJaTqiX9bn4&#10;BQAA//8DAFBLAwQUAAYACAAAACEAPOZiKtwAAAAGAQAADwAAAGRycy9kb3ducmV2LnhtbEyPwW7C&#10;MBBE75X4B2srcSt2oI1KiINo1Yheob1wc+JtEiVeR7GB5O9reqGXlUYzmnmbbkfTsQsOrrEkIVoI&#10;YEil1Q1VEr6/8qdXYM4r0qqzhBImdLDNZg+pSrS90gEvR1+xUEIuURJq7/uEc1fWaJRb2B4peD92&#10;MMoHOVRcD+oayk3Hl0LE3KiGwkKtenyvsWyPZyOhKPYv02H/Fk/rU5S7sY0+P9pcyvnjuNsA8zj6&#10;exhu+AEdssBU2DNpxzoJ4RH/d29etBYxsELC6lksgWcp/4+f/QIAAP//AwBQSwECLQAUAAYACAAA&#10;ACEAtoM4kv4AAADhAQAAEwAAAAAAAAAAAAAAAAAAAAAAW0NvbnRlbnRfVHlwZXNdLnhtbFBLAQIt&#10;ABQABgAIAAAAIQA4/SH/1gAAAJQBAAALAAAAAAAAAAAAAAAAAC8BAABfcmVscy8ucmVsc1BLAQIt&#10;ABQABgAIAAAAIQCqwcMAkwIAAIYFAAAOAAAAAAAAAAAAAAAAAC4CAABkcnMvZTJvRG9jLnhtbFBL&#10;AQItABQABgAIAAAAIQA85mIq3AAAAAYBAAAPAAAAAAAAAAAAAAAAAO0EAABkcnMvZG93bnJldi54&#10;bWxQSwUGAAAAAAQABADzAAAA9gUAAAAA&#10;" fillcolor="#051532" stroked="f" strokeweight="1pt">
                <w10:wrap anchorx="page" anchory="page"/>
              </v:rect>
            </w:pict>
          </mc:Fallback>
        </mc:AlternateContent>
      </w:r>
    </w:p>
    <w:p w14:paraId="469CF7F4" w14:textId="1C64BA65" w:rsidR="00654A65" w:rsidRPr="00654A65" w:rsidRDefault="00F52AB8" w:rsidP="00654A65">
      <w:pPr>
        <w:pStyle w:val="Title"/>
      </w:pPr>
      <w:r w:rsidRPr="00F52AB8">
        <w:t>Actions: Reviewing workplace policies</w:t>
      </w:r>
    </w:p>
    <w:p w14:paraId="01D5AF7C" w14:textId="77777777" w:rsidR="00F52AB8" w:rsidRPr="00461AE4" w:rsidRDefault="00F52AB8" w:rsidP="00461AE4">
      <w:r w:rsidRPr="00461AE4">
        <w:t>Progress towards sustainable gender equality, diversity and inclusion requires best practice to be integrated into the design and operation of key policies and processes. Policy and process design which embed the organisation’s gender equality objectives can help address potential inequities in decision- making. Organisations review policies and processes regularly to ensure they reflect changes in the external environment, such as legislative changes.</w:t>
      </w:r>
    </w:p>
    <w:p w14:paraId="7DB9DB98" w14:textId="77777777" w:rsidR="00F52AB8" w:rsidRPr="00461AE4" w:rsidRDefault="00F52AB8" w:rsidP="00461AE4">
      <w:pPr>
        <w:pStyle w:val="Heading1"/>
      </w:pPr>
      <w:r w:rsidRPr="00461AE4">
        <w:t>Where to find information:</w:t>
      </w:r>
    </w:p>
    <w:p w14:paraId="5E2A5539" w14:textId="77777777" w:rsidR="00F52AB8" w:rsidRPr="00393C37" w:rsidRDefault="00F52AB8" w:rsidP="00461AE4">
      <w:pPr>
        <w:pStyle w:val="ListBullet"/>
      </w:pPr>
      <w:r>
        <w:t>Australian</w:t>
      </w:r>
      <w:r w:rsidRPr="00393C37">
        <w:rPr>
          <w:spacing w:val="-1"/>
        </w:rPr>
        <w:t xml:space="preserve"> </w:t>
      </w:r>
      <w:r>
        <w:t>Human</w:t>
      </w:r>
      <w:r w:rsidRPr="00393C37">
        <w:rPr>
          <w:spacing w:val="-1"/>
        </w:rPr>
        <w:t xml:space="preserve"> </w:t>
      </w:r>
      <w:r>
        <w:t>Rights</w:t>
      </w:r>
      <w:r w:rsidRPr="00393C37">
        <w:rPr>
          <w:spacing w:val="-2"/>
        </w:rPr>
        <w:t xml:space="preserve"> </w:t>
      </w:r>
      <w:r>
        <w:t>Commission:</w:t>
      </w:r>
      <w:r w:rsidRPr="00393C37">
        <w:rPr>
          <w:color w:val="0000FF"/>
        </w:rPr>
        <w:t xml:space="preserve"> </w:t>
      </w:r>
      <w:hyperlink r:id="rId18" w:history="1">
        <w:r w:rsidRPr="00461AE4">
          <w:rPr>
            <w:rStyle w:val="Hyperlink"/>
          </w:rPr>
          <w:t>Sex discrimination | Australian Human Rights Commission</w:t>
        </w:r>
      </w:hyperlink>
    </w:p>
    <w:p w14:paraId="191457FB" w14:textId="77777777" w:rsidR="00F52AB8" w:rsidRPr="00393C37" w:rsidRDefault="00F52AB8" w:rsidP="00461AE4">
      <w:pPr>
        <w:pStyle w:val="ListBullet"/>
      </w:pPr>
      <w:r>
        <w:t>Australian</w:t>
      </w:r>
      <w:r w:rsidRPr="00393C37">
        <w:rPr>
          <w:spacing w:val="-1"/>
        </w:rPr>
        <w:t xml:space="preserve"> </w:t>
      </w:r>
      <w:r>
        <w:t>Human</w:t>
      </w:r>
      <w:r w:rsidRPr="00393C37">
        <w:rPr>
          <w:spacing w:val="-1"/>
        </w:rPr>
        <w:t xml:space="preserve"> </w:t>
      </w:r>
      <w:r>
        <w:t>Rights</w:t>
      </w:r>
      <w:r w:rsidRPr="00393C37">
        <w:rPr>
          <w:spacing w:val="-2"/>
        </w:rPr>
        <w:t xml:space="preserve"> </w:t>
      </w:r>
      <w:r>
        <w:t>Commission:</w:t>
      </w:r>
      <w:r w:rsidRPr="00393C37">
        <w:rPr>
          <w:color w:val="0000FF"/>
        </w:rPr>
        <w:t xml:space="preserve"> </w:t>
      </w:r>
      <w:hyperlink r:id="rId19" w:history="1">
        <w:r w:rsidRPr="00461AE4">
          <w:rPr>
            <w:rStyle w:val="Hyperlink"/>
          </w:rPr>
          <w:t>Gender Diversity | Australian Human Rights Commission</w:t>
        </w:r>
      </w:hyperlink>
    </w:p>
    <w:p w14:paraId="3C7FFDB8" w14:textId="77777777" w:rsidR="00F52AB8" w:rsidRPr="00393C37" w:rsidRDefault="00F52AB8" w:rsidP="00461AE4">
      <w:pPr>
        <w:pStyle w:val="ListBullet"/>
      </w:pPr>
      <w:r>
        <w:t>Workplace</w:t>
      </w:r>
      <w:r w:rsidRPr="00393C37">
        <w:rPr>
          <w:spacing w:val="1"/>
        </w:rPr>
        <w:t xml:space="preserve"> </w:t>
      </w:r>
      <w:r>
        <w:t>Gender Equity</w:t>
      </w:r>
      <w:r w:rsidRPr="00393C37">
        <w:rPr>
          <w:spacing w:val="-2"/>
        </w:rPr>
        <w:t xml:space="preserve"> </w:t>
      </w:r>
      <w:r>
        <w:t>Agency:</w:t>
      </w:r>
      <w:r w:rsidRPr="00393C37">
        <w:rPr>
          <w:color w:val="0000FF"/>
          <w:spacing w:val="-1"/>
        </w:rPr>
        <w:t xml:space="preserve"> </w:t>
      </w:r>
      <w:hyperlink r:id="rId20" w:history="1">
        <w:r w:rsidRPr="00461AE4">
          <w:rPr>
            <w:rStyle w:val="Hyperlink"/>
          </w:rPr>
          <w:t>Gender strategy | WGEA</w:t>
        </w:r>
      </w:hyperlink>
    </w:p>
    <w:p w14:paraId="153544E7" w14:textId="77777777" w:rsidR="00F52AB8" w:rsidRPr="00393C37" w:rsidRDefault="00F52AB8" w:rsidP="00461AE4">
      <w:pPr>
        <w:pStyle w:val="ListBullet"/>
      </w:pPr>
      <w:r>
        <w:t>Workplace</w:t>
      </w:r>
      <w:r w:rsidRPr="00393C37">
        <w:rPr>
          <w:spacing w:val="1"/>
        </w:rPr>
        <w:t xml:space="preserve"> </w:t>
      </w:r>
      <w:r>
        <w:t>Gender Equity</w:t>
      </w:r>
      <w:r w:rsidRPr="00393C37">
        <w:rPr>
          <w:spacing w:val="-2"/>
        </w:rPr>
        <w:t xml:space="preserve"> </w:t>
      </w:r>
      <w:r>
        <w:t>Agency:</w:t>
      </w:r>
      <w:r w:rsidRPr="00393C37">
        <w:rPr>
          <w:color w:val="0000FF"/>
          <w:spacing w:val="-1"/>
        </w:rPr>
        <w:t xml:space="preserve"> </w:t>
      </w:r>
      <w:hyperlink r:id="rId21" w:history="1">
        <w:r w:rsidRPr="00461AE4">
          <w:rPr>
            <w:rStyle w:val="Hyperlink"/>
          </w:rPr>
          <w:t>Pay and gender | WGEA</w:t>
        </w:r>
      </w:hyperlink>
    </w:p>
    <w:p w14:paraId="37A10937" w14:textId="77777777" w:rsidR="00F52AB8" w:rsidRPr="00393C37" w:rsidRDefault="00F52AB8" w:rsidP="00461AE4">
      <w:pPr>
        <w:pStyle w:val="ListBullet"/>
      </w:pPr>
      <w:r>
        <w:t>Workplace</w:t>
      </w:r>
      <w:r w:rsidRPr="00393C37">
        <w:rPr>
          <w:spacing w:val="1"/>
        </w:rPr>
        <w:t xml:space="preserve"> </w:t>
      </w:r>
      <w:r>
        <w:t>Gender Equity</w:t>
      </w:r>
      <w:r w:rsidRPr="00393C37">
        <w:rPr>
          <w:spacing w:val="-2"/>
        </w:rPr>
        <w:t xml:space="preserve"> </w:t>
      </w:r>
      <w:r>
        <w:t>Agency:</w:t>
      </w:r>
      <w:r w:rsidRPr="00393C37">
        <w:rPr>
          <w:color w:val="0000FF"/>
          <w:spacing w:val="-1"/>
        </w:rPr>
        <w:t xml:space="preserve"> </w:t>
      </w:r>
      <w:hyperlink r:id="rId22" w:history="1">
        <w:r w:rsidRPr="00461AE4">
          <w:rPr>
            <w:rStyle w:val="Hyperlink"/>
          </w:rPr>
          <w:t>The Gender Pay Gap | WGEA</w:t>
        </w:r>
      </w:hyperlink>
    </w:p>
    <w:p w14:paraId="37EB5EC5" w14:textId="77777777" w:rsidR="00F52AB8" w:rsidRPr="00393C37" w:rsidRDefault="00F52AB8" w:rsidP="00461AE4">
      <w:pPr>
        <w:pStyle w:val="ListBullet"/>
      </w:pPr>
      <w:r>
        <w:t>Workplace</w:t>
      </w:r>
      <w:r w:rsidRPr="00393C37">
        <w:rPr>
          <w:spacing w:val="1"/>
        </w:rPr>
        <w:t xml:space="preserve"> </w:t>
      </w:r>
      <w:r>
        <w:t>Gender Equity</w:t>
      </w:r>
      <w:r w:rsidRPr="00393C37">
        <w:rPr>
          <w:spacing w:val="-2"/>
        </w:rPr>
        <w:t xml:space="preserve"> </w:t>
      </w:r>
      <w:r>
        <w:t>Agency:</w:t>
      </w:r>
      <w:r w:rsidRPr="00393C37">
        <w:rPr>
          <w:color w:val="0000FF"/>
          <w:spacing w:val="-1"/>
        </w:rPr>
        <w:t xml:space="preserve"> </w:t>
      </w:r>
      <w:hyperlink r:id="rId23" w:history="1">
        <w:r w:rsidRPr="00461AE4">
          <w:rPr>
            <w:rStyle w:val="Hyperlink"/>
          </w:rPr>
          <w:t>Pay equity | WGEA</w:t>
        </w:r>
      </w:hyperlink>
    </w:p>
    <w:p w14:paraId="0EFC38EB" w14:textId="77777777" w:rsidR="00F52AB8" w:rsidRPr="00461AE4" w:rsidRDefault="00F52AB8" w:rsidP="00461AE4">
      <w:pPr>
        <w:pStyle w:val="Heading1"/>
      </w:pPr>
      <w:r w:rsidRPr="00461AE4">
        <w:t>What immediate actions you can implement:</w:t>
      </w:r>
    </w:p>
    <w:p w14:paraId="7D2040F8" w14:textId="13FEABB2" w:rsidR="00F52AB8" w:rsidRDefault="00F52AB8" w:rsidP="00461AE4">
      <w:pPr>
        <w:pStyle w:val="ListBullet"/>
      </w:pPr>
      <w:r w:rsidRPr="00461AE4">
        <w:t>Review current policies and procedures to ensure that the gender and diversity objectives of your organisation are embedded and are reflective of legislative changes (e.g. Fair Work Ombudsman).</w:t>
      </w:r>
    </w:p>
    <w:p w14:paraId="1E434933" w14:textId="5935C6AC" w:rsidR="0034469A" w:rsidRPr="00690661" w:rsidRDefault="0034469A" w:rsidP="0034469A">
      <w:pPr>
        <w:pStyle w:val="ListBullet"/>
      </w:pPr>
      <w:r w:rsidRPr="00690661">
        <w:t xml:space="preserve">Identify and disrupt bias across the talent lifecycle by using the </w:t>
      </w:r>
      <w:hyperlink r:id="rId24" w:history="1">
        <w:r w:rsidRPr="00690661">
          <w:rPr>
            <w:rStyle w:val="Hyperlink"/>
          </w:rPr>
          <w:t>Fixing the system not the women resource</w:t>
        </w:r>
      </w:hyperlink>
      <w:r w:rsidRPr="00690661">
        <w:t>.</w:t>
      </w:r>
    </w:p>
    <w:p w14:paraId="596973BC" w14:textId="77777777" w:rsidR="00F52AB8" w:rsidRPr="00461AE4" w:rsidRDefault="00F52AB8" w:rsidP="00461AE4">
      <w:pPr>
        <w:pStyle w:val="Heading1"/>
      </w:pPr>
      <w:r w:rsidRPr="00461AE4">
        <w:t>Scenario:</w:t>
      </w:r>
    </w:p>
    <w:p w14:paraId="3D89E710" w14:textId="77777777" w:rsidR="00F52AB8" w:rsidRPr="00461AE4" w:rsidRDefault="00690661" w:rsidP="00461AE4">
      <w:hyperlink r:id="rId25" w:history="1">
        <w:r w:rsidR="00F52AB8" w:rsidRPr="00461AE4">
          <w:rPr>
            <w:rStyle w:val="Hyperlink"/>
          </w:rPr>
          <w:t>Dalrymple Bay Coal Terminal P/L</w:t>
        </w:r>
        <w:r w:rsidR="00F52AB8" w:rsidRPr="00393C37">
          <w:rPr>
            <w:rFonts w:ascii="Calibri" w:hAnsi="Calibri" w:cs="Calibri"/>
            <w:color w:val="0000FF"/>
            <w:spacing w:val="2"/>
          </w:rPr>
          <w:t xml:space="preserve"> </w:t>
        </w:r>
      </w:hyperlink>
      <w:r w:rsidR="00F52AB8" w:rsidRPr="00461AE4">
        <w:t>participated in Career Revive, as part of the 2019 intake, to address internal barriers to female participation and progress diversity strategies highlighted in the business’ Culture Plan. An important factor for DBCT P/L, was ensuring that their executive committee actively sponsored and drove diversity and inclusion activities.</w:t>
      </w:r>
    </w:p>
    <w:p w14:paraId="6E721CA3" w14:textId="77777777" w:rsidR="00F52AB8" w:rsidRPr="00461AE4" w:rsidRDefault="00F52AB8" w:rsidP="00461AE4">
      <w:r w:rsidRPr="00461AE4">
        <w:t>As part of the Career Revive initiative, DBCT P/L focussed on improving workplace flexibility and inclusive recruitment. To begin with, DBCT P/L conducted an end-to-end review of its recruitment approach. Focus areas included:</w:t>
      </w:r>
    </w:p>
    <w:p w14:paraId="2AC19286" w14:textId="77777777" w:rsidR="00F52AB8" w:rsidRDefault="00F52AB8" w:rsidP="00461AE4">
      <w:pPr>
        <w:pStyle w:val="ListBullet"/>
      </w:pPr>
      <w:r>
        <w:t>Simplifying</w:t>
      </w:r>
      <w:r w:rsidRPr="00461AE4">
        <w:t xml:space="preserve"> </w:t>
      </w:r>
      <w:r>
        <w:t>job</w:t>
      </w:r>
      <w:r w:rsidRPr="00461AE4">
        <w:t xml:space="preserve"> </w:t>
      </w:r>
      <w:r>
        <w:t>criteria to</w:t>
      </w:r>
      <w:r w:rsidRPr="00461AE4">
        <w:t xml:space="preserve"> </w:t>
      </w:r>
      <w:r>
        <w:t>diversify applicant pools</w:t>
      </w:r>
    </w:p>
    <w:p w14:paraId="5F1EFB84" w14:textId="77777777" w:rsidR="00F52AB8" w:rsidRDefault="00F52AB8" w:rsidP="00461AE4">
      <w:pPr>
        <w:pStyle w:val="ListBullet"/>
      </w:pPr>
      <w:r>
        <w:t>Removing</w:t>
      </w:r>
      <w:r w:rsidRPr="00461AE4">
        <w:t xml:space="preserve"> </w:t>
      </w:r>
      <w:r>
        <w:t>gendered language</w:t>
      </w:r>
      <w:r w:rsidRPr="00461AE4">
        <w:t xml:space="preserve"> </w:t>
      </w:r>
      <w:r>
        <w:t>from</w:t>
      </w:r>
      <w:r w:rsidRPr="00461AE4">
        <w:t xml:space="preserve"> </w:t>
      </w:r>
      <w:r>
        <w:t>advertisements</w:t>
      </w:r>
    </w:p>
    <w:p w14:paraId="42A3D2D1" w14:textId="77777777" w:rsidR="00F52AB8" w:rsidRPr="00461AE4" w:rsidRDefault="00F52AB8" w:rsidP="00461AE4">
      <w:pPr>
        <w:pStyle w:val="ListBullet"/>
      </w:pPr>
      <w:r w:rsidRPr="00461AE4">
        <w:t xml:space="preserve">Communicating DBCT P/L’s employee value proposition </w:t>
      </w:r>
    </w:p>
    <w:p w14:paraId="21DB69EE" w14:textId="77777777" w:rsidR="00F52AB8" w:rsidRPr="00461AE4" w:rsidRDefault="00F52AB8" w:rsidP="00461AE4">
      <w:pPr>
        <w:pStyle w:val="ListBullet"/>
      </w:pPr>
      <w:r w:rsidRPr="00461AE4">
        <w:t xml:space="preserve">Highlighting the businesses commitment to diversity and </w:t>
      </w:r>
    </w:p>
    <w:p w14:paraId="797B864E" w14:textId="77777777" w:rsidR="00F52AB8" w:rsidRPr="00461AE4" w:rsidRDefault="00F52AB8" w:rsidP="00461AE4">
      <w:pPr>
        <w:pStyle w:val="ListBullet"/>
      </w:pPr>
      <w:r w:rsidRPr="00461AE4">
        <w:t xml:space="preserve">Strengths-based interviews, rather than competency-based interviews. </w:t>
      </w:r>
    </w:p>
    <w:p w14:paraId="2AEA2878" w14:textId="2C677667" w:rsidR="00F52AB8" w:rsidRPr="00461AE4" w:rsidRDefault="00F52AB8" w:rsidP="00461AE4">
      <w:r w:rsidRPr="00461AE4">
        <w:t xml:space="preserve">DBCT P/L also considered whether specific roles in the business could be made more flexible. The COVID-19 pandemic accelerated these activities and led to rapid adoption of remote work. </w:t>
      </w:r>
    </w:p>
    <w:p w14:paraId="6F732D52" w14:textId="309E9069" w:rsidR="00690661" w:rsidRDefault="00F52AB8" w:rsidP="00461AE4">
      <w:r w:rsidRPr="00461AE4">
        <w:t>DBCT is currently looking at improving their parental leave policies and the supports for employees returning to work following a period of leave.</w:t>
      </w:r>
    </w:p>
    <w:p w14:paraId="6E650A21" w14:textId="18361FEB" w:rsidR="00F52AB8" w:rsidRPr="00461AE4" w:rsidRDefault="00F52AB8" w:rsidP="00461AE4">
      <w:r w:rsidRPr="00461AE4">
        <w:t>Having focused on building business maturity, DBCT P/L believe they are well positioned to implement a Supported Returner Program, which is a key aim of the Career Revive initiative.</w:t>
      </w:r>
    </w:p>
    <w:sectPr w:rsidR="00F52AB8" w:rsidRPr="00461AE4" w:rsidSect="00AB49D3">
      <w:type w:val="continuous"/>
      <w:pgSz w:w="11906" w:h="16838"/>
      <w:pgMar w:top="1134" w:right="1021" w:bottom="1134" w:left="1021"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E310" w14:textId="77777777" w:rsidR="000C7FE1" w:rsidRDefault="000C7FE1" w:rsidP="00EE7FDA">
      <w:pPr>
        <w:spacing w:after="0"/>
      </w:pPr>
      <w:r>
        <w:separator/>
      </w:r>
    </w:p>
  </w:endnote>
  <w:endnote w:type="continuationSeparator" w:id="0">
    <w:p w14:paraId="4B971781" w14:textId="77777777" w:rsidR="000C7FE1" w:rsidRDefault="000C7FE1"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E0B3" w14:textId="77777777" w:rsidR="00534DC7" w:rsidRDefault="00534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28F0" w14:textId="77777777" w:rsidR="00105919" w:rsidRDefault="00A1654A">
    <w:pPr>
      <w:pStyle w:val="Footer"/>
    </w:pPr>
    <w:r>
      <w:rPr>
        <w:noProof/>
      </w:rPr>
      <w:drawing>
        <wp:anchor distT="0" distB="0" distL="114300" distR="114300" simplePos="0" relativeHeight="251660288" behindDoc="1" locked="0" layoutInCell="1" allowOverlap="1" wp14:anchorId="1EA32507" wp14:editId="73D033A3">
          <wp:simplePos x="0" y="0"/>
          <wp:positionH relativeFrom="page">
            <wp:posOffset>0</wp:posOffset>
          </wp:positionH>
          <wp:positionV relativeFrom="page">
            <wp:posOffset>10253980</wp:posOffset>
          </wp:positionV>
          <wp:extent cx="7560000" cy="42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40B4" w14:textId="77777777" w:rsidR="00105919" w:rsidRDefault="00105919">
    <w:pPr>
      <w:pStyle w:val="Footer"/>
    </w:pPr>
    <w:r>
      <w:rPr>
        <w:noProof/>
      </w:rPr>
      <w:drawing>
        <wp:anchor distT="0" distB="0" distL="114300" distR="114300" simplePos="0" relativeHeight="251658240" behindDoc="1" locked="0" layoutInCell="1" allowOverlap="1" wp14:anchorId="1559F9F7" wp14:editId="37D7350C">
          <wp:simplePos x="0" y="0"/>
          <wp:positionH relativeFrom="page">
            <wp:posOffset>0</wp:posOffset>
          </wp:positionH>
          <wp:positionV relativeFrom="page">
            <wp:posOffset>9337371</wp:posOffset>
          </wp:positionV>
          <wp:extent cx="7560000" cy="1353483"/>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534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05C6" w14:textId="77777777" w:rsidR="000C7FE1" w:rsidRDefault="000C7FE1" w:rsidP="00D105E6">
      <w:pPr>
        <w:spacing w:after="60"/>
      </w:pPr>
      <w:r>
        <w:separator/>
      </w:r>
    </w:p>
  </w:footnote>
  <w:footnote w:type="continuationSeparator" w:id="0">
    <w:p w14:paraId="3B0DAA1E" w14:textId="77777777" w:rsidR="000C7FE1" w:rsidRDefault="000C7FE1" w:rsidP="00EE7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52E8" w14:textId="77777777" w:rsidR="00534DC7" w:rsidRDefault="00534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A7A9" w14:textId="77777777" w:rsidR="00534DC7" w:rsidRDefault="00534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28DF" w14:textId="77777777" w:rsidR="00534DC7" w:rsidRDefault="00534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15B4"/>
    <w:multiLevelType w:val="multilevel"/>
    <w:tmpl w:val="00000886"/>
    <w:lvl w:ilvl="0">
      <w:numFmt w:val="bullet"/>
      <w:lvlText w:val="•"/>
      <w:lvlJc w:val="left"/>
      <w:pPr>
        <w:ind w:left="290" w:hanging="291"/>
      </w:pPr>
      <w:rPr>
        <w:rFonts w:ascii="Arial" w:hAnsi="Arial" w:cs="Arial"/>
        <w:b w:val="0"/>
        <w:bCs w:val="0"/>
        <w:i w:val="0"/>
        <w:iCs w:val="0"/>
        <w:w w:val="100"/>
        <w:sz w:val="22"/>
        <w:szCs w:val="22"/>
      </w:rPr>
    </w:lvl>
    <w:lvl w:ilvl="1">
      <w:numFmt w:val="bullet"/>
      <w:lvlText w:val="•"/>
      <w:lvlJc w:val="left"/>
      <w:pPr>
        <w:ind w:left="574" w:hanging="291"/>
      </w:pPr>
    </w:lvl>
    <w:lvl w:ilvl="2">
      <w:numFmt w:val="bullet"/>
      <w:lvlText w:val="•"/>
      <w:lvlJc w:val="left"/>
      <w:pPr>
        <w:ind w:left="848" w:hanging="291"/>
      </w:pPr>
    </w:lvl>
    <w:lvl w:ilvl="3">
      <w:numFmt w:val="bullet"/>
      <w:lvlText w:val="•"/>
      <w:lvlJc w:val="left"/>
      <w:pPr>
        <w:ind w:left="1123" w:hanging="291"/>
      </w:pPr>
    </w:lvl>
    <w:lvl w:ilvl="4">
      <w:numFmt w:val="bullet"/>
      <w:lvlText w:val="•"/>
      <w:lvlJc w:val="left"/>
      <w:pPr>
        <w:ind w:left="1397" w:hanging="291"/>
      </w:pPr>
    </w:lvl>
    <w:lvl w:ilvl="5">
      <w:numFmt w:val="bullet"/>
      <w:lvlText w:val="•"/>
      <w:lvlJc w:val="left"/>
      <w:pPr>
        <w:ind w:left="1672" w:hanging="291"/>
      </w:pPr>
    </w:lvl>
    <w:lvl w:ilvl="6">
      <w:numFmt w:val="bullet"/>
      <w:lvlText w:val="•"/>
      <w:lvlJc w:val="left"/>
      <w:pPr>
        <w:ind w:left="1946" w:hanging="291"/>
      </w:pPr>
    </w:lvl>
    <w:lvl w:ilvl="7">
      <w:numFmt w:val="bullet"/>
      <w:lvlText w:val="•"/>
      <w:lvlJc w:val="left"/>
      <w:pPr>
        <w:ind w:left="2221" w:hanging="291"/>
      </w:pPr>
    </w:lvl>
    <w:lvl w:ilvl="8">
      <w:numFmt w:val="bullet"/>
      <w:lvlText w:val="•"/>
      <w:lvlJc w:val="left"/>
      <w:pPr>
        <w:ind w:left="2495" w:hanging="291"/>
      </w:pPr>
    </w:lvl>
  </w:abstractNum>
  <w:abstractNum w:abstractNumId="1"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8224E2"/>
    <w:multiLevelType w:val="multilevel"/>
    <w:tmpl w:val="B10A65AC"/>
    <w:numStyleLink w:val="Style1"/>
  </w:abstractNum>
  <w:abstractNum w:abstractNumId="4"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28340832"/>
    <w:multiLevelType w:val="multilevel"/>
    <w:tmpl w:val="00000886"/>
    <w:lvl w:ilvl="0">
      <w:numFmt w:val="bullet"/>
      <w:lvlText w:val="•"/>
      <w:lvlJc w:val="left"/>
      <w:pPr>
        <w:ind w:left="290" w:hanging="291"/>
      </w:pPr>
      <w:rPr>
        <w:rFonts w:ascii="Arial" w:hAnsi="Arial" w:cs="Arial"/>
        <w:b w:val="0"/>
        <w:bCs w:val="0"/>
        <w:i w:val="0"/>
        <w:iCs w:val="0"/>
        <w:w w:val="100"/>
        <w:sz w:val="22"/>
        <w:szCs w:val="22"/>
      </w:rPr>
    </w:lvl>
    <w:lvl w:ilvl="1">
      <w:numFmt w:val="bullet"/>
      <w:lvlText w:val="•"/>
      <w:lvlJc w:val="left"/>
      <w:pPr>
        <w:ind w:left="574" w:hanging="291"/>
      </w:pPr>
    </w:lvl>
    <w:lvl w:ilvl="2">
      <w:numFmt w:val="bullet"/>
      <w:lvlText w:val="•"/>
      <w:lvlJc w:val="left"/>
      <w:pPr>
        <w:ind w:left="848" w:hanging="291"/>
      </w:pPr>
    </w:lvl>
    <w:lvl w:ilvl="3">
      <w:numFmt w:val="bullet"/>
      <w:lvlText w:val="•"/>
      <w:lvlJc w:val="left"/>
      <w:pPr>
        <w:ind w:left="1123" w:hanging="291"/>
      </w:pPr>
    </w:lvl>
    <w:lvl w:ilvl="4">
      <w:numFmt w:val="bullet"/>
      <w:lvlText w:val="•"/>
      <w:lvlJc w:val="left"/>
      <w:pPr>
        <w:ind w:left="1397" w:hanging="291"/>
      </w:pPr>
    </w:lvl>
    <w:lvl w:ilvl="5">
      <w:numFmt w:val="bullet"/>
      <w:lvlText w:val="•"/>
      <w:lvlJc w:val="left"/>
      <w:pPr>
        <w:ind w:left="1672" w:hanging="291"/>
      </w:pPr>
    </w:lvl>
    <w:lvl w:ilvl="6">
      <w:numFmt w:val="bullet"/>
      <w:lvlText w:val="•"/>
      <w:lvlJc w:val="left"/>
      <w:pPr>
        <w:ind w:left="1946" w:hanging="291"/>
      </w:pPr>
    </w:lvl>
    <w:lvl w:ilvl="7">
      <w:numFmt w:val="bullet"/>
      <w:lvlText w:val="•"/>
      <w:lvlJc w:val="left"/>
      <w:pPr>
        <w:ind w:left="2221" w:hanging="291"/>
      </w:pPr>
    </w:lvl>
    <w:lvl w:ilvl="8">
      <w:numFmt w:val="bullet"/>
      <w:lvlText w:val="•"/>
      <w:lvlJc w:val="left"/>
      <w:pPr>
        <w:ind w:left="2495" w:hanging="291"/>
      </w:pPr>
    </w:lvl>
  </w:abstractNum>
  <w:abstractNum w:abstractNumId="7" w15:restartNumberingAfterBreak="0">
    <w:nsid w:val="2EE53EF4"/>
    <w:multiLevelType w:val="multilevel"/>
    <w:tmpl w:val="4C06E666"/>
    <w:numStyleLink w:val="RSCBNumberList1"/>
  </w:abstractNum>
  <w:abstractNum w:abstractNumId="8"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E892454"/>
    <w:multiLevelType w:val="multilevel"/>
    <w:tmpl w:val="00000886"/>
    <w:lvl w:ilvl="0">
      <w:numFmt w:val="bullet"/>
      <w:lvlText w:val="•"/>
      <w:lvlJc w:val="left"/>
      <w:pPr>
        <w:ind w:left="290" w:hanging="291"/>
      </w:pPr>
      <w:rPr>
        <w:rFonts w:ascii="Arial" w:hAnsi="Arial" w:cs="Arial"/>
        <w:b w:val="0"/>
        <w:bCs w:val="0"/>
        <w:i w:val="0"/>
        <w:iCs w:val="0"/>
        <w:w w:val="100"/>
        <w:sz w:val="22"/>
        <w:szCs w:val="22"/>
      </w:rPr>
    </w:lvl>
    <w:lvl w:ilvl="1">
      <w:numFmt w:val="bullet"/>
      <w:lvlText w:val="•"/>
      <w:lvlJc w:val="left"/>
      <w:pPr>
        <w:ind w:left="574" w:hanging="291"/>
      </w:pPr>
    </w:lvl>
    <w:lvl w:ilvl="2">
      <w:numFmt w:val="bullet"/>
      <w:lvlText w:val="•"/>
      <w:lvlJc w:val="left"/>
      <w:pPr>
        <w:ind w:left="848" w:hanging="291"/>
      </w:pPr>
    </w:lvl>
    <w:lvl w:ilvl="3">
      <w:numFmt w:val="bullet"/>
      <w:lvlText w:val="•"/>
      <w:lvlJc w:val="left"/>
      <w:pPr>
        <w:ind w:left="1123" w:hanging="291"/>
      </w:pPr>
    </w:lvl>
    <w:lvl w:ilvl="4">
      <w:numFmt w:val="bullet"/>
      <w:lvlText w:val="•"/>
      <w:lvlJc w:val="left"/>
      <w:pPr>
        <w:ind w:left="1397" w:hanging="291"/>
      </w:pPr>
    </w:lvl>
    <w:lvl w:ilvl="5">
      <w:numFmt w:val="bullet"/>
      <w:lvlText w:val="•"/>
      <w:lvlJc w:val="left"/>
      <w:pPr>
        <w:ind w:left="1672" w:hanging="291"/>
      </w:pPr>
    </w:lvl>
    <w:lvl w:ilvl="6">
      <w:numFmt w:val="bullet"/>
      <w:lvlText w:val="•"/>
      <w:lvlJc w:val="left"/>
      <w:pPr>
        <w:ind w:left="1946" w:hanging="291"/>
      </w:pPr>
    </w:lvl>
    <w:lvl w:ilvl="7">
      <w:numFmt w:val="bullet"/>
      <w:lvlText w:val="•"/>
      <w:lvlJc w:val="left"/>
      <w:pPr>
        <w:ind w:left="2221" w:hanging="291"/>
      </w:pPr>
    </w:lvl>
    <w:lvl w:ilvl="8">
      <w:numFmt w:val="bullet"/>
      <w:lvlText w:val="•"/>
      <w:lvlJc w:val="left"/>
      <w:pPr>
        <w:ind w:left="2495" w:hanging="291"/>
      </w:pPr>
    </w:lvl>
  </w:abstractNum>
  <w:abstractNum w:abstractNumId="10" w15:restartNumberingAfterBreak="0">
    <w:nsid w:val="57DD04F5"/>
    <w:multiLevelType w:val="multilevel"/>
    <w:tmpl w:val="4C06E666"/>
    <w:numStyleLink w:val="RSCBNumberList1"/>
  </w:abstractNum>
  <w:abstractNum w:abstractNumId="11"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1"/>
  </w:num>
  <w:num w:numId="4">
    <w:abstractNumId w:val="3"/>
  </w:num>
  <w:num w:numId="5">
    <w:abstractNumId w:val="1"/>
  </w:num>
  <w:num w:numId="6">
    <w:abstractNumId w:val="4"/>
  </w:num>
  <w:num w:numId="7">
    <w:abstractNumId w:val="2"/>
  </w:num>
  <w:num w:numId="8">
    <w:abstractNumId w:val="5"/>
  </w:num>
  <w:num w:numId="9">
    <w:abstractNumId w:val="7"/>
  </w:num>
  <w:num w:numId="10">
    <w:abstractNumId w:val="0"/>
  </w:num>
  <w:num w:numId="11">
    <w:abstractNumId w:val="6"/>
  </w:num>
  <w:num w:numId="12">
    <w:abstractNumId w:val="9"/>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E1"/>
    <w:rsid w:val="00011BA5"/>
    <w:rsid w:val="00037765"/>
    <w:rsid w:val="00040F83"/>
    <w:rsid w:val="00052659"/>
    <w:rsid w:val="00052B07"/>
    <w:rsid w:val="0009541A"/>
    <w:rsid w:val="000C7FE1"/>
    <w:rsid w:val="000E406E"/>
    <w:rsid w:val="00105919"/>
    <w:rsid w:val="0013557F"/>
    <w:rsid w:val="00145A12"/>
    <w:rsid w:val="00155F8B"/>
    <w:rsid w:val="0016510A"/>
    <w:rsid w:val="00165A2C"/>
    <w:rsid w:val="00195EF0"/>
    <w:rsid w:val="001B6D04"/>
    <w:rsid w:val="001C6347"/>
    <w:rsid w:val="001C65BE"/>
    <w:rsid w:val="001F444A"/>
    <w:rsid w:val="001F7332"/>
    <w:rsid w:val="00206A3F"/>
    <w:rsid w:val="00244DD6"/>
    <w:rsid w:val="002462D7"/>
    <w:rsid w:val="00253AD5"/>
    <w:rsid w:val="00257065"/>
    <w:rsid w:val="002678F4"/>
    <w:rsid w:val="00275860"/>
    <w:rsid w:val="00275D69"/>
    <w:rsid w:val="00286F3C"/>
    <w:rsid w:val="002E766F"/>
    <w:rsid w:val="00312F55"/>
    <w:rsid w:val="0031425C"/>
    <w:rsid w:val="00316088"/>
    <w:rsid w:val="003267A5"/>
    <w:rsid w:val="0034469A"/>
    <w:rsid w:val="003B13B2"/>
    <w:rsid w:val="003E21F8"/>
    <w:rsid w:val="003E44F1"/>
    <w:rsid w:val="003F0880"/>
    <w:rsid w:val="00426E46"/>
    <w:rsid w:val="00440F0C"/>
    <w:rsid w:val="00461AE4"/>
    <w:rsid w:val="0046637C"/>
    <w:rsid w:val="0047432C"/>
    <w:rsid w:val="004B48A5"/>
    <w:rsid w:val="004D00B2"/>
    <w:rsid w:val="004F3CE3"/>
    <w:rsid w:val="004F5993"/>
    <w:rsid w:val="00517064"/>
    <w:rsid w:val="00520CA0"/>
    <w:rsid w:val="00522E88"/>
    <w:rsid w:val="00534DC7"/>
    <w:rsid w:val="005565B8"/>
    <w:rsid w:val="00566A2E"/>
    <w:rsid w:val="005725B2"/>
    <w:rsid w:val="00575DFC"/>
    <w:rsid w:val="00577A33"/>
    <w:rsid w:val="00582D06"/>
    <w:rsid w:val="00586EA4"/>
    <w:rsid w:val="005D150B"/>
    <w:rsid w:val="005D2489"/>
    <w:rsid w:val="005F08A3"/>
    <w:rsid w:val="0063350D"/>
    <w:rsid w:val="00654A65"/>
    <w:rsid w:val="00657B92"/>
    <w:rsid w:val="00690661"/>
    <w:rsid w:val="00691F21"/>
    <w:rsid w:val="006D1E27"/>
    <w:rsid w:val="006D7710"/>
    <w:rsid w:val="006F2229"/>
    <w:rsid w:val="00706143"/>
    <w:rsid w:val="00730B97"/>
    <w:rsid w:val="00737C1D"/>
    <w:rsid w:val="00774BA7"/>
    <w:rsid w:val="0078584C"/>
    <w:rsid w:val="007A3566"/>
    <w:rsid w:val="007C3D4E"/>
    <w:rsid w:val="007D4962"/>
    <w:rsid w:val="007F63CC"/>
    <w:rsid w:val="0080594C"/>
    <w:rsid w:val="00813629"/>
    <w:rsid w:val="00817BD6"/>
    <w:rsid w:val="00832F2D"/>
    <w:rsid w:val="008447BA"/>
    <w:rsid w:val="00876539"/>
    <w:rsid w:val="008A28DA"/>
    <w:rsid w:val="008F24CE"/>
    <w:rsid w:val="00931FEE"/>
    <w:rsid w:val="00961F5C"/>
    <w:rsid w:val="00973379"/>
    <w:rsid w:val="00997BE6"/>
    <w:rsid w:val="009D079F"/>
    <w:rsid w:val="009F652B"/>
    <w:rsid w:val="00A112E2"/>
    <w:rsid w:val="00A1654A"/>
    <w:rsid w:val="00A23D73"/>
    <w:rsid w:val="00A34D39"/>
    <w:rsid w:val="00A513A6"/>
    <w:rsid w:val="00A70EEB"/>
    <w:rsid w:val="00A713BC"/>
    <w:rsid w:val="00A74FD2"/>
    <w:rsid w:val="00A81FB9"/>
    <w:rsid w:val="00A82BDB"/>
    <w:rsid w:val="00AA03F6"/>
    <w:rsid w:val="00AA2FD8"/>
    <w:rsid w:val="00AB49D3"/>
    <w:rsid w:val="00B00423"/>
    <w:rsid w:val="00B81A68"/>
    <w:rsid w:val="00BA48C8"/>
    <w:rsid w:val="00BB57FE"/>
    <w:rsid w:val="00BD6E26"/>
    <w:rsid w:val="00BE133B"/>
    <w:rsid w:val="00BE54EE"/>
    <w:rsid w:val="00BE6D94"/>
    <w:rsid w:val="00BF2EE7"/>
    <w:rsid w:val="00BF7BDF"/>
    <w:rsid w:val="00C04E0C"/>
    <w:rsid w:val="00C230BC"/>
    <w:rsid w:val="00C30A1E"/>
    <w:rsid w:val="00C50AA1"/>
    <w:rsid w:val="00C55508"/>
    <w:rsid w:val="00C55A70"/>
    <w:rsid w:val="00C66B71"/>
    <w:rsid w:val="00CD38C9"/>
    <w:rsid w:val="00CD5F0D"/>
    <w:rsid w:val="00CF6EBF"/>
    <w:rsid w:val="00D105E6"/>
    <w:rsid w:val="00D84DC0"/>
    <w:rsid w:val="00D910F9"/>
    <w:rsid w:val="00D97626"/>
    <w:rsid w:val="00DA46BB"/>
    <w:rsid w:val="00DD4EBE"/>
    <w:rsid w:val="00DE1663"/>
    <w:rsid w:val="00DF0B8A"/>
    <w:rsid w:val="00DF60E1"/>
    <w:rsid w:val="00E55470"/>
    <w:rsid w:val="00E814A0"/>
    <w:rsid w:val="00EC4486"/>
    <w:rsid w:val="00EC63BF"/>
    <w:rsid w:val="00ED3F85"/>
    <w:rsid w:val="00EE511B"/>
    <w:rsid w:val="00EE59F7"/>
    <w:rsid w:val="00EE68B6"/>
    <w:rsid w:val="00EE7FDA"/>
    <w:rsid w:val="00EF27F0"/>
    <w:rsid w:val="00F121AC"/>
    <w:rsid w:val="00F23048"/>
    <w:rsid w:val="00F23C4B"/>
    <w:rsid w:val="00F25A17"/>
    <w:rsid w:val="00F36B35"/>
    <w:rsid w:val="00F52AB8"/>
    <w:rsid w:val="00F54B75"/>
    <w:rsid w:val="00F55BB9"/>
    <w:rsid w:val="00FA1736"/>
    <w:rsid w:val="00FD6726"/>
    <w:rsid w:val="00FE0BBC"/>
    <w:rsid w:val="00FF5068"/>
    <w:rsid w:val="00FF7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693295"/>
  <w15:chartTrackingRefBased/>
  <w15:docId w15:val="{863DB0DC-B326-49B7-8C7B-F566BA1C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4A"/>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1"/>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F52AB8"/>
    <w:pPr>
      <w:autoSpaceDE w:val="0"/>
      <w:autoSpaceDN w:val="0"/>
      <w:adjustRightInd w:val="0"/>
      <w:spacing w:after="0"/>
    </w:pPr>
    <w:rPr>
      <w:rFonts w:ascii="Calibri Light" w:hAnsi="Calibri Light" w:cs="Calibri Light"/>
      <w:sz w:val="22"/>
    </w:rPr>
  </w:style>
  <w:style w:type="character" w:customStyle="1" w:styleId="BodyTextChar">
    <w:name w:val="Body Text Char"/>
    <w:basedOn w:val="DefaultParagraphFont"/>
    <w:link w:val="BodyText"/>
    <w:uiPriority w:val="1"/>
    <w:rsid w:val="00F52AB8"/>
    <w:rPr>
      <w:rFonts w:ascii="Calibri Light" w:hAnsi="Calibri Light" w:cs="Calibri Light"/>
    </w:rPr>
  </w:style>
  <w:style w:type="character" w:styleId="UnresolvedMention">
    <w:name w:val="Unresolved Mention"/>
    <w:basedOn w:val="DefaultParagraphFont"/>
    <w:uiPriority w:val="99"/>
    <w:semiHidden/>
    <w:unhideWhenUsed/>
    <w:rsid w:val="00690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humanrights.gov.au/our-work/employers/sex-discrimina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wgea.gov.au/pay-and-gender"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s://www.dese.gov.au/career-revive/career-revive-case-study-dalrymple-bay-coal-termina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wgea.gov.au/gender-strate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ese.gov.au/employing-and-supporting-women-your-organisation/resources/fixing-system-not-women-toolkit"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wgea.gov.au/pay-equity" TargetMode="External"/><Relationship Id="rId10" Type="http://schemas.openxmlformats.org/officeDocument/2006/relationships/endnotes" Target="endnotes.xml"/><Relationship Id="rId19" Type="http://schemas.openxmlformats.org/officeDocument/2006/relationships/hyperlink" Target="https://humanrights.gov.au/extended-area-work/gender-divers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wgea.gov.au/the-gender-pay-gap"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I:\Career%20Revive%20-%20Policy%20Implementation\Career%20Revive%20-%20Project%20Management%20-%20Stakeholder%20engagement\2022%20resources%20for%20HUB\HUB%20documents\Workforce%20Australia_Factsheet_Interna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9A4F2BEA1F8445813CADFC29197883" ma:contentTypeVersion="8" ma:contentTypeDescription="Create a new document." ma:contentTypeScope="" ma:versionID="d92c4f38aba4ce1d5add7e6e39c1d11e">
  <xsd:schema xmlns:xsd="http://www.w3.org/2001/XMLSchema" xmlns:xs="http://www.w3.org/2001/XMLSchema" xmlns:p="http://schemas.microsoft.com/office/2006/metadata/properties" xmlns:ns1="http://schemas.microsoft.com/sharepoint/v3" xmlns:ns2="e72c3662-d489-4d5c-a678-b18c0e8aeb72" targetNamespace="http://schemas.microsoft.com/office/2006/metadata/properties" ma:root="true" ma:fieldsID="d0cef9992f6b481956d4332ed4741ff3" ns1:_="" ns2:_="">
    <xsd:import namespace="http://schemas.microsoft.com/sharepoint/v3"/>
    <xsd:import namespace="e72c3662-d489-4d5c-a678-b18c0e8aeb72"/>
    <xsd:element name="properties">
      <xsd:complexType>
        <xsd:sequence>
          <xsd:element name="documentManagement">
            <xsd:complexType>
              <xsd:all>
                <xsd:element ref="ns1:PublishingStartDate" minOccurs="0"/>
                <xsd:element ref="ns1:PublishingExpirationDate" minOccurs="0"/>
                <xsd:element ref="ns2:c77ff7c7c1664d159fae33316485e10c" minOccurs="0"/>
                <xsd:element ref="ns2:TaxCatchAll" minOccurs="0"/>
                <xsd:element ref="ns2:pfc532bc3d924724be3e431fa8a34286"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c77ff7c7c1664d159fae33316485e10c" ma:index="11" nillable="true" ma:taxonomy="true" ma:internalName="c77ff7c7c1664d159fae33316485e10c" ma:taxonomyFieldName="Stream" ma:displayName="Stream" ma:default="" ma:fieldId="{c77ff7c7-c166-4d15-9fae-33316485e10c}" ma:sspId="e520a5ab-959b-4497-846e-ecf021209760" ma:termSetId="88a1ea85-d219-4419-8c81-5a0a9bfd0fa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df49b01858c4ab7b49fec8a6554c79a" ma:index="16"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72c3662-d489-4d5c-a678-b18c0e8aeb72"/>
    <idf49b01858c4ab7b49fec8a6554c79a xmlns="e72c3662-d489-4d5c-a678-b18c0e8aeb72">
      <Terms xmlns="http://schemas.microsoft.com/office/infopath/2007/PartnerControls"/>
    </idf49b01858c4ab7b49fec8a6554c79a>
    <pfc532bc3d924724be3e431fa8a34286 xmlns="e72c3662-d489-4d5c-a678-b18c0e8aeb72">
      <Terms xmlns="http://schemas.microsoft.com/office/infopath/2007/PartnerControls"/>
    </pfc532bc3d924724be3e431fa8a34286>
    <PublishingExpirationDate xmlns="http://schemas.microsoft.com/sharepoint/v3" xsi:nil="true"/>
    <PublishingStartDate xmlns="http://schemas.microsoft.com/sharepoint/v3" xsi:nil="true"/>
    <c77ff7c7c1664d159fae33316485e10c xmlns="e72c3662-d489-4d5c-a678-b18c0e8aeb72">
      <Terms xmlns="http://schemas.microsoft.com/office/infopath/2007/PartnerControls"/>
    </c77ff7c7c1664d159fae33316485e10c>
  </documentManagement>
</p:properties>
</file>

<file path=customXml/itemProps1.xml><?xml version="1.0" encoding="utf-8"?>
<ds:datastoreItem xmlns:ds="http://schemas.openxmlformats.org/officeDocument/2006/customXml" ds:itemID="{A8599AE2-9ABA-41AD-9FBD-A20308E5DF63}">
  <ds:schemaRefs>
    <ds:schemaRef ds:uri="http://schemas.microsoft.com/sharepoint/v3/contenttype/forms"/>
  </ds:schemaRefs>
</ds:datastoreItem>
</file>

<file path=customXml/itemProps2.xml><?xml version="1.0" encoding="utf-8"?>
<ds:datastoreItem xmlns:ds="http://schemas.openxmlformats.org/officeDocument/2006/customXml" ds:itemID="{81060E97-2F03-41F1-9F35-7FE5E0513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customXml/itemProps4.xml><?xml version="1.0" encoding="utf-8"?>
<ds:datastoreItem xmlns:ds="http://schemas.openxmlformats.org/officeDocument/2006/customXml" ds:itemID="{1BDB2D86-CC91-49C1-88E9-E8F8CA6D187A}">
  <ds:schemaRefs>
    <ds:schemaRef ds:uri="http://schemas.microsoft.com/office/2006/metadata/properties"/>
    <ds:schemaRef ds:uri="http://schemas.microsoft.com/office/infopath/2007/PartnerControls"/>
    <ds:schemaRef ds:uri="e72c3662-d489-4d5c-a678-b18c0e8aeb7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Workforce Australia_Factsheet_Internal_Template.dotx</Template>
  <TotalTime>17</TotalTime>
  <Pages>1</Pages>
  <Words>476</Words>
  <Characters>2812</Characters>
  <Application>Microsoft Office Word</Application>
  <DocSecurity>0</DocSecurity>
  <Lines>49</Lines>
  <Paragraphs>37</Paragraphs>
  <ScaleCrop>false</ScaleCrop>
  <HeadingPairs>
    <vt:vector size="2" baseType="variant">
      <vt:variant>
        <vt:lpstr>Title</vt:lpstr>
      </vt:variant>
      <vt:variant>
        <vt:i4>1</vt:i4>
      </vt:variant>
    </vt:vector>
  </HeadingPairs>
  <TitlesOfParts>
    <vt:vector size="1" baseType="lpstr">
      <vt:lpstr>Australian Government Workforce Australia</vt:lpstr>
    </vt:vector>
  </TitlesOfParts>
  <Company>Australian Government</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Workforce Australia</dc:title>
  <dc:subject/>
  <dc:creator>FISK,Ursula</dc:creator>
  <cp:keywords/>
  <dc:description/>
  <cp:lastModifiedBy>FISK,Ursula</cp:lastModifiedBy>
  <cp:revision>5</cp:revision>
  <dcterms:created xsi:type="dcterms:W3CDTF">2022-06-22T00:53:00Z</dcterms:created>
  <dcterms:modified xsi:type="dcterms:W3CDTF">2022-07-20T01:55:00Z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2022-04-13T04:43:49Z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1380ef66-15aa-4b34-b76f-351f33ceef07</vt:lpwstr>
  </property>
  <property fmtid="{D5CDD505-2E9C-101B-9397-08002B2CF9AE}" pid="8" name="MSIP_Label_5f877481-9e35-4b68-b667-876a73c6db41_ContentBits">
    <vt:lpwstr>0</vt:lpwstr>
  </property>
  <property fmtid="{D5CDD505-2E9C-101B-9397-08002B2CF9AE}" pid="9" name="ContentTypeId">
    <vt:lpwstr>0x010100A09A4F2BEA1F8445813CADFC29197883</vt:lpwstr>
  </property>
</Properties>
</file>