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F5" w:rsidRDefault="00433FF5" w:rsidP="00433FF5">
      <w:pPr>
        <w:spacing w:after="0" w:line="240" w:lineRule="auto"/>
        <w:jc w:val="center"/>
        <w:rPr>
          <w:rFonts w:ascii="Times New Roman" w:hAnsi="Times New Roman"/>
          <w:b/>
        </w:rPr>
      </w:pPr>
      <w:bookmarkStart w:id="0" w:name="_GoBack"/>
      <w:bookmarkEnd w:id="0"/>
      <w:r w:rsidRPr="004C13C5">
        <w:rPr>
          <w:rFonts w:ascii="Times New Roman" w:hAnsi="Times New Roman"/>
          <w:b/>
        </w:rPr>
        <w:t>MINISTER</w:t>
      </w:r>
      <w:r>
        <w:rPr>
          <w:rFonts w:ascii="Times New Roman" w:hAnsi="Times New Roman"/>
          <w:b/>
        </w:rPr>
        <w:t>’S GUIDELINES FOR ASSESSING S</w:t>
      </w:r>
      <w:r w:rsidR="006663F5">
        <w:rPr>
          <w:rFonts w:ascii="Times New Roman" w:hAnsi="Times New Roman"/>
          <w:b/>
        </w:rPr>
        <w:t>UBS</w:t>
      </w:r>
      <w:r>
        <w:rPr>
          <w:rFonts w:ascii="Times New Roman" w:hAnsi="Times New Roman"/>
          <w:b/>
        </w:rPr>
        <w:t>ECTION 100</w:t>
      </w:r>
      <w:r w:rsidR="004A05F9">
        <w:rPr>
          <w:rFonts w:ascii="Times New Roman" w:hAnsi="Times New Roman"/>
          <w:b/>
        </w:rPr>
        <w:t>(1)</w:t>
      </w:r>
      <w:r>
        <w:rPr>
          <w:rFonts w:ascii="Times New Roman" w:hAnsi="Times New Roman"/>
          <w:b/>
        </w:rPr>
        <w:t xml:space="preserve"> APPLICATIONS</w:t>
      </w:r>
    </w:p>
    <w:p w:rsidR="00433FF5" w:rsidRDefault="00433FF5" w:rsidP="00433FF5">
      <w:pPr>
        <w:spacing w:after="0" w:line="240" w:lineRule="auto"/>
        <w:jc w:val="center"/>
        <w:rPr>
          <w:rFonts w:ascii="Times New Roman" w:hAnsi="Times New Roman"/>
          <w:b/>
        </w:rPr>
      </w:pPr>
    </w:p>
    <w:p w:rsidR="00433FF5" w:rsidRDefault="00433FF5" w:rsidP="00433FF5">
      <w:pPr>
        <w:spacing w:after="0" w:line="240" w:lineRule="auto"/>
        <w:jc w:val="center"/>
        <w:rPr>
          <w:rFonts w:ascii="Times New Roman" w:hAnsi="Times New Roman"/>
          <w:b/>
        </w:rPr>
      </w:pPr>
      <w:r>
        <w:rPr>
          <w:rFonts w:ascii="Times New Roman" w:hAnsi="Times New Roman"/>
          <w:b/>
        </w:rPr>
        <w:t>Australian Government’s Workers’ Compensation Scheme</w:t>
      </w:r>
    </w:p>
    <w:p w:rsidR="00433FF5" w:rsidRDefault="00433FF5" w:rsidP="00433FF5">
      <w:pPr>
        <w:spacing w:after="0" w:line="240" w:lineRule="auto"/>
        <w:jc w:val="center"/>
        <w:rPr>
          <w:rFonts w:ascii="Times New Roman" w:hAnsi="Times New Roman"/>
          <w:b/>
        </w:rPr>
      </w:pPr>
      <w:r>
        <w:rPr>
          <w:rFonts w:ascii="Times New Roman" w:hAnsi="Times New Roman"/>
          <w:b/>
        </w:rPr>
        <w:t>Eligibility for Coverage for Non-Commonwealth Corporations</w:t>
      </w:r>
    </w:p>
    <w:p w:rsidR="00433FF5" w:rsidRDefault="00433FF5" w:rsidP="00433FF5">
      <w:pPr>
        <w:spacing w:after="0" w:line="240" w:lineRule="auto"/>
        <w:jc w:val="center"/>
        <w:rPr>
          <w:rFonts w:ascii="Times New Roman" w:hAnsi="Times New Roman"/>
          <w:b/>
        </w:rPr>
      </w:pPr>
    </w:p>
    <w:p w:rsidR="00433FF5" w:rsidRDefault="00433FF5" w:rsidP="00433FF5">
      <w:pPr>
        <w:spacing w:after="0" w:line="240" w:lineRule="auto"/>
        <w:rPr>
          <w:rFonts w:ascii="Times New Roman" w:hAnsi="Times New Roman"/>
          <w:b/>
        </w:rPr>
      </w:pPr>
    </w:p>
    <w:p w:rsidR="00433FF5" w:rsidRDefault="00433FF5" w:rsidP="00433FF5">
      <w:pPr>
        <w:spacing w:after="0" w:line="240" w:lineRule="auto"/>
        <w:ind w:left="510"/>
        <w:rPr>
          <w:rFonts w:ascii="Times New Roman" w:hAnsi="Times New Roman"/>
          <w:b/>
        </w:rPr>
      </w:pPr>
      <w:r>
        <w:rPr>
          <w:rFonts w:ascii="Times New Roman" w:hAnsi="Times New Roman"/>
          <w:b/>
        </w:rPr>
        <w:t>Background</w:t>
      </w:r>
    </w:p>
    <w:p w:rsidR="00433FF5" w:rsidRDefault="00433FF5" w:rsidP="00433FF5">
      <w:pPr>
        <w:pStyle w:val="ListParagraph"/>
        <w:numPr>
          <w:ilvl w:val="0"/>
          <w:numId w:val="1"/>
        </w:numPr>
        <w:spacing w:after="0" w:line="240" w:lineRule="auto"/>
        <w:rPr>
          <w:rFonts w:ascii="Times New Roman" w:hAnsi="Times New Roman"/>
        </w:rPr>
      </w:pPr>
      <w:r>
        <w:rPr>
          <w:rFonts w:ascii="Times New Roman" w:hAnsi="Times New Roman"/>
        </w:rPr>
        <w:t>S</w:t>
      </w:r>
      <w:r w:rsidR="00C64AC4">
        <w:rPr>
          <w:rFonts w:ascii="Times New Roman" w:hAnsi="Times New Roman"/>
        </w:rPr>
        <w:t>ubs</w:t>
      </w:r>
      <w:r>
        <w:rPr>
          <w:rFonts w:ascii="Times New Roman" w:hAnsi="Times New Roman"/>
        </w:rPr>
        <w:t>ection 100</w:t>
      </w:r>
      <w:r w:rsidR="004A05F9">
        <w:rPr>
          <w:rFonts w:ascii="Times New Roman" w:hAnsi="Times New Roman"/>
        </w:rPr>
        <w:t>(1)</w:t>
      </w:r>
      <w:r>
        <w:rPr>
          <w:rFonts w:ascii="Times New Roman" w:hAnsi="Times New Roman"/>
        </w:rPr>
        <w:t xml:space="preserve"> of the </w:t>
      </w:r>
      <w:r>
        <w:rPr>
          <w:rFonts w:ascii="Times New Roman" w:hAnsi="Times New Roman"/>
          <w:i/>
        </w:rPr>
        <w:t xml:space="preserve">Safety, Compensation and Rehabilitation Act 1988 </w:t>
      </w:r>
      <w:r>
        <w:rPr>
          <w:rFonts w:ascii="Times New Roman" w:hAnsi="Times New Roman"/>
        </w:rPr>
        <w:t xml:space="preserve">(the Act) gives the Minister for Employment </w:t>
      </w:r>
      <w:r w:rsidRPr="00F61827">
        <w:rPr>
          <w:rFonts w:ascii="Times New Roman" w:hAnsi="Times New Roman"/>
        </w:rPr>
        <w:t>power to declare certain corporations as ‘eligible’ to apply for a workers’ compensation</w:t>
      </w:r>
      <w:r>
        <w:rPr>
          <w:rFonts w:ascii="Times New Roman" w:hAnsi="Times New Roman"/>
        </w:rPr>
        <w:t xml:space="preserve"> </w:t>
      </w:r>
      <w:r w:rsidRPr="00F61827">
        <w:rPr>
          <w:rFonts w:ascii="Times New Roman" w:hAnsi="Times New Roman"/>
        </w:rPr>
        <w:t>self-insurance licence under the Act.</w:t>
      </w:r>
    </w:p>
    <w:p w:rsidR="00433FF5" w:rsidRPr="00F61827" w:rsidRDefault="00433FF5" w:rsidP="00433FF5">
      <w:pPr>
        <w:pStyle w:val="ListParagraph"/>
        <w:numPr>
          <w:ilvl w:val="0"/>
          <w:numId w:val="1"/>
        </w:numPr>
        <w:spacing w:after="0" w:line="240" w:lineRule="auto"/>
        <w:rPr>
          <w:rFonts w:ascii="Times New Roman" w:hAnsi="Times New Roman"/>
        </w:rPr>
      </w:pPr>
      <w:r w:rsidRPr="00F61827">
        <w:rPr>
          <w:rFonts w:ascii="Times New Roman" w:hAnsi="Times New Roman"/>
        </w:rPr>
        <w:t>S</w:t>
      </w:r>
      <w:r w:rsidR="00C64AC4">
        <w:rPr>
          <w:rFonts w:ascii="Times New Roman" w:hAnsi="Times New Roman"/>
        </w:rPr>
        <w:t>ubs</w:t>
      </w:r>
      <w:r w:rsidRPr="00F61827">
        <w:rPr>
          <w:rFonts w:ascii="Times New Roman" w:hAnsi="Times New Roman"/>
        </w:rPr>
        <w:t>ection 100</w:t>
      </w:r>
      <w:r w:rsidR="004A05F9">
        <w:rPr>
          <w:rFonts w:ascii="Times New Roman" w:hAnsi="Times New Roman"/>
        </w:rPr>
        <w:t>(1)</w:t>
      </w:r>
      <w:r w:rsidRPr="00F61827">
        <w:rPr>
          <w:rFonts w:ascii="Times New Roman" w:hAnsi="Times New Roman"/>
        </w:rPr>
        <w:t xml:space="preserve"> states that if the Minister is satisfied that it would be desirable for this Act to apply to employees of a corporation that:</w:t>
      </w:r>
    </w:p>
    <w:p w:rsidR="00433FF5" w:rsidRDefault="00433FF5" w:rsidP="00433FF5">
      <w:pPr>
        <w:pStyle w:val="ListParagraph"/>
        <w:numPr>
          <w:ilvl w:val="1"/>
          <w:numId w:val="1"/>
        </w:numPr>
        <w:spacing w:after="0" w:line="240" w:lineRule="auto"/>
        <w:rPr>
          <w:rFonts w:ascii="Times New Roman" w:hAnsi="Times New Roman"/>
        </w:rPr>
      </w:pPr>
      <w:r>
        <w:rPr>
          <w:rFonts w:ascii="Times New Roman" w:hAnsi="Times New Roman"/>
        </w:rPr>
        <w:t>is, but is about to cease to be, a Commonwealth authority; or</w:t>
      </w:r>
    </w:p>
    <w:p w:rsidR="00433FF5" w:rsidRDefault="00433FF5" w:rsidP="00433FF5">
      <w:pPr>
        <w:pStyle w:val="ListParagraph"/>
        <w:numPr>
          <w:ilvl w:val="1"/>
          <w:numId w:val="1"/>
        </w:numPr>
        <w:spacing w:after="0" w:line="240" w:lineRule="auto"/>
        <w:rPr>
          <w:rFonts w:ascii="Times New Roman" w:hAnsi="Times New Roman"/>
        </w:rPr>
      </w:pPr>
      <w:r>
        <w:rPr>
          <w:rFonts w:ascii="Times New Roman" w:hAnsi="Times New Roman"/>
        </w:rPr>
        <w:t>was previously a Commonwealth authority; or</w:t>
      </w:r>
    </w:p>
    <w:p w:rsidR="00433FF5" w:rsidRDefault="00433FF5" w:rsidP="00433FF5">
      <w:pPr>
        <w:pStyle w:val="ListParagraph"/>
        <w:numPr>
          <w:ilvl w:val="1"/>
          <w:numId w:val="1"/>
        </w:numPr>
        <w:spacing w:after="0" w:line="240" w:lineRule="auto"/>
        <w:rPr>
          <w:rFonts w:ascii="Times New Roman" w:hAnsi="Times New Roman"/>
        </w:rPr>
      </w:pPr>
      <w:r>
        <w:rPr>
          <w:rFonts w:ascii="Times New Roman" w:hAnsi="Times New Roman"/>
        </w:rPr>
        <w:t>is carrying on business in competition with a Commonwealth authority or with another corporation that was previously a Commonwealth authority;</w:t>
      </w:r>
    </w:p>
    <w:p w:rsidR="00433FF5" w:rsidRPr="00F33251" w:rsidRDefault="00433FF5" w:rsidP="00433FF5">
      <w:pPr>
        <w:spacing w:after="0" w:line="240" w:lineRule="auto"/>
        <w:ind w:left="870"/>
        <w:rPr>
          <w:rFonts w:ascii="Times New Roman" w:hAnsi="Times New Roman"/>
        </w:rPr>
      </w:pPr>
      <w:proofErr w:type="gramStart"/>
      <w:r>
        <w:rPr>
          <w:rFonts w:ascii="Times New Roman" w:hAnsi="Times New Roman"/>
        </w:rPr>
        <w:t>the</w:t>
      </w:r>
      <w:proofErr w:type="gramEnd"/>
      <w:r>
        <w:rPr>
          <w:rFonts w:ascii="Times New Roman" w:hAnsi="Times New Roman"/>
        </w:rPr>
        <w:t xml:space="preserve"> Minister may, by legislative instrument, </w:t>
      </w:r>
      <w:r w:rsidR="000A3800">
        <w:rPr>
          <w:rFonts w:ascii="Times New Roman" w:hAnsi="Times New Roman"/>
        </w:rPr>
        <w:t xml:space="preserve">but is not required to, </w:t>
      </w:r>
      <w:r>
        <w:rPr>
          <w:rFonts w:ascii="Times New Roman" w:hAnsi="Times New Roman"/>
        </w:rPr>
        <w:t>declare the corporation to be eligible to be granted a licence under this Part.</w:t>
      </w:r>
    </w:p>
    <w:p w:rsidR="00433FF5" w:rsidRDefault="00433FF5" w:rsidP="00433FF5">
      <w:pPr>
        <w:pStyle w:val="ListParagraph"/>
        <w:numPr>
          <w:ilvl w:val="0"/>
          <w:numId w:val="1"/>
        </w:numPr>
        <w:spacing w:after="0" w:line="240" w:lineRule="auto"/>
        <w:rPr>
          <w:rFonts w:ascii="Times New Roman" w:hAnsi="Times New Roman"/>
        </w:rPr>
      </w:pPr>
      <w:r w:rsidRPr="00F61827">
        <w:rPr>
          <w:rFonts w:ascii="Times New Roman" w:hAnsi="Times New Roman"/>
        </w:rPr>
        <w:t xml:space="preserve">If </w:t>
      </w:r>
      <w:r w:rsidRPr="00F33251">
        <w:rPr>
          <w:rFonts w:ascii="Times New Roman" w:hAnsi="Times New Roman"/>
        </w:rPr>
        <w:t>the Minister declares a corporation eligible, the granting of a licence is subject to approval by the Safety, Rehabilitation and Compensation Commission. The Safety, Rehabilitation and Compensation Commission has established criteria for granting of a licence which includes financial and other requirements.</w:t>
      </w:r>
    </w:p>
    <w:p w:rsidR="00433FF5" w:rsidRPr="00E55E12" w:rsidRDefault="00433FF5" w:rsidP="00433FF5">
      <w:pPr>
        <w:pStyle w:val="ListParagraph"/>
        <w:numPr>
          <w:ilvl w:val="0"/>
          <w:numId w:val="1"/>
        </w:numPr>
        <w:spacing w:after="0" w:line="240" w:lineRule="auto"/>
        <w:rPr>
          <w:rFonts w:ascii="Times New Roman" w:hAnsi="Times New Roman"/>
        </w:rPr>
      </w:pPr>
      <w:r w:rsidRPr="00E55E12">
        <w:rPr>
          <w:rFonts w:ascii="Times New Roman" w:hAnsi="Times New Roman"/>
        </w:rPr>
        <w:t xml:space="preserve">The Guidelines were endorsed </w:t>
      </w:r>
      <w:r w:rsidR="00E82F03">
        <w:rPr>
          <w:rFonts w:ascii="Times New Roman" w:hAnsi="Times New Roman"/>
        </w:rPr>
        <w:t xml:space="preserve">by the Minister </w:t>
      </w:r>
      <w:r w:rsidR="00082ED6">
        <w:rPr>
          <w:rFonts w:ascii="Times New Roman" w:hAnsi="Times New Roman"/>
        </w:rPr>
        <w:t xml:space="preserve">for Employment </w:t>
      </w:r>
      <w:r w:rsidRPr="00E55E12">
        <w:rPr>
          <w:rFonts w:ascii="Times New Roman" w:hAnsi="Times New Roman"/>
        </w:rPr>
        <w:t>in 20</w:t>
      </w:r>
      <w:r w:rsidR="00082ED6">
        <w:rPr>
          <w:rFonts w:ascii="Times New Roman" w:hAnsi="Times New Roman"/>
        </w:rPr>
        <w:t>16 to assist</w:t>
      </w:r>
      <w:r w:rsidRPr="00E55E12">
        <w:rPr>
          <w:rFonts w:ascii="Times New Roman" w:hAnsi="Times New Roman"/>
        </w:rPr>
        <w:t xml:space="preserve"> </w:t>
      </w:r>
      <w:r w:rsidR="00082ED6">
        <w:rPr>
          <w:rFonts w:ascii="Times New Roman" w:hAnsi="Times New Roman"/>
        </w:rPr>
        <w:t xml:space="preserve">the Minister </w:t>
      </w:r>
      <w:r w:rsidRPr="00E55E12">
        <w:rPr>
          <w:rFonts w:ascii="Times New Roman" w:hAnsi="Times New Roman"/>
        </w:rPr>
        <w:t xml:space="preserve">in making decisions under </w:t>
      </w:r>
      <w:r w:rsidRPr="003D28C1">
        <w:rPr>
          <w:rFonts w:ascii="Times New Roman" w:hAnsi="Times New Roman"/>
        </w:rPr>
        <w:t>subsection 100(1) of</w:t>
      </w:r>
      <w:r w:rsidRPr="00E55E12">
        <w:rPr>
          <w:rFonts w:ascii="Times New Roman" w:hAnsi="Times New Roman"/>
        </w:rPr>
        <w:t xml:space="preserve"> the Act.</w:t>
      </w:r>
    </w:p>
    <w:p w:rsidR="00433FF5" w:rsidRDefault="00433FF5" w:rsidP="00433FF5">
      <w:pPr>
        <w:pStyle w:val="ListParagraph"/>
        <w:spacing w:after="0" w:line="240" w:lineRule="auto"/>
        <w:ind w:left="510"/>
        <w:rPr>
          <w:rFonts w:ascii="Times New Roman" w:hAnsi="Times New Roman"/>
          <w:b/>
        </w:rPr>
      </w:pPr>
    </w:p>
    <w:p w:rsidR="00433FF5" w:rsidRPr="00F33251" w:rsidRDefault="00433FF5" w:rsidP="00433FF5">
      <w:pPr>
        <w:pStyle w:val="ListParagraph"/>
        <w:spacing w:after="0" w:line="240" w:lineRule="auto"/>
        <w:ind w:left="510"/>
        <w:rPr>
          <w:rFonts w:ascii="Times New Roman" w:hAnsi="Times New Roman"/>
          <w:b/>
        </w:rPr>
      </w:pPr>
      <w:r>
        <w:rPr>
          <w:rFonts w:ascii="Times New Roman" w:hAnsi="Times New Roman"/>
          <w:b/>
        </w:rPr>
        <w:t>Subsection 100</w:t>
      </w:r>
      <w:r w:rsidR="003D28C1">
        <w:rPr>
          <w:rFonts w:ascii="Times New Roman" w:hAnsi="Times New Roman"/>
          <w:b/>
        </w:rPr>
        <w:t>(1)</w:t>
      </w:r>
      <w:r>
        <w:rPr>
          <w:rFonts w:ascii="Times New Roman" w:hAnsi="Times New Roman"/>
          <w:b/>
        </w:rPr>
        <w:t xml:space="preserve"> applications</w:t>
      </w:r>
    </w:p>
    <w:p w:rsidR="00433FF5" w:rsidRDefault="00433FF5" w:rsidP="00433FF5">
      <w:pPr>
        <w:pStyle w:val="ListParagraph"/>
        <w:numPr>
          <w:ilvl w:val="0"/>
          <w:numId w:val="1"/>
        </w:numPr>
        <w:spacing w:after="0" w:line="240" w:lineRule="auto"/>
        <w:rPr>
          <w:rFonts w:ascii="Times New Roman" w:hAnsi="Times New Roman"/>
        </w:rPr>
      </w:pPr>
      <w:r>
        <w:rPr>
          <w:rFonts w:ascii="Times New Roman" w:hAnsi="Times New Roman"/>
        </w:rPr>
        <w:t xml:space="preserve">In the event </w:t>
      </w:r>
      <w:r w:rsidRPr="00EF245E">
        <w:rPr>
          <w:rFonts w:ascii="Times New Roman" w:hAnsi="Times New Roman"/>
        </w:rPr>
        <w:t xml:space="preserve">the Minister receives applications from </w:t>
      </w:r>
      <w:proofErr w:type="gramStart"/>
      <w:r>
        <w:rPr>
          <w:rFonts w:ascii="Times New Roman" w:hAnsi="Times New Roman"/>
        </w:rPr>
        <w:t>non-C</w:t>
      </w:r>
      <w:r w:rsidRPr="00EF245E">
        <w:rPr>
          <w:rFonts w:ascii="Times New Roman" w:hAnsi="Times New Roman"/>
        </w:rPr>
        <w:t xml:space="preserve">ommonwealth </w:t>
      </w:r>
      <w:r>
        <w:rPr>
          <w:rFonts w:ascii="Times New Roman" w:hAnsi="Times New Roman"/>
        </w:rPr>
        <w:t>c</w:t>
      </w:r>
      <w:r w:rsidRPr="00EF245E">
        <w:rPr>
          <w:rFonts w:ascii="Times New Roman" w:hAnsi="Times New Roman"/>
        </w:rPr>
        <w:t>orporations</w:t>
      </w:r>
      <w:proofErr w:type="gramEnd"/>
      <w:r>
        <w:rPr>
          <w:rFonts w:ascii="Times New Roman" w:hAnsi="Times New Roman"/>
        </w:rPr>
        <w:t xml:space="preserve"> seeking a sub</w:t>
      </w:r>
      <w:r w:rsidRPr="00EF245E">
        <w:rPr>
          <w:rFonts w:ascii="Times New Roman" w:hAnsi="Times New Roman"/>
        </w:rPr>
        <w:t>section 100</w:t>
      </w:r>
      <w:r w:rsidR="003D28C1">
        <w:rPr>
          <w:rFonts w:ascii="Times New Roman" w:hAnsi="Times New Roman"/>
        </w:rPr>
        <w:t>(1)</w:t>
      </w:r>
      <w:r w:rsidRPr="00EF245E">
        <w:rPr>
          <w:rFonts w:ascii="Times New Roman" w:hAnsi="Times New Roman"/>
        </w:rPr>
        <w:t xml:space="preserve"> decl</w:t>
      </w:r>
      <w:r w:rsidR="00E37156">
        <w:rPr>
          <w:rFonts w:ascii="Times New Roman" w:hAnsi="Times New Roman"/>
        </w:rPr>
        <w:t>aration, the Minister</w:t>
      </w:r>
      <w:r w:rsidR="000A3800">
        <w:rPr>
          <w:rFonts w:ascii="Times New Roman" w:hAnsi="Times New Roman"/>
        </w:rPr>
        <w:t xml:space="preserve"> </w:t>
      </w:r>
      <w:r>
        <w:rPr>
          <w:rFonts w:ascii="Times New Roman" w:hAnsi="Times New Roman"/>
        </w:rPr>
        <w:t>may</w:t>
      </w:r>
      <w:r w:rsidRPr="00EF245E">
        <w:rPr>
          <w:rFonts w:ascii="Times New Roman" w:hAnsi="Times New Roman"/>
        </w:rPr>
        <w:t xml:space="preserve"> consider whether or not the corporation should be declared eligible to apply to the Safety, Rehabilitation and Compensation Commission for the granting of a self-insurance licence under the Commonwealth’s workers’ compensation scheme</w:t>
      </w:r>
      <w:r>
        <w:rPr>
          <w:rFonts w:ascii="Times New Roman" w:hAnsi="Times New Roman"/>
        </w:rPr>
        <w:t>.</w:t>
      </w:r>
    </w:p>
    <w:p w:rsidR="00433FF5" w:rsidRDefault="00433FF5" w:rsidP="00433FF5">
      <w:pPr>
        <w:pStyle w:val="ListParagraph"/>
        <w:numPr>
          <w:ilvl w:val="0"/>
          <w:numId w:val="1"/>
        </w:numPr>
        <w:spacing w:after="0" w:line="240" w:lineRule="auto"/>
        <w:rPr>
          <w:rFonts w:ascii="Times New Roman" w:hAnsi="Times New Roman"/>
        </w:rPr>
      </w:pPr>
      <w:r w:rsidRPr="00EF245E">
        <w:rPr>
          <w:rFonts w:ascii="Times New Roman" w:hAnsi="Times New Roman"/>
        </w:rPr>
        <w:t xml:space="preserve">To assist in consistent decision-making under the provision, and to provide guidance to applicants and potential applicants under </w:t>
      </w:r>
      <w:r>
        <w:rPr>
          <w:rFonts w:ascii="Times New Roman" w:hAnsi="Times New Roman"/>
        </w:rPr>
        <w:t>sub</w:t>
      </w:r>
      <w:r w:rsidRPr="00EF245E">
        <w:rPr>
          <w:rFonts w:ascii="Times New Roman" w:hAnsi="Times New Roman"/>
        </w:rPr>
        <w:t>section 100(</w:t>
      </w:r>
      <w:r w:rsidR="003D28C1">
        <w:rPr>
          <w:rFonts w:ascii="Times New Roman" w:hAnsi="Times New Roman"/>
        </w:rPr>
        <w:t>1</w:t>
      </w:r>
      <w:r w:rsidRPr="00EF245E">
        <w:rPr>
          <w:rFonts w:ascii="Times New Roman" w:hAnsi="Times New Roman"/>
        </w:rPr>
        <w:t>), the Minister may give consideration to the following areas of competition and public policy principles in deciding whether it is desirable for particular employees to be covered by the Act.</w:t>
      </w:r>
    </w:p>
    <w:p w:rsidR="00433FF5" w:rsidRDefault="00433FF5" w:rsidP="00433FF5">
      <w:pPr>
        <w:spacing w:after="0" w:line="240" w:lineRule="auto"/>
        <w:ind w:left="510"/>
        <w:rPr>
          <w:rFonts w:ascii="Times New Roman" w:hAnsi="Times New Roman"/>
        </w:rPr>
      </w:pPr>
    </w:p>
    <w:p w:rsidR="00433FF5" w:rsidRPr="00EF245E" w:rsidRDefault="00433FF5" w:rsidP="00433FF5">
      <w:pPr>
        <w:spacing w:after="0" w:line="240" w:lineRule="auto"/>
        <w:ind w:left="510"/>
        <w:rPr>
          <w:rFonts w:ascii="Times New Roman" w:hAnsi="Times New Roman"/>
          <w:b/>
        </w:rPr>
      </w:pPr>
      <w:r>
        <w:rPr>
          <w:rFonts w:ascii="Times New Roman" w:hAnsi="Times New Roman"/>
          <w:b/>
        </w:rPr>
        <w:t>Threshold competition assessment</w:t>
      </w:r>
    </w:p>
    <w:p w:rsidR="00433FF5" w:rsidRDefault="00433FF5" w:rsidP="00433FF5">
      <w:pPr>
        <w:pStyle w:val="ListParagraph"/>
        <w:numPr>
          <w:ilvl w:val="0"/>
          <w:numId w:val="1"/>
        </w:numPr>
        <w:spacing w:after="0" w:line="240" w:lineRule="auto"/>
        <w:rPr>
          <w:rFonts w:ascii="Times New Roman" w:hAnsi="Times New Roman"/>
        </w:rPr>
      </w:pPr>
      <w:r>
        <w:rPr>
          <w:rFonts w:ascii="Times New Roman" w:hAnsi="Times New Roman"/>
        </w:rPr>
        <w:t xml:space="preserve">The </w:t>
      </w:r>
      <w:r w:rsidRPr="002E5345">
        <w:rPr>
          <w:rFonts w:ascii="Times New Roman" w:hAnsi="Times New Roman"/>
        </w:rPr>
        <w:t xml:space="preserve">threshold test for a non-Commonwealth corporation to be declared eligible is to satisfy the Minister that they are ‘in competition’ with a Commonwealth authority or a former Commonwealth authority. This is prescribed by </w:t>
      </w:r>
      <w:r>
        <w:rPr>
          <w:rFonts w:ascii="Times New Roman" w:hAnsi="Times New Roman"/>
        </w:rPr>
        <w:t>sub</w:t>
      </w:r>
      <w:r w:rsidRPr="002E5345">
        <w:rPr>
          <w:rFonts w:ascii="Times New Roman" w:hAnsi="Times New Roman"/>
        </w:rPr>
        <w:t>section 100</w:t>
      </w:r>
      <w:r w:rsidR="003D28C1">
        <w:rPr>
          <w:rFonts w:ascii="Times New Roman" w:hAnsi="Times New Roman"/>
        </w:rPr>
        <w:t>(1</w:t>
      </w:r>
      <w:proofErr w:type="gramStart"/>
      <w:r w:rsidR="003D28C1">
        <w:rPr>
          <w:rFonts w:ascii="Times New Roman" w:hAnsi="Times New Roman"/>
        </w:rPr>
        <w:t>)</w:t>
      </w:r>
      <w:r w:rsidRPr="002E5345">
        <w:rPr>
          <w:rFonts w:ascii="Times New Roman" w:hAnsi="Times New Roman"/>
        </w:rPr>
        <w:t>(</w:t>
      </w:r>
      <w:proofErr w:type="gramEnd"/>
      <w:r w:rsidRPr="002E5345">
        <w:rPr>
          <w:rFonts w:ascii="Times New Roman" w:hAnsi="Times New Roman"/>
        </w:rPr>
        <w:t>c) of the Act.</w:t>
      </w:r>
    </w:p>
    <w:p w:rsidR="00433FF5" w:rsidRDefault="00433FF5" w:rsidP="00433FF5">
      <w:pPr>
        <w:pStyle w:val="Brief-BULLET"/>
        <w:numPr>
          <w:ilvl w:val="0"/>
          <w:numId w:val="1"/>
        </w:numPr>
        <w:spacing w:line="240" w:lineRule="auto"/>
        <w:ind w:right="142"/>
      </w:pPr>
      <w:r>
        <w:t>In making this judgement on competition, the Minister may have regard to evidence provided by the applicant, or available in the public arena, in the following two areas:</w:t>
      </w:r>
    </w:p>
    <w:p w:rsidR="00433FF5" w:rsidRDefault="00433FF5" w:rsidP="00433FF5">
      <w:pPr>
        <w:pStyle w:val="Brief-BULLET"/>
        <w:numPr>
          <w:ilvl w:val="1"/>
          <w:numId w:val="1"/>
        </w:numPr>
        <w:spacing w:line="240" w:lineRule="auto"/>
        <w:ind w:right="142"/>
      </w:pPr>
      <w:r>
        <w:t>the market in which the applicant and the Commonwealth authority operate, including the composition of the market and/or the market share of the applicant and the Commonwealth authority; and</w:t>
      </w:r>
    </w:p>
    <w:p w:rsidR="00433FF5" w:rsidRPr="002E5345" w:rsidRDefault="00433FF5" w:rsidP="00433FF5">
      <w:pPr>
        <w:numPr>
          <w:ilvl w:val="1"/>
          <w:numId w:val="1"/>
        </w:numPr>
        <w:spacing w:after="0" w:line="240" w:lineRule="auto"/>
        <w:rPr>
          <w:rFonts w:ascii="Times New Roman" w:eastAsia="Times New Roman" w:hAnsi="Times New Roman"/>
        </w:rPr>
      </w:pPr>
      <w:r>
        <w:rPr>
          <w:rFonts w:ascii="Times New Roman" w:eastAsia="Times New Roman" w:hAnsi="Times New Roman"/>
        </w:rPr>
        <w:t>the substitutability between the goods and services provided/produced by the applicant and those of the Commonwealth authority.</w:t>
      </w:r>
    </w:p>
    <w:p w:rsidR="00433FF5" w:rsidRDefault="00433FF5" w:rsidP="00433FF5">
      <w:pPr>
        <w:pStyle w:val="Brief-BULLET"/>
        <w:numPr>
          <w:ilvl w:val="0"/>
          <w:numId w:val="1"/>
        </w:numPr>
        <w:spacing w:line="240" w:lineRule="auto"/>
        <w:ind w:right="142"/>
        <w:rPr>
          <w:szCs w:val="22"/>
        </w:rPr>
      </w:pPr>
      <w:r>
        <w:rPr>
          <w:szCs w:val="22"/>
        </w:rPr>
        <w:t>It is at the discretion of the Minister to make a judgement on the above areas or on any other factors the Minister considers relevant in the making of his</w:t>
      </w:r>
      <w:r w:rsidR="00C64AC4">
        <w:rPr>
          <w:szCs w:val="22"/>
        </w:rPr>
        <w:t xml:space="preserve"> or her</w:t>
      </w:r>
      <w:r>
        <w:rPr>
          <w:szCs w:val="22"/>
        </w:rPr>
        <w:t xml:space="preserve"> decision.</w:t>
      </w:r>
    </w:p>
    <w:p w:rsidR="00433FF5" w:rsidRDefault="00433FF5" w:rsidP="00433FF5">
      <w:pPr>
        <w:rPr>
          <w:rFonts w:ascii="Times New Roman" w:eastAsia="Times New Roman" w:hAnsi="Times New Roman"/>
        </w:rPr>
      </w:pPr>
      <w:r>
        <w:br w:type="page"/>
      </w:r>
    </w:p>
    <w:p w:rsidR="00433FF5" w:rsidRDefault="00433FF5" w:rsidP="00433FF5">
      <w:pPr>
        <w:pStyle w:val="Brief-BULLET"/>
        <w:numPr>
          <w:ilvl w:val="0"/>
          <w:numId w:val="0"/>
        </w:numPr>
        <w:spacing w:line="240" w:lineRule="auto"/>
        <w:ind w:left="360" w:right="142" w:hanging="360"/>
        <w:rPr>
          <w:szCs w:val="22"/>
        </w:rPr>
      </w:pPr>
    </w:p>
    <w:p w:rsidR="00433FF5" w:rsidRPr="002E5345" w:rsidRDefault="00E37156" w:rsidP="00433FF5">
      <w:pPr>
        <w:pStyle w:val="Brief-BULLET"/>
        <w:numPr>
          <w:ilvl w:val="0"/>
          <w:numId w:val="0"/>
        </w:numPr>
        <w:spacing w:line="240" w:lineRule="auto"/>
        <w:ind w:left="870" w:right="142" w:hanging="360"/>
        <w:rPr>
          <w:b/>
          <w:szCs w:val="22"/>
        </w:rPr>
      </w:pPr>
      <w:r>
        <w:rPr>
          <w:b/>
          <w:szCs w:val="22"/>
        </w:rPr>
        <w:t>Public Policy P</w:t>
      </w:r>
      <w:r w:rsidR="00433FF5">
        <w:rPr>
          <w:b/>
          <w:szCs w:val="22"/>
        </w:rPr>
        <w:t>rinciples</w:t>
      </w:r>
    </w:p>
    <w:p w:rsidR="00433FF5" w:rsidRDefault="00433FF5" w:rsidP="00433FF5">
      <w:pPr>
        <w:pStyle w:val="Brief-BULLET"/>
        <w:numPr>
          <w:ilvl w:val="0"/>
          <w:numId w:val="1"/>
        </w:numPr>
        <w:spacing w:line="240" w:lineRule="auto"/>
        <w:ind w:right="142"/>
        <w:rPr>
          <w:szCs w:val="22"/>
        </w:rPr>
      </w:pPr>
      <w:r>
        <w:rPr>
          <w:szCs w:val="22"/>
        </w:rPr>
        <w:t xml:space="preserve">In addition to assessing threshold competition issues, the Minister will evaluate broad public policy considerations when deciding whether to declare corporations eligible under </w:t>
      </w:r>
      <w:r w:rsidR="00C64AC4">
        <w:rPr>
          <w:szCs w:val="22"/>
        </w:rPr>
        <w:t>sub</w:t>
      </w:r>
      <w:r>
        <w:rPr>
          <w:szCs w:val="22"/>
        </w:rPr>
        <w:t>section 100</w:t>
      </w:r>
      <w:r w:rsidR="003D28C1">
        <w:rPr>
          <w:szCs w:val="22"/>
        </w:rPr>
        <w:t xml:space="preserve"> (1)</w:t>
      </w:r>
      <w:r>
        <w:rPr>
          <w:szCs w:val="22"/>
        </w:rPr>
        <w:t xml:space="preserve"> of the Act. This discretionary power allows the Minister to make a declaration if the Minister is satisfied that it would be ‘desirable for this Act to apply to employees of a corporation’.  </w:t>
      </w:r>
    </w:p>
    <w:p w:rsidR="00433FF5" w:rsidRPr="00550DE1" w:rsidRDefault="00433FF5" w:rsidP="00433FF5">
      <w:pPr>
        <w:pStyle w:val="ListParagraph"/>
        <w:numPr>
          <w:ilvl w:val="0"/>
          <w:numId w:val="1"/>
        </w:numPr>
        <w:spacing w:after="0" w:line="240" w:lineRule="auto"/>
        <w:rPr>
          <w:rFonts w:ascii="Times New Roman" w:hAnsi="Times New Roman"/>
        </w:rPr>
      </w:pPr>
      <w:r w:rsidRPr="002E5345">
        <w:rPr>
          <w:rFonts w:ascii="Times New Roman" w:hAnsi="Times New Roman"/>
        </w:rPr>
        <w:t xml:space="preserve">The </w:t>
      </w:r>
      <w:r w:rsidRPr="00550DE1">
        <w:rPr>
          <w:rFonts w:ascii="Times New Roman" w:hAnsi="Times New Roman"/>
        </w:rPr>
        <w:t>Minis</w:t>
      </w:r>
      <w:r w:rsidR="006663F5">
        <w:rPr>
          <w:rFonts w:ascii="Times New Roman" w:hAnsi="Times New Roman"/>
        </w:rPr>
        <w:t>ter may consider the following public policy p</w:t>
      </w:r>
      <w:r w:rsidRPr="00550DE1">
        <w:rPr>
          <w:rFonts w:ascii="Times New Roman" w:hAnsi="Times New Roman"/>
        </w:rPr>
        <w:t>rinciples:</w:t>
      </w:r>
    </w:p>
    <w:p w:rsidR="00433FF5" w:rsidRPr="00550DE1" w:rsidRDefault="00433FF5" w:rsidP="00433FF5">
      <w:pPr>
        <w:numPr>
          <w:ilvl w:val="1"/>
          <w:numId w:val="1"/>
        </w:numPr>
        <w:spacing w:after="0" w:line="240" w:lineRule="auto"/>
        <w:rPr>
          <w:rFonts w:ascii="Times New Roman" w:eastAsia="Times New Roman" w:hAnsi="Times New Roman"/>
        </w:rPr>
      </w:pPr>
      <w:r w:rsidRPr="00550DE1">
        <w:rPr>
          <w:rFonts w:ascii="Times New Roman" w:eastAsia="Times New Roman" w:hAnsi="Times New Roman"/>
        </w:rPr>
        <w:t>the likely impact on the integrity of the Commonwealth w</w:t>
      </w:r>
      <w:r w:rsidR="00E37156">
        <w:rPr>
          <w:rFonts w:ascii="Times New Roman" w:eastAsia="Times New Roman" w:hAnsi="Times New Roman"/>
        </w:rPr>
        <w:t>orkers’ compensation scheme;</w:t>
      </w:r>
    </w:p>
    <w:p w:rsidR="00E37156" w:rsidRPr="00E37156" w:rsidRDefault="00433FF5" w:rsidP="00C64AC4">
      <w:pPr>
        <w:numPr>
          <w:ilvl w:val="1"/>
          <w:numId w:val="1"/>
        </w:numPr>
        <w:spacing w:after="0" w:line="240" w:lineRule="auto"/>
      </w:pPr>
      <w:r w:rsidRPr="00550DE1">
        <w:rPr>
          <w:rFonts w:ascii="Times New Roman" w:eastAsia="Times New Roman" w:hAnsi="Times New Roman"/>
        </w:rPr>
        <w:t>the likely impact on the operations of the state and territory workers’ compensation schemes</w:t>
      </w:r>
      <w:r w:rsidR="00E37156">
        <w:rPr>
          <w:rFonts w:ascii="Times New Roman" w:eastAsia="Times New Roman" w:hAnsi="Times New Roman"/>
        </w:rPr>
        <w:t>; and</w:t>
      </w:r>
    </w:p>
    <w:p w:rsidR="00550DE1" w:rsidRPr="00E37156" w:rsidRDefault="00E37156" w:rsidP="00E37156">
      <w:pPr>
        <w:numPr>
          <w:ilvl w:val="1"/>
          <w:numId w:val="1"/>
        </w:numPr>
        <w:spacing w:after="0" w:line="240" w:lineRule="auto"/>
      </w:pPr>
      <w:proofErr w:type="gramStart"/>
      <w:r>
        <w:rPr>
          <w:rFonts w:ascii="Times New Roman" w:eastAsia="Times New Roman" w:hAnsi="Times New Roman"/>
        </w:rPr>
        <w:t>the</w:t>
      </w:r>
      <w:proofErr w:type="gramEnd"/>
      <w:r>
        <w:rPr>
          <w:rFonts w:ascii="Times New Roman" w:eastAsia="Times New Roman" w:hAnsi="Times New Roman"/>
        </w:rPr>
        <w:t xml:space="preserve"> scope of the corporations’ operations across jurisdictions (based on a minimum threshold of two jurisdictions)</w:t>
      </w:r>
      <w:r w:rsidR="00433FF5" w:rsidRPr="00550DE1">
        <w:rPr>
          <w:rFonts w:ascii="Times New Roman" w:eastAsia="Times New Roman" w:hAnsi="Times New Roman"/>
        </w:rPr>
        <w:t>.</w:t>
      </w:r>
    </w:p>
    <w:p w:rsidR="00433FF5" w:rsidRPr="00550DE1" w:rsidRDefault="00550DE1" w:rsidP="00C64AC4">
      <w:pPr>
        <w:numPr>
          <w:ilvl w:val="0"/>
          <w:numId w:val="1"/>
        </w:numPr>
        <w:spacing w:after="0" w:line="240" w:lineRule="auto"/>
        <w:rPr>
          <w:rFonts w:ascii="Times New Roman" w:hAnsi="Times New Roman"/>
        </w:rPr>
      </w:pPr>
      <w:r w:rsidRPr="00550DE1">
        <w:rPr>
          <w:rFonts w:ascii="Times New Roman" w:eastAsia="Times New Roman" w:hAnsi="Times New Roman"/>
        </w:rPr>
        <w:t>T</w:t>
      </w:r>
      <w:r w:rsidR="00433FF5" w:rsidRPr="00550DE1">
        <w:rPr>
          <w:rFonts w:ascii="Times New Roman" w:hAnsi="Times New Roman"/>
        </w:rPr>
        <w:t>he principles and threshold competition issues above are not intended to be exhaustive. Corporations, and other interested parties, are free to bring to the attention of the Minister any issues that bear on whether coverage under the Act is desirable.</w:t>
      </w:r>
    </w:p>
    <w:p w:rsidR="00433FF5" w:rsidRPr="00550DE1" w:rsidRDefault="00433FF5" w:rsidP="00433FF5">
      <w:pPr>
        <w:spacing w:after="0" w:line="240" w:lineRule="auto"/>
        <w:ind w:left="510"/>
        <w:rPr>
          <w:rFonts w:ascii="Times New Roman" w:hAnsi="Times New Roman"/>
        </w:rPr>
      </w:pPr>
    </w:p>
    <w:p w:rsidR="00433FF5" w:rsidRPr="002E5345" w:rsidRDefault="00433FF5" w:rsidP="00433FF5">
      <w:pPr>
        <w:spacing w:after="0" w:line="240" w:lineRule="auto"/>
        <w:ind w:left="510"/>
        <w:rPr>
          <w:rFonts w:ascii="Times New Roman" w:hAnsi="Times New Roman"/>
          <w:b/>
        </w:rPr>
      </w:pPr>
      <w:r>
        <w:rPr>
          <w:rFonts w:ascii="Times New Roman" w:hAnsi="Times New Roman"/>
          <w:b/>
        </w:rPr>
        <w:t>Review mechanism</w:t>
      </w:r>
    </w:p>
    <w:p w:rsidR="00E37156" w:rsidRDefault="00433FF5" w:rsidP="00433FF5">
      <w:pPr>
        <w:pStyle w:val="ListParagraph"/>
        <w:numPr>
          <w:ilvl w:val="0"/>
          <w:numId w:val="1"/>
        </w:numPr>
        <w:spacing w:after="0" w:line="240" w:lineRule="auto"/>
        <w:rPr>
          <w:rFonts w:ascii="Times New Roman" w:hAnsi="Times New Roman"/>
        </w:rPr>
      </w:pPr>
      <w:r>
        <w:rPr>
          <w:rFonts w:ascii="Times New Roman" w:hAnsi="Times New Roman"/>
        </w:rPr>
        <w:t>A</w:t>
      </w:r>
      <w:r w:rsidRPr="002E5345">
        <w:rPr>
          <w:rFonts w:ascii="Times New Roman" w:hAnsi="Times New Roman"/>
        </w:rPr>
        <w:t xml:space="preserve"> declaration under </w:t>
      </w:r>
      <w:r w:rsidR="00C64AC4">
        <w:rPr>
          <w:rFonts w:ascii="Times New Roman" w:hAnsi="Times New Roman"/>
        </w:rPr>
        <w:t>sub</w:t>
      </w:r>
      <w:r w:rsidRPr="002E5345">
        <w:rPr>
          <w:rFonts w:ascii="Times New Roman" w:hAnsi="Times New Roman"/>
        </w:rPr>
        <w:t>section 100</w:t>
      </w:r>
      <w:r w:rsidR="003D28C1">
        <w:rPr>
          <w:rFonts w:ascii="Times New Roman" w:hAnsi="Times New Roman"/>
        </w:rPr>
        <w:t>(1)</w:t>
      </w:r>
      <w:r w:rsidRPr="002E5345">
        <w:rPr>
          <w:rFonts w:ascii="Times New Roman" w:hAnsi="Times New Roman"/>
        </w:rPr>
        <w:t xml:space="preserve"> is a pre</w:t>
      </w:r>
      <w:r>
        <w:rPr>
          <w:rFonts w:ascii="Times New Roman" w:hAnsi="Times New Roman"/>
        </w:rPr>
        <w:t>-</w:t>
      </w:r>
      <w:r w:rsidRPr="002E5345">
        <w:rPr>
          <w:rFonts w:ascii="Times New Roman" w:hAnsi="Times New Roman"/>
        </w:rPr>
        <w:t xml:space="preserve">condition to granting an eligible corporation a licence under Part VIII of the Act. Corporations applying for a declaration under </w:t>
      </w:r>
      <w:r w:rsidR="00E91BD9">
        <w:rPr>
          <w:rFonts w:ascii="Times New Roman" w:hAnsi="Times New Roman"/>
        </w:rPr>
        <w:t>sub</w:t>
      </w:r>
      <w:r w:rsidRPr="002E5345">
        <w:rPr>
          <w:rFonts w:ascii="Times New Roman" w:hAnsi="Times New Roman"/>
        </w:rPr>
        <w:t>section 100</w:t>
      </w:r>
      <w:r w:rsidR="00E91BD9">
        <w:rPr>
          <w:rFonts w:ascii="Times New Roman" w:hAnsi="Times New Roman"/>
        </w:rPr>
        <w:t>(1)</w:t>
      </w:r>
      <w:r w:rsidRPr="002E5345">
        <w:rPr>
          <w:rFonts w:ascii="Times New Roman" w:hAnsi="Times New Roman"/>
        </w:rPr>
        <w:t xml:space="preserve"> would be expected to apply for a licence within a reasonable period of time after being declared el</w:t>
      </w:r>
      <w:r w:rsidR="00E37156">
        <w:rPr>
          <w:rFonts w:ascii="Times New Roman" w:hAnsi="Times New Roman"/>
        </w:rPr>
        <w:t>igible to be granted a licence.</w:t>
      </w:r>
    </w:p>
    <w:p w:rsidR="00433FF5" w:rsidRDefault="00433FF5" w:rsidP="00433FF5">
      <w:pPr>
        <w:pStyle w:val="ListParagraph"/>
        <w:numPr>
          <w:ilvl w:val="0"/>
          <w:numId w:val="1"/>
        </w:numPr>
        <w:spacing w:after="0" w:line="240" w:lineRule="auto"/>
        <w:rPr>
          <w:rFonts w:ascii="Times New Roman" w:hAnsi="Times New Roman"/>
        </w:rPr>
      </w:pPr>
      <w:r w:rsidRPr="002E5345">
        <w:rPr>
          <w:rFonts w:ascii="Times New Roman" w:hAnsi="Times New Roman"/>
        </w:rPr>
        <w:t xml:space="preserve">In the event that a corporation does not proceed with an application to the </w:t>
      </w:r>
      <w:r w:rsidR="00E37156">
        <w:rPr>
          <w:rFonts w:ascii="Times New Roman" w:hAnsi="Times New Roman"/>
        </w:rPr>
        <w:t xml:space="preserve">Safety, </w:t>
      </w:r>
      <w:r w:rsidRPr="002E5345">
        <w:rPr>
          <w:rFonts w:ascii="Times New Roman" w:hAnsi="Times New Roman"/>
        </w:rPr>
        <w:t xml:space="preserve">Rehabilitation and Compensation Commission for a licence to self-insure within 12 months of the date that a declaration has been granted, the Minister may review the need for the declaration and decide whether it should continue </w:t>
      </w:r>
      <w:r w:rsidR="00E82F03">
        <w:rPr>
          <w:rFonts w:ascii="Times New Roman" w:hAnsi="Times New Roman"/>
        </w:rPr>
        <w:t xml:space="preserve">to be </w:t>
      </w:r>
      <w:r w:rsidRPr="002E5345">
        <w:rPr>
          <w:rFonts w:ascii="Times New Roman" w:hAnsi="Times New Roman"/>
        </w:rPr>
        <w:t>in force.</w:t>
      </w:r>
    </w:p>
    <w:p w:rsidR="00FF0225" w:rsidRDefault="00FD4E02"/>
    <w:sectPr w:rsidR="00FF0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6302"/>
    <w:multiLevelType w:val="hybridMultilevel"/>
    <w:tmpl w:val="4E8A979C"/>
    <w:lvl w:ilvl="0" w:tplc="CE483DB2">
      <w:start w:val="1"/>
      <w:numFmt w:val="bullet"/>
      <w:pStyle w:val="Brief-BULLET"/>
      <w:lvlText w:val=""/>
      <w:lvlJc w:val="left"/>
      <w:pPr>
        <w:tabs>
          <w:tab w:val="num" w:pos="360"/>
        </w:tabs>
        <w:ind w:left="360" w:hanging="360"/>
      </w:pPr>
      <w:rPr>
        <w:rFonts w:ascii="Symbol" w:hAnsi="Symbol" w:hint="default"/>
        <w:color w:val="auto"/>
      </w:rPr>
    </w:lvl>
    <w:lvl w:ilvl="1" w:tplc="34D08014" w:tentative="1">
      <w:start w:val="1"/>
      <w:numFmt w:val="bullet"/>
      <w:lvlText w:val="o"/>
      <w:lvlJc w:val="left"/>
      <w:pPr>
        <w:tabs>
          <w:tab w:val="num" w:pos="1080"/>
        </w:tabs>
        <w:ind w:left="1080" w:hanging="360"/>
      </w:pPr>
      <w:rPr>
        <w:rFonts w:ascii="Courier New" w:hAnsi="Courier New" w:cs="Courier New" w:hint="default"/>
      </w:rPr>
    </w:lvl>
    <w:lvl w:ilvl="2" w:tplc="F24E1B3C" w:tentative="1">
      <w:start w:val="1"/>
      <w:numFmt w:val="bullet"/>
      <w:lvlText w:val=""/>
      <w:lvlJc w:val="left"/>
      <w:pPr>
        <w:tabs>
          <w:tab w:val="num" w:pos="1800"/>
        </w:tabs>
        <w:ind w:left="1800" w:hanging="360"/>
      </w:pPr>
      <w:rPr>
        <w:rFonts w:ascii="Wingdings" w:hAnsi="Wingdings" w:hint="default"/>
      </w:rPr>
    </w:lvl>
    <w:lvl w:ilvl="3" w:tplc="3FA4C508" w:tentative="1">
      <w:start w:val="1"/>
      <w:numFmt w:val="bullet"/>
      <w:lvlText w:val=""/>
      <w:lvlJc w:val="left"/>
      <w:pPr>
        <w:tabs>
          <w:tab w:val="num" w:pos="2520"/>
        </w:tabs>
        <w:ind w:left="2520" w:hanging="360"/>
      </w:pPr>
      <w:rPr>
        <w:rFonts w:ascii="Symbol" w:hAnsi="Symbol" w:hint="default"/>
      </w:rPr>
    </w:lvl>
    <w:lvl w:ilvl="4" w:tplc="7C88D364" w:tentative="1">
      <w:start w:val="1"/>
      <w:numFmt w:val="bullet"/>
      <w:lvlText w:val="o"/>
      <w:lvlJc w:val="left"/>
      <w:pPr>
        <w:tabs>
          <w:tab w:val="num" w:pos="3240"/>
        </w:tabs>
        <w:ind w:left="3240" w:hanging="360"/>
      </w:pPr>
      <w:rPr>
        <w:rFonts w:ascii="Courier New" w:hAnsi="Courier New" w:cs="Courier New" w:hint="default"/>
      </w:rPr>
    </w:lvl>
    <w:lvl w:ilvl="5" w:tplc="3F9C91DA" w:tentative="1">
      <w:start w:val="1"/>
      <w:numFmt w:val="bullet"/>
      <w:lvlText w:val=""/>
      <w:lvlJc w:val="left"/>
      <w:pPr>
        <w:tabs>
          <w:tab w:val="num" w:pos="3960"/>
        </w:tabs>
        <w:ind w:left="3960" w:hanging="360"/>
      </w:pPr>
      <w:rPr>
        <w:rFonts w:ascii="Wingdings" w:hAnsi="Wingdings" w:hint="default"/>
      </w:rPr>
    </w:lvl>
    <w:lvl w:ilvl="6" w:tplc="038C87D6" w:tentative="1">
      <w:start w:val="1"/>
      <w:numFmt w:val="bullet"/>
      <w:lvlText w:val=""/>
      <w:lvlJc w:val="left"/>
      <w:pPr>
        <w:tabs>
          <w:tab w:val="num" w:pos="4680"/>
        </w:tabs>
        <w:ind w:left="4680" w:hanging="360"/>
      </w:pPr>
      <w:rPr>
        <w:rFonts w:ascii="Symbol" w:hAnsi="Symbol" w:hint="default"/>
      </w:rPr>
    </w:lvl>
    <w:lvl w:ilvl="7" w:tplc="9AD0BD9C" w:tentative="1">
      <w:start w:val="1"/>
      <w:numFmt w:val="bullet"/>
      <w:lvlText w:val="o"/>
      <w:lvlJc w:val="left"/>
      <w:pPr>
        <w:tabs>
          <w:tab w:val="num" w:pos="5400"/>
        </w:tabs>
        <w:ind w:left="5400" w:hanging="360"/>
      </w:pPr>
      <w:rPr>
        <w:rFonts w:ascii="Courier New" w:hAnsi="Courier New" w:cs="Courier New" w:hint="default"/>
      </w:rPr>
    </w:lvl>
    <w:lvl w:ilvl="8" w:tplc="C23AAA7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BB63AAF"/>
    <w:multiLevelType w:val="hybridMultilevel"/>
    <w:tmpl w:val="E6A61FB6"/>
    <w:lvl w:ilvl="0" w:tplc="5B30BE24">
      <w:start w:val="1"/>
      <w:numFmt w:val="decimal"/>
      <w:lvlText w:val="%1."/>
      <w:lvlJc w:val="left"/>
      <w:pPr>
        <w:ind w:left="870" w:hanging="360"/>
      </w:pPr>
    </w:lvl>
    <w:lvl w:ilvl="1" w:tplc="20A602FE">
      <w:start w:val="1"/>
      <w:numFmt w:val="bullet"/>
      <w:lvlText w:val=""/>
      <w:lvlJc w:val="left"/>
      <w:pPr>
        <w:ind w:left="1590" w:hanging="360"/>
      </w:pPr>
      <w:rPr>
        <w:rFonts w:ascii="Symbol" w:hAnsi="Symbol" w:hint="default"/>
      </w:rPr>
    </w:lvl>
    <w:lvl w:ilvl="2" w:tplc="0DD60AA8">
      <w:start w:val="1"/>
      <w:numFmt w:val="lowerRoman"/>
      <w:lvlText w:val="%3."/>
      <w:lvlJc w:val="right"/>
      <w:pPr>
        <w:ind w:left="2310" w:hanging="180"/>
      </w:pPr>
    </w:lvl>
    <w:lvl w:ilvl="3" w:tplc="486CCA3C" w:tentative="1">
      <w:start w:val="1"/>
      <w:numFmt w:val="decimal"/>
      <w:lvlText w:val="%4."/>
      <w:lvlJc w:val="left"/>
      <w:pPr>
        <w:ind w:left="3030" w:hanging="360"/>
      </w:pPr>
    </w:lvl>
    <w:lvl w:ilvl="4" w:tplc="16FC3BC4" w:tentative="1">
      <w:start w:val="1"/>
      <w:numFmt w:val="lowerLetter"/>
      <w:lvlText w:val="%5."/>
      <w:lvlJc w:val="left"/>
      <w:pPr>
        <w:ind w:left="3750" w:hanging="360"/>
      </w:pPr>
    </w:lvl>
    <w:lvl w:ilvl="5" w:tplc="5C50DCE8" w:tentative="1">
      <w:start w:val="1"/>
      <w:numFmt w:val="lowerRoman"/>
      <w:lvlText w:val="%6."/>
      <w:lvlJc w:val="right"/>
      <w:pPr>
        <w:ind w:left="4470" w:hanging="180"/>
      </w:pPr>
    </w:lvl>
    <w:lvl w:ilvl="6" w:tplc="3D94D874" w:tentative="1">
      <w:start w:val="1"/>
      <w:numFmt w:val="decimal"/>
      <w:lvlText w:val="%7."/>
      <w:lvlJc w:val="left"/>
      <w:pPr>
        <w:ind w:left="5190" w:hanging="360"/>
      </w:pPr>
    </w:lvl>
    <w:lvl w:ilvl="7" w:tplc="63042626" w:tentative="1">
      <w:start w:val="1"/>
      <w:numFmt w:val="lowerLetter"/>
      <w:lvlText w:val="%8."/>
      <w:lvlJc w:val="left"/>
      <w:pPr>
        <w:ind w:left="5910" w:hanging="360"/>
      </w:pPr>
    </w:lvl>
    <w:lvl w:ilvl="8" w:tplc="E91EB4AE" w:tentative="1">
      <w:start w:val="1"/>
      <w:numFmt w:val="lowerRoman"/>
      <w:lvlText w:val="%9."/>
      <w:lvlJc w:val="right"/>
      <w:pPr>
        <w:ind w:left="66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F5"/>
    <w:rsid w:val="00082ED6"/>
    <w:rsid w:val="000A3800"/>
    <w:rsid w:val="00107595"/>
    <w:rsid w:val="003D28C1"/>
    <w:rsid w:val="0040505A"/>
    <w:rsid w:val="00433FF5"/>
    <w:rsid w:val="004A05F9"/>
    <w:rsid w:val="004A53F8"/>
    <w:rsid w:val="00550DE1"/>
    <w:rsid w:val="006663F5"/>
    <w:rsid w:val="009028A9"/>
    <w:rsid w:val="009466E3"/>
    <w:rsid w:val="00BA7660"/>
    <w:rsid w:val="00BB0FA3"/>
    <w:rsid w:val="00C64AC4"/>
    <w:rsid w:val="00D25B2E"/>
    <w:rsid w:val="00D978A4"/>
    <w:rsid w:val="00E37156"/>
    <w:rsid w:val="00E82F03"/>
    <w:rsid w:val="00E91BD9"/>
    <w:rsid w:val="00F7303A"/>
    <w:rsid w:val="00FD4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3D01F-9F71-4126-9BD5-3CABDDE2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FF5"/>
    <w:pPr>
      <w:ind w:left="720"/>
      <w:contextualSpacing/>
    </w:pPr>
  </w:style>
  <w:style w:type="paragraph" w:customStyle="1" w:styleId="Brief-BULLET">
    <w:name w:val="Brief - BULLET"/>
    <w:basedOn w:val="Normal"/>
    <w:rsid w:val="00433FF5"/>
    <w:pPr>
      <w:numPr>
        <w:numId w:val="2"/>
      </w:numPr>
      <w:spacing w:after="0" w:line="230" w:lineRule="exact"/>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3D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C1"/>
    <w:rPr>
      <w:rFonts w:ascii="Tahoma" w:eastAsia="Calibri" w:hAnsi="Tahoma" w:cs="Tahoma"/>
      <w:sz w:val="16"/>
      <w:szCs w:val="16"/>
    </w:rPr>
  </w:style>
  <w:style w:type="character" w:styleId="CommentReference">
    <w:name w:val="annotation reference"/>
    <w:basedOn w:val="DefaultParagraphFont"/>
    <w:uiPriority w:val="99"/>
    <w:semiHidden/>
    <w:unhideWhenUsed/>
    <w:rsid w:val="004A05F9"/>
    <w:rPr>
      <w:sz w:val="16"/>
      <w:szCs w:val="16"/>
    </w:rPr>
  </w:style>
  <w:style w:type="paragraph" w:styleId="CommentText">
    <w:name w:val="annotation text"/>
    <w:basedOn w:val="Normal"/>
    <w:link w:val="CommentTextChar"/>
    <w:uiPriority w:val="99"/>
    <w:semiHidden/>
    <w:unhideWhenUsed/>
    <w:rsid w:val="004A05F9"/>
    <w:pPr>
      <w:spacing w:line="240" w:lineRule="auto"/>
    </w:pPr>
    <w:rPr>
      <w:sz w:val="20"/>
      <w:szCs w:val="20"/>
    </w:rPr>
  </w:style>
  <w:style w:type="character" w:customStyle="1" w:styleId="CommentTextChar">
    <w:name w:val="Comment Text Char"/>
    <w:basedOn w:val="DefaultParagraphFont"/>
    <w:link w:val="CommentText"/>
    <w:uiPriority w:val="99"/>
    <w:semiHidden/>
    <w:rsid w:val="004A05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05F9"/>
    <w:rPr>
      <w:b/>
      <w:bCs/>
    </w:rPr>
  </w:style>
  <w:style w:type="character" w:customStyle="1" w:styleId="CommentSubjectChar">
    <w:name w:val="Comment Subject Char"/>
    <w:basedOn w:val="CommentTextChar"/>
    <w:link w:val="CommentSubject"/>
    <w:uiPriority w:val="99"/>
    <w:semiHidden/>
    <w:rsid w:val="004A05F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1" ma:contentTypeDescription="Create a new document." ma:contentTypeScope="" ma:versionID="24d2c72fe223870327a23436c6d00fe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3E93B-CA32-46D1-8945-83A37027604C}"/>
</file>

<file path=customXml/itemProps2.xml><?xml version="1.0" encoding="utf-8"?>
<ds:datastoreItem xmlns:ds="http://schemas.openxmlformats.org/officeDocument/2006/customXml" ds:itemID="{C4BB3D07-DCC8-460C-BB8F-7C8D7E1BB0D0}"/>
</file>

<file path=customXml/itemProps3.xml><?xml version="1.0" encoding="utf-8"?>
<ds:datastoreItem xmlns:ds="http://schemas.openxmlformats.org/officeDocument/2006/customXml" ds:itemID="{7F784F29-33A7-4273-8373-FC0D8BD1C8A0}"/>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Roberts</dc:creator>
  <cp:lastModifiedBy>Jones, Chloe</cp:lastModifiedBy>
  <cp:revision>2</cp:revision>
  <cp:lastPrinted>2016-02-10T22:58:00Z</cp:lastPrinted>
  <dcterms:created xsi:type="dcterms:W3CDTF">2019-07-02T05:45:00Z</dcterms:created>
  <dcterms:modified xsi:type="dcterms:W3CDTF">2019-07-02T05:45:00Z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ies>
</file>