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5FCC82" w14:textId="77777777" w:rsidR="00D16FCF" w:rsidRPr="00E06E51" w:rsidRDefault="00E06E51" w:rsidP="00E06E51">
      <w:pPr>
        <w:spacing w:line="360" w:lineRule="auto"/>
        <w:rPr>
          <w:rFonts w:asciiTheme="minorHAnsi" w:hAnsiTheme="minorHAnsi" w:cstheme="minorHAnsi"/>
        </w:rPr>
      </w:pPr>
      <w:bookmarkStart w:id="0" w:name="_GoBack"/>
      <w:bookmarkEnd w:id="0"/>
      <w:r w:rsidRPr="00E06E51">
        <w:rPr>
          <w:rFonts w:asciiTheme="minorHAnsi" w:hAnsiTheme="minorHAnsi" w:cstheme="minorHAnsi"/>
        </w:rPr>
        <w:t>Slide 1</w:t>
      </w:r>
    </w:p>
    <w:p w14:paraId="755FCC83" w14:textId="77777777" w:rsidR="00E06E51" w:rsidRPr="00E06E51" w:rsidRDefault="00E06E51" w:rsidP="00E06E51">
      <w:pPr>
        <w:spacing w:line="360" w:lineRule="auto"/>
        <w:rPr>
          <w:rFonts w:asciiTheme="minorHAnsi" w:hAnsiTheme="minorHAnsi" w:cstheme="minorHAnsi"/>
        </w:rPr>
      </w:pPr>
    </w:p>
    <w:p w14:paraId="755FCC84"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202.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5" DrawAspect="Content" ObjectID="_1425820944" r:id="rId10"/>
        </w:object>
      </w:r>
    </w:p>
    <w:p w14:paraId="755FCC85" w14:textId="77777777" w:rsidR="00E06E51" w:rsidRPr="00E06E51" w:rsidRDefault="00E06E51" w:rsidP="00E06E51">
      <w:pPr>
        <w:spacing w:line="360" w:lineRule="auto"/>
        <w:jc w:val="center"/>
        <w:rPr>
          <w:rFonts w:asciiTheme="minorHAnsi" w:hAnsiTheme="minorHAnsi" w:cstheme="minorHAnsi"/>
        </w:rPr>
      </w:pPr>
    </w:p>
    <w:p w14:paraId="755FCC86" w14:textId="77777777" w:rsidR="00E06E51" w:rsidRPr="00E06E51" w:rsidRDefault="00E06E51" w:rsidP="00E06E51">
      <w:pPr>
        <w:spacing w:line="360" w:lineRule="auto"/>
        <w:rPr>
          <w:rFonts w:asciiTheme="minorHAnsi" w:hAnsiTheme="minorHAnsi" w:cstheme="minorHAnsi"/>
        </w:rPr>
      </w:pPr>
    </w:p>
    <w:p w14:paraId="755FCC87"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C88"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2</w:t>
      </w:r>
    </w:p>
    <w:p w14:paraId="755FCC89" w14:textId="77777777" w:rsidR="00E06E51" w:rsidRPr="00E06E51" w:rsidRDefault="00E06E51" w:rsidP="00E06E51">
      <w:pPr>
        <w:spacing w:line="360" w:lineRule="auto"/>
        <w:rPr>
          <w:rFonts w:asciiTheme="minorHAnsi" w:hAnsiTheme="minorHAnsi" w:cstheme="minorHAnsi"/>
        </w:rPr>
      </w:pPr>
    </w:p>
    <w:p w14:paraId="755FCC8A"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AE">
          <v:shape id="_x0000_i1026" type="#_x0000_t75" style="width:270.75pt;height:202.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6" DrawAspect="Content" ObjectID="_1425820945" r:id="rId12"/>
        </w:object>
      </w:r>
    </w:p>
    <w:p w14:paraId="755FCC8B" w14:textId="77777777" w:rsidR="00E06E51" w:rsidRPr="00E06E51" w:rsidRDefault="00E06E51" w:rsidP="00E06E51">
      <w:pPr>
        <w:spacing w:line="360" w:lineRule="auto"/>
        <w:jc w:val="center"/>
        <w:rPr>
          <w:rFonts w:asciiTheme="minorHAnsi" w:hAnsiTheme="minorHAnsi" w:cstheme="minorHAnsi"/>
        </w:rPr>
      </w:pPr>
    </w:p>
    <w:p w14:paraId="755FCC8C"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Greater Shepparton LGA</w:t>
      </w:r>
    </w:p>
    <w:p w14:paraId="755FCC8D" w14:textId="77777777" w:rsidR="00E06E51" w:rsidRPr="00E06E51" w:rsidRDefault="00E06E51" w:rsidP="00E06E51">
      <w:pPr>
        <w:autoSpaceDE w:val="0"/>
        <w:autoSpaceDN w:val="0"/>
        <w:adjustRightInd w:val="0"/>
        <w:rPr>
          <w:rFonts w:asciiTheme="minorHAnsi" w:hAnsiTheme="minorHAnsi" w:cstheme="minorHAnsi"/>
          <w:b/>
          <w:bCs/>
          <w:kern w:val="24"/>
          <w:u w:val="single"/>
        </w:rPr>
      </w:pPr>
    </w:p>
    <w:p w14:paraId="755FCC8E"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The Greater Shepparton LGA is the most populated LGA within the North Eastern Victoria Priority Employment Area.</w:t>
      </w:r>
    </w:p>
    <w:p w14:paraId="755FCC8F"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w:t>
      </w:r>
    </w:p>
    <w:p w14:paraId="755FCC90"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The North Eastern Victoria PEA comprises of the following ten LGAs:</w:t>
      </w:r>
    </w:p>
    <w:p w14:paraId="755FCC91" w14:textId="77777777" w:rsidR="00E06E51" w:rsidRPr="00E06E51" w:rsidRDefault="00E06E51" w:rsidP="00E06E51">
      <w:pPr>
        <w:autoSpaceDE w:val="0"/>
        <w:autoSpaceDN w:val="0"/>
        <w:adjustRightInd w:val="0"/>
        <w:rPr>
          <w:rFonts w:asciiTheme="minorHAnsi" w:hAnsiTheme="minorHAnsi" w:cstheme="minorHAnsi"/>
          <w:kern w:val="24"/>
        </w:rPr>
      </w:pPr>
    </w:p>
    <w:p w14:paraId="755FCC92"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Greater Shepparton </w:t>
      </w:r>
    </w:p>
    <w:p w14:paraId="755FCC93"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Albury</w:t>
      </w:r>
    </w:p>
    <w:p w14:paraId="755FCC94"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Benalla </w:t>
      </w:r>
    </w:p>
    <w:p w14:paraId="755FCC95"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Campaspe </w:t>
      </w:r>
    </w:p>
    <w:p w14:paraId="755FCC96"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Corowa Shire </w:t>
      </w:r>
    </w:p>
    <w:p w14:paraId="755FCC97"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Indigo</w:t>
      </w:r>
    </w:p>
    <w:p w14:paraId="755FCC98"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Moira </w:t>
      </w:r>
    </w:p>
    <w:p w14:paraId="755FCC99"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Strathbogie </w:t>
      </w:r>
    </w:p>
    <w:p w14:paraId="755FCC9A"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Wangaratta </w:t>
      </w:r>
    </w:p>
    <w:p w14:paraId="755FCC9B"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Wodonga </w:t>
      </w:r>
    </w:p>
    <w:p w14:paraId="755FCC9C" w14:textId="77777777" w:rsidR="00E06E51" w:rsidRPr="00E06E51" w:rsidRDefault="00E06E51" w:rsidP="00E06E51">
      <w:pPr>
        <w:autoSpaceDE w:val="0"/>
        <w:autoSpaceDN w:val="0"/>
        <w:adjustRightInd w:val="0"/>
        <w:rPr>
          <w:rFonts w:asciiTheme="minorHAnsi" w:hAnsiTheme="minorHAnsi" w:cstheme="minorHAnsi"/>
        </w:rPr>
      </w:pPr>
    </w:p>
    <w:p w14:paraId="755FCC9D" w14:textId="77777777" w:rsidR="00E06E51" w:rsidRPr="00E06E51" w:rsidRDefault="00E06E51" w:rsidP="00E06E51">
      <w:pPr>
        <w:spacing w:line="360" w:lineRule="auto"/>
        <w:rPr>
          <w:rFonts w:asciiTheme="minorHAnsi" w:hAnsiTheme="minorHAnsi" w:cstheme="minorHAnsi"/>
        </w:rPr>
      </w:pPr>
    </w:p>
    <w:p w14:paraId="755FCC9E"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C9F"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3</w:t>
      </w:r>
    </w:p>
    <w:p w14:paraId="755FCCA0" w14:textId="77777777" w:rsidR="00E06E51" w:rsidRPr="00E06E51" w:rsidRDefault="00E06E51" w:rsidP="00E06E51">
      <w:pPr>
        <w:spacing w:line="360" w:lineRule="auto"/>
        <w:rPr>
          <w:rFonts w:asciiTheme="minorHAnsi" w:hAnsiTheme="minorHAnsi" w:cstheme="minorHAnsi"/>
        </w:rPr>
      </w:pPr>
    </w:p>
    <w:p w14:paraId="755FCCA1"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AF">
          <v:shape id="_x0000_i1027" type="#_x0000_t75" style="width:270.75pt;height:202.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7" DrawAspect="Content" ObjectID="_1425820946" r:id="rId14"/>
        </w:object>
      </w:r>
    </w:p>
    <w:p w14:paraId="755FCCA2" w14:textId="77777777" w:rsidR="00E06E51" w:rsidRPr="00E06E51" w:rsidRDefault="00E06E51" w:rsidP="00E06E51">
      <w:pPr>
        <w:spacing w:line="360" w:lineRule="auto"/>
        <w:jc w:val="center"/>
        <w:rPr>
          <w:rFonts w:asciiTheme="minorHAnsi" w:hAnsiTheme="minorHAnsi" w:cstheme="minorHAnsi"/>
        </w:rPr>
      </w:pPr>
    </w:p>
    <w:p w14:paraId="755FCCA3"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Population Profile</w:t>
      </w:r>
    </w:p>
    <w:p w14:paraId="755FCCA4"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Sources: ABS, Estimated Residential Population 2011; ABS, Census of Population and Housing, 2011</w:t>
      </w:r>
      <w:r w:rsidRPr="00E06E51">
        <w:rPr>
          <w:rFonts w:asciiTheme="minorHAnsi" w:hAnsiTheme="minorHAnsi" w:cstheme="minorHAnsi"/>
          <w:kern w:val="24"/>
        </w:rPr>
        <w:t xml:space="preserve"> </w:t>
      </w:r>
    </w:p>
    <w:p w14:paraId="755FCCA5" w14:textId="77777777" w:rsidR="00E06E51" w:rsidRPr="00E06E51" w:rsidRDefault="00E06E51" w:rsidP="00E06E51">
      <w:pPr>
        <w:autoSpaceDE w:val="0"/>
        <w:autoSpaceDN w:val="0"/>
        <w:adjustRightInd w:val="0"/>
        <w:rPr>
          <w:rFonts w:asciiTheme="minorHAnsi" w:hAnsiTheme="minorHAnsi" w:cstheme="minorHAnsi"/>
          <w:i/>
          <w:iCs/>
          <w:kern w:val="24"/>
        </w:rPr>
      </w:pPr>
    </w:p>
    <w:p w14:paraId="755FCCA6"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The Greater Shepparton LGA has the largest adult population of all LGAs within the North Eastern Victoria PEA with an adult population (15 years and over) of 48,700 at June 2011.</w:t>
      </w:r>
    </w:p>
    <w:p w14:paraId="755FCCA7" w14:textId="77777777" w:rsidR="00E06E51" w:rsidRPr="00E06E51" w:rsidRDefault="00E06E51" w:rsidP="00E06E51">
      <w:pPr>
        <w:autoSpaceDE w:val="0"/>
        <w:autoSpaceDN w:val="0"/>
        <w:adjustRightInd w:val="0"/>
        <w:rPr>
          <w:rFonts w:asciiTheme="minorHAnsi" w:hAnsiTheme="minorHAnsi" w:cstheme="minorHAnsi"/>
          <w:kern w:val="24"/>
        </w:rPr>
      </w:pPr>
    </w:p>
    <w:p w14:paraId="755FCCA8"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The LGA experienced slower growth in adult population growth (5 per cent) compared with Victoria and Australia (9 per cent), although growth was slightly stronger compared with the growth for the PEA overall (3 per cent).</w:t>
      </w:r>
      <w:r w:rsidRPr="00E06E51">
        <w:rPr>
          <w:rFonts w:asciiTheme="minorHAnsi" w:hAnsiTheme="minorHAnsi" w:cstheme="minorHAnsi"/>
          <w:kern w:val="24"/>
        </w:rPr>
        <w:br/>
      </w:r>
    </w:p>
    <w:p w14:paraId="755FCCA9"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The median age in the Greater Shepparton LGA (38 years) was slightly higher than for Victoria and Australia (both 37 years).</w:t>
      </w:r>
    </w:p>
    <w:p w14:paraId="755FCCAA" w14:textId="77777777" w:rsidR="00E06E51" w:rsidRPr="00E06E51" w:rsidRDefault="00E06E51" w:rsidP="00E06E51">
      <w:pPr>
        <w:autoSpaceDE w:val="0"/>
        <w:autoSpaceDN w:val="0"/>
        <w:adjustRightInd w:val="0"/>
        <w:rPr>
          <w:rFonts w:asciiTheme="minorHAnsi" w:hAnsiTheme="minorHAnsi" w:cstheme="minorHAnsi"/>
          <w:kern w:val="24"/>
        </w:rPr>
      </w:pPr>
    </w:p>
    <w:p w14:paraId="755FCCAB"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 xml:space="preserve">Note: The Albury and Wodonga LGAs combined is the largest centre within the PEA with a combined adult population of 68,300. </w:t>
      </w:r>
      <w:r w:rsidRPr="00E06E51">
        <w:rPr>
          <w:rFonts w:asciiTheme="minorHAnsi" w:hAnsiTheme="minorHAnsi" w:cstheme="minorHAnsi"/>
          <w:i/>
          <w:iCs/>
          <w:kern w:val="24"/>
        </w:rPr>
        <w:br/>
      </w:r>
    </w:p>
    <w:p w14:paraId="755FCCAC" w14:textId="77777777" w:rsidR="00E06E51" w:rsidRPr="00E06E51" w:rsidRDefault="00E06E51" w:rsidP="00E06E51">
      <w:pPr>
        <w:autoSpaceDE w:val="0"/>
        <w:autoSpaceDN w:val="0"/>
        <w:adjustRightInd w:val="0"/>
        <w:rPr>
          <w:rFonts w:asciiTheme="minorHAnsi" w:hAnsiTheme="minorHAnsi" w:cstheme="minorHAnsi"/>
          <w:kern w:val="24"/>
        </w:rPr>
      </w:pPr>
    </w:p>
    <w:p w14:paraId="755FCCAD" w14:textId="77777777" w:rsidR="00E06E51" w:rsidRPr="00E06E51" w:rsidRDefault="00E06E51" w:rsidP="00E06E51">
      <w:pPr>
        <w:autoSpaceDE w:val="0"/>
        <w:autoSpaceDN w:val="0"/>
        <w:adjustRightInd w:val="0"/>
        <w:rPr>
          <w:rFonts w:asciiTheme="minorHAnsi" w:hAnsiTheme="minorHAnsi" w:cstheme="minorHAnsi"/>
        </w:rPr>
      </w:pPr>
    </w:p>
    <w:p w14:paraId="755FCCAE" w14:textId="77777777" w:rsidR="00E06E51" w:rsidRPr="00E06E51" w:rsidRDefault="00E06E51" w:rsidP="00E06E51">
      <w:pPr>
        <w:spacing w:line="360" w:lineRule="auto"/>
        <w:rPr>
          <w:rFonts w:asciiTheme="minorHAnsi" w:hAnsiTheme="minorHAnsi" w:cstheme="minorHAnsi"/>
        </w:rPr>
      </w:pPr>
    </w:p>
    <w:p w14:paraId="755FCCAF"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CB0"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4</w:t>
      </w:r>
    </w:p>
    <w:p w14:paraId="755FCCB1" w14:textId="77777777" w:rsidR="00E06E51" w:rsidRPr="00E06E51" w:rsidRDefault="00E06E51" w:rsidP="00E06E51">
      <w:pPr>
        <w:spacing w:line="360" w:lineRule="auto"/>
        <w:rPr>
          <w:rFonts w:asciiTheme="minorHAnsi" w:hAnsiTheme="minorHAnsi" w:cstheme="minorHAnsi"/>
        </w:rPr>
      </w:pPr>
    </w:p>
    <w:p w14:paraId="755FCCB2"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0">
          <v:shape id="_x0000_i1028" type="#_x0000_t75" style="width:270.75pt;height:202.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8" DrawAspect="Content" ObjectID="_1425820947" r:id="rId16"/>
        </w:object>
      </w:r>
    </w:p>
    <w:p w14:paraId="755FCCB3" w14:textId="77777777" w:rsidR="00E06E51" w:rsidRPr="00E06E51" w:rsidRDefault="00E06E51" w:rsidP="00E06E51">
      <w:pPr>
        <w:spacing w:line="360" w:lineRule="auto"/>
        <w:jc w:val="center"/>
        <w:rPr>
          <w:rFonts w:asciiTheme="minorHAnsi" w:hAnsiTheme="minorHAnsi" w:cstheme="minorHAnsi"/>
        </w:rPr>
      </w:pPr>
    </w:p>
    <w:p w14:paraId="755FCCB4"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Age Distribution</w:t>
      </w:r>
    </w:p>
    <w:p w14:paraId="755FCCB5"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i/>
          <w:iCs/>
          <w:kern w:val="24"/>
        </w:rPr>
        <w:t>Source: ABS, Census of Population and Housing, 2011</w:t>
      </w:r>
      <w:r w:rsidRPr="00E06E51">
        <w:rPr>
          <w:rFonts w:asciiTheme="minorHAnsi" w:hAnsiTheme="minorHAnsi" w:cstheme="minorHAnsi"/>
          <w:kern w:val="24"/>
        </w:rPr>
        <w:tab/>
      </w:r>
    </w:p>
    <w:p w14:paraId="755FCCB6"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ab/>
      </w:r>
    </w:p>
    <w:p w14:paraId="755FCCB7"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This graph shows the age distribution of the Greater Shepparton LGA population compared with the age distribution for the North Eastern Victoria PEA and Victoria. </w:t>
      </w:r>
      <w:r w:rsidRPr="00E06E51">
        <w:rPr>
          <w:rFonts w:asciiTheme="minorHAnsi" w:hAnsiTheme="minorHAnsi" w:cstheme="minorHAnsi"/>
          <w:kern w:val="24"/>
        </w:rPr>
        <w:br/>
        <w:t xml:space="preserve">The age distribution of the Greater Shepparton LGA population shows that a smaller proportion of the population is made up of people aged between 20 and 44 years, when compared with the Victorian age distribution. </w:t>
      </w:r>
    </w:p>
    <w:p w14:paraId="755FCCB8"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br/>
        <w:t>Similar demographic patterns exist for other regional areas and are due in part to young adults moving to major urban centres.</w:t>
      </w:r>
    </w:p>
    <w:p w14:paraId="755FCCB9" w14:textId="77777777" w:rsidR="00E06E51" w:rsidRPr="00E06E51" w:rsidRDefault="00E06E51" w:rsidP="00E06E51">
      <w:pPr>
        <w:autoSpaceDE w:val="0"/>
        <w:autoSpaceDN w:val="0"/>
        <w:adjustRightInd w:val="0"/>
        <w:rPr>
          <w:rFonts w:asciiTheme="minorHAnsi" w:hAnsiTheme="minorHAnsi" w:cstheme="minorHAnsi"/>
        </w:rPr>
      </w:pPr>
    </w:p>
    <w:p w14:paraId="755FCCBA" w14:textId="77777777" w:rsidR="00E06E51" w:rsidRPr="00E06E51" w:rsidRDefault="00E06E51" w:rsidP="00E06E51">
      <w:pPr>
        <w:autoSpaceDE w:val="0"/>
        <w:autoSpaceDN w:val="0"/>
        <w:adjustRightInd w:val="0"/>
        <w:rPr>
          <w:rFonts w:asciiTheme="minorHAnsi" w:hAnsiTheme="minorHAnsi" w:cstheme="minorHAnsi"/>
        </w:rPr>
      </w:pPr>
    </w:p>
    <w:p w14:paraId="755FCCBB" w14:textId="77777777" w:rsidR="00E06E51" w:rsidRPr="00E06E51" w:rsidRDefault="00E06E51" w:rsidP="00E06E51">
      <w:pPr>
        <w:spacing w:line="360" w:lineRule="auto"/>
        <w:rPr>
          <w:rFonts w:asciiTheme="minorHAnsi" w:hAnsiTheme="minorHAnsi" w:cstheme="minorHAnsi"/>
        </w:rPr>
      </w:pPr>
    </w:p>
    <w:p w14:paraId="755FCCBC"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CBD"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5</w:t>
      </w:r>
    </w:p>
    <w:p w14:paraId="755FCCBE" w14:textId="77777777" w:rsidR="00E06E51" w:rsidRPr="00E06E51" w:rsidRDefault="00E06E51" w:rsidP="00E06E51">
      <w:pPr>
        <w:spacing w:line="360" w:lineRule="auto"/>
        <w:rPr>
          <w:rFonts w:asciiTheme="minorHAnsi" w:hAnsiTheme="minorHAnsi" w:cstheme="minorHAnsi"/>
        </w:rPr>
      </w:pPr>
    </w:p>
    <w:p w14:paraId="755FCCBF"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1">
          <v:shape id="_x0000_i1029" type="#_x0000_t75" style="width:270.75pt;height:202.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9" DrawAspect="Content" ObjectID="_1425820948" r:id="rId18"/>
        </w:object>
      </w:r>
    </w:p>
    <w:p w14:paraId="755FCCC0" w14:textId="77777777" w:rsidR="00E06E51" w:rsidRPr="00E06E51" w:rsidRDefault="00E06E51" w:rsidP="00E06E51">
      <w:pPr>
        <w:spacing w:line="360" w:lineRule="auto"/>
        <w:jc w:val="center"/>
        <w:rPr>
          <w:rFonts w:asciiTheme="minorHAnsi" w:hAnsiTheme="minorHAnsi" w:cstheme="minorHAnsi"/>
        </w:rPr>
      </w:pPr>
    </w:p>
    <w:p w14:paraId="755FCCC1"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Workforce Profile</w:t>
      </w:r>
    </w:p>
    <w:p w14:paraId="755FCCC2"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 ABS, Census of Population and Housing, 2011 and 2006, DEEWR, Small Area Labour Markets, September Quarter 2012</w:t>
      </w:r>
    </w:p>
    <w:p w14:paraId="755FCCC3" w14:textId="77777777" w:rsidR="00E06E51" w:rsidRPr="00E06E51" w:rsidRDefault="00E06E51" w:rsidP="00E06E51">
      <w:pPr>
        <w:autoSpaceDE w:val="0"/>
        <w:autoSpaceDN w:val="0"/>
        <w:adjustRightInd w:val="0"/>
        <w:rPr>
          <w:rFonts w:asciiTheme="minorHAnsi" w:hAnsiTheme="minorHAnsi" w:cstheme="minorHAnsi"/>
          <w:kern w:val="24"/>
        </w:rPr>
      </w:pPr>
    </w:p>
    <w:p w14:paraId="755FCCC4"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At the time of the 2011 Census, there were 25,600 employed people (aged 15-64) in the Greater Shepparton LGA and the unemployment rate for the LGA stood at 8.3 per cent at September 2012.</w:t>
      </w:r>
    </w:p>
    <w:p w14:paraId="755FCCC5" w14:textId="77777777" w:rsidR="00E06E51" w:rsidRPr="00E06E51" w:rsidRDefault="00E06E51" w:rsidP="00E06E51">
      <w:pPr>
        <w:autoSpaceDE w:val="0"/>
        <w:autoSpaceDN w:val="0"/>
        <w:adjustRightInd w:val="0"/>
        <w:rPr>
          <w:rFonts w:asciiTheme="minorHAnsi" w:hAnsiTheme="minorHAnsi" w:cstheme="minorHAnsi"/>
          <w:kern w:val="24"/>
        </w:rPr>
      </w:pPr>
    </w:p>
    <w:p w14:paraId="755FCCC6"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The Greater Shepparton LGA and North Eastern Victoria PEA overall have experienced significantly lower employment growth in the five years to 2011 compared to the average for Victoria.</w:t>
      </w:r>
    </w:p>
    <w:p w14:paraId="755FCCC7" w14:textId="77777777" w:rsidR="00E06E51" w:rsidRPr="00E06E51" w:rsidRDefault="00E06E51" w:rsidP="00E06E51">
      <w:pPr>
        <w:autoSpaceDE w:val="0"/>
        <w:autoSpaceDN w:val="0"/>
        <w:adjustRightInd w:val="0"/>
        <w:rPr>
          <w:rFonts w:asciiTheme="minorHAnsi" w:hAnsiTheme="minorHAnsi" w:cstheme="minorHAnsi"/>
          <w:kern w:val="24"/>
        </w:rPr>
      </w:pPr>
    </w:p>
    <w:p w14:paraId="755FCCC8" w14:textId="77777777" w:rsidR="00E06E51" w:rsidRPr="00E06E51" w:rsidRDefault="00E06E51" w:rsidP="00E06E51">
      <w:pPr>
        <w:autoSpaceDE w:val="0"/>
        <w:autoSpaceDN w:val="0"/>
        <w:adjustRightInd w:val="0"/>
        <w:rPr>
          <w:rFonts w:asciiTheme="minorHAnsi" w:hAnsiTheme="minorHAnsi" w:cstheme="minorHAnsi"/>
          <w:kern w:val="24"/>
        </w:rPr>
      </w:pPr>
    </w:p>
    <w:p w14:paraId="755FCCC9" w14:textId="77777777" w:rsidR="00E06E51" w:rsidRPr="00E06E51" w:rsidRDefault="00E06E51" w:rsidP="00E06E51">
      <w:pPr>
        <w:autoSpaceDE w:val="0"/>
        <w:autoSpaceDN w:val="0"/>
        <w:adjustRightInd w:val="0"/>
        <w:rPr>
          <w:rFonts w:asciiTheme="minorHAnsi" w:hAnsiTheme="minorHAnsi" w:cstheme="minorHAnsi"/>
          <w:b/>
          <w:bCs/>
          <w:kern w:val="24"/>
        </w:rPr>
      </w:pPr>
    </w:p>
    <w:p w14:paraId="755FCCCA" w14:textId="77777777" w:rsidR="00E06E51" w:rsidRPr="00E06E51" w:rsidRDefault="00E06E51" w:rsidP="00E06E51">
      <w:pPr>
        <w:autoSpaceDE w:val="0"/>
        <w:autoSpaceDN w:val="0"/>
        <w:adjustRightInd w:val="0"/>
        <w:rPr>
          <w:rFonts w:asciiTheme="minorHAnsi" w:hAnsiTheme="minorHAnsi" w:cstheme="minorHAnsi"/>
        </w:rPr>
      </w:pPr>
    </w:p>
    <w:p w14:paraId="755FCCCB" w14:textId="77777777" w:rsidR="00E06E51" w:rsidRPr="00E06E51" w:rsidRDefault="00E06E51" w:rsidP="00E06E51">
      <w:pPr>
        <w:spacing w:line="360" w:lineRule="auto"/>
        <w:rPr>
          <w:rFonts w:asciiTheme="minorHAnsi" w:hAnsiTheme="minorHAnsi" w:cstheme="minorHAnsi"/>
        </w:rPr>
      </w:pPr>
    </w:p>
    <w:p w14:paraId="755FCCCC"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CCD"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6</w:t>
      </w:r>
    </w:p>
    <w:p w14:paraId="755FCCCE" w14:textId="77777777" w:rsidR="00E06E51" w:rsidRPr="00E06E51" w:rsidRDefault="00E06E51" w:rsidP="00E06E51">
      <w:pPr>
        <w:spacing w:line="360" w:lineRule="auto"/>
        <w:rPr>
          <w:rFonts w:asciiTheme="minorHAnsi" w:hAnsiTheme="minorHAnsi" w:cstheme="minorHAnsi"/>
        </w:rPr>
      </w:pPr>
    </w:p>
    <w:p w14:paraId="755FCCCF"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2">
          <v:shape id="_x0000_i1030" type="#_x0000_t75" style="width:270.75pt;height:202.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0" DrawAspect="Content" ObjectID="_1425820949" r:id="rId20"/>
        </w:object>
      </w:r>
    </w:p>
    <w:p w14:paraId="755FCCD0" w14:textId="77777777" w:rsidR="00E06E51" w:rsidRPr="00E06E51" w:rsidRDefault="00E06E51" w:rsidP="00E06E51">
      <w:pPr>
        <w:spacing w:line="360" w:lineRule="auto"/>
        <w:jc w:val="center"/>
        <w:rPr>
          <w:rFonts w:asciiTheme="minorHAnsi" w:hAnsiTheme="minorHAnsi" w:cstheme="minorHAnsi"/>
        </w:rPr>
      </w:pPr>
    </w:p>
    <w:p w14:paraId="755FCCD1"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High Unemployment Rate</w:t>
      </w:r>
    </w:p>
    <w:p w14:paraId="755FCCD2"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w:t>
      </w:r>
      <w:r w:rsidRPr="00E06E51">
        <w:rPr>
          <w:rFonts w:asciiTheme="minorHAnsi" w:hAnsiTheme="minorHAnsi" w:cstheme="minorHAnsi"/>
          <w:kern w:val="24"/>
        </w:rPr>
        <w:t xml:space="preserve"> </w:t>
      </w:r>
      <w:r w:rsidRPr="00E06E51">
        <w:rPr>
          <w:rFonts w:asciiTheme="minorHAnsi" w:hAnsiTheme="minorHAnsi" w:cstheme="minorHAnsi"/>
          <w:i/>
          <w:iCs/>
          <w:kern w:val="24"/>
        </w:rPr>
        <w:t>DEEWR, Small Area Labour Markets, September Quarter 2012</w:t>
      </w:r>
    </w:p>
    <w:p w14:paraId="755FCCD3" w14:textId="77777777" w:rsidR="00E06E51" w:rsidRPr="00E06E51" w:rsidRDefault="00E06E51" w:rsidP="00E06E51">
      <w:pPr>
        <w:autoSpaceDE w:val="0"/>
        <w:autoSpaceDN w:val="0"/>
        <w:adjustRightInd w:val="0"/>
        <w:rPr>
          <w:rFonts w:asciiTheme="minorHAnsi" w:hAnsiTheme="minorHAnsi" w:cstheme="minorHAnsi"/>
          <w:i/>
          <w:iCs/>
          <w:kern w:val="24"/>
        </w:rPr>
      </w:pPr>
    </w:p>
    <w:p w14:paraId="755FCCD4"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The unemployment rate for the Greater Shepparton LGA has remained consistently above the state and national unemployment rate since September 2008. </w:t>
      </w:r>
    </w:p>
    <w:p w14:paraId="755FCCD5" w14:textId="77777777" w:rsidR="00E06E51" w:rsidRPr="00E06E51" w:rsidRDefault="00E06E51" w:rsidP="00E06E51">
      <w:pPr>
        <w:autoSpaceDE w:val="0"/>
        <w:autoSpaceDN w:val="0"/>
        <w:adjustRightInd w:val="0"/>
        <w:rPr>
          <w:rFonts w:asciiTheme="minorHAnsi" w:hAnsiTheme="minorHAnsi" w:cstheme="minorHAnsi"/>
          <w:kern w:val="24"/>
        </w:rPr>
      </w:pPr>
    </w:p>
    <w:p w14:paraId="755FCCD6" w14:textId="77777777" w:rsidR="00E06E51" w:rsidRPr="00E06E51" w:rsidRDefault="00E06E51" w:rsidP="00E06E51">
      <w:pPr>
        <w:autoSpaceDE w:val="0"/>
        <w:autoSpaceDN w:val="0"/>
        <w:adjustRightInd w:val="0"/>
        <w:rPr>
          <w:rFonts w:asciiTheme="minorHAnsi" w:hAnsiTheme="minorHAnsi" w:cstheme="minorHAnsi"/>
        </w:rPr>
      </w:pPr>
    </w:p>
    <w:p w14:paraId="755FCCD7" w14:textId="77777777" w:rsidR="00E06E51" w:rsidRPr="00E06E51" w:rsidRDefault="00E06E51" w:rsidP="00E06E51">
      <w:pPr>
        <w:spacing w:line="360" w:lineRule="auto"/>
        <w:rPr>
          <w:rFonts w:asciiTheme="minorHAnsi" w:hAnsiTheme="minorHAnsi" w:cstheme="minorHAnsi"/>
        </w:rPr>
      </w:pPr>
    </w:p>
    <w:p w14:paraId="755FCCD8"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CD9"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7</w:t>
      </w:r>
    </w:p>
    <w:p w14:paraId="755FCCDA" w14:textId="77777777" w:rsidR="00E06E51" w:rsidRPr="00E06E51" w:rsidRDefault="00E06E51" w:rsidP="00E06E51">
      <w:pPr>
        <w:spacing w:line="360" w:lineRule="auto"/>
        <w:rPr>
          <w:rFonts w:asciiTheme="minorHAnsi" w:hAnsiTheme="minorHAnsi" w:cstheme="minorHAnsi"/>
        </w:rPr>
      </w:pPr>
    </w:p>
    <w:p w14:paraId="755FCCDB"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3">
          <v:shape id="_x0000_i1031" type="#_x0000_t75" style="width:270.75pt;height:202.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1" DrawAspect="Content" ObjectID="_1425820950" r:id="rId22"/>
        </w:object>
      </w:r>
    </w:p>
    <w:p w14:paraId="755FCCDC" w14:textId="77777777" w:rsidR="00E06E51" w:rsidRPr="00E06E51" w:rsidRDefault="00E06E51" w:rsidP="00E06E51">
      <w:pPr>
        <w:spacing w:line="360" w:lineRule="auto"/>
        <w:jc w:val="center"/>
        <w:rPr>
          <w:rFonts w:asciiTheme="minorHAnsi" w:hAnsiTheme="minorHAnsi" w:cstheme="minorHAnsi"/>
        </w:rPr>
      </w:pPr>
    </w:p>
    <w:p w14:paraId="755FCCDD"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 xml:space="preserve">Higher Rates of Income Support </w:t>
      </w:r>
    </w:p>
    <w:p w14:paraId="755FCCDE"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 DEEWR, administrative data, December 2012; ABS, Census of Population and Housing, 2011</w:t>
      </w:r>
    </w:p>
    <w:p w14:paraId="755FCCDF" w14:textId="77777777" w:rsidR="00E06E51" w:rsidRPr="00E06E51" w:rsidRDefault="00E06E51" w:rsidP="00E06E51">
      <w:pPr>
        <w:autoSpaceDE w:val="0"/>
        <w:autoSpaceDN w:val="0"/>
        <w:adjustRightInd w:val="0"/>
        <w:rPr>
          <w:rFonts w:asciiTheme="minorHAnsi" w:hAnsiTheme="minorHAnsi" w:cstheme="minorHAnsi"/>
          <w:b/>
          <w:bCs/>
          <w:kern w:val="24"/>
        </w:rPr>
      </w:pPr>
    </w:p>
    <w:p w14:paraId="755FCCE0"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In December 2012, a quarter of the working age population (WAP) in the Greater Shepparton LGA were in receipt of a Centrelink benefit, higher compared with the North Eastern Victoria PEA (21 per cent) and with state and national levels (both 16 per cent).</w:t>
      </w:r>
    </w:p>
    <w:p w14:paraId="755FCCE1" w14:textId="77777777" w:rsidR="00E06E51" w:rsidRPr="00E06E51" w:rsidRDefault="00E06E51" w:rsidP="00E06E51">
      <w:pPr>
        <w:autoSpaceDE w:val="0"/>
        <w:autoSpaceDN w:val="0"/>
        <w:adjustRightInd w:val="0"/>
        <w:rPr>
          <w:rFonts w:asciiTheme="minorHAnsi" w:hAnsiTheme="minorHAnsi" w:cstheme="minorHAnsi"/>
          <w:kern w:val="24"/>
        </w:rPr>
      </w:pPr>
    </w:p>
    <w:p w14:paraId="755FCCE2"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Some 7% of the WAP were in receipt of an unemployment benefit, above both state and national levels (both 5%). </w:t>
      </w:r>
    </w:p>
    <w:p w14:paraId="755FCCE3" w14:textId="77777777" w:rsidR="00E06E51" w:rsidRPr="00E06E51" w:rsidRDefault="00E06E51" w:rsidP="00E06E51">
      <w:pPr>
        <w:autoSpaceDE w:val="0"/>
        <w:autoSpaceDN w:val="0"/>
        <w:adjustRightInd w:val="0"/>
        <w:rPr>
          <w:rFonts w:asciiTheme="minorHAnsi" w:hAnsiTheme="minorHAnsi" w:cstheme="minorHAnsi"/>
          <w:kern w:val="24"/>
        </w:rPr>
      </w:pPr>
    </w:p>
    <w:p w14:paraId="755FCCE4" w14:textId="77777777" w:rsidR="00C33767" w:rsidRDefault="00C33767" w:rsidP="00E06E51">
      <w:pPr>
        <w:autoSpaceDE w:val="0"/>
        <w:autoSpaceDN w:val="0"/>
        <w:adjustRightInd w:val="0"/>
        <w:rPr>
          <w:rFonts w:asciiTheme="minorHAnsi" w:hAnsiTheme="minorHAnsi" w:cstheme="minorHAnsi"/>
          <w:kern w:val="24"/>
        </w:rPr>
      </w:pPr>
      <w:r>
        <w:rPr>
          <w:rFonts w:asciiTheme="minorHAnsi" w:hAnsiTheme="minorHAnsi" w:cstheme="minorHAnsi"/>
          <w:kern w:val="24"/>
        </w:rPr>
        <w:t>As at December 2012</w:t>
      </w:r>
      <w:r w:rsidR="003431A0">
        <w:rPr>
          <w:rFonts w:asciiTheme="minorHAnsi" w:hAnsiTheme="minorHAnsi" w:cstheme="minorHAnsi"/>
          <w:kern w:val="24"/>
        </w:rPr>
        <w:t>,</w:t>
      </w:r>
      <w:r>
        <w:rPr>
          <w:rFonts w:asciiTheme="minorHAnsi" w:hAnsiTheme="minorHAnsi" w:cstheme="minorHAnsi"/>
          <w:kern w:val="24"/>
        </w:rPr>
        <w:t xml:space="preserve"> 7 per cent of females aged between 15 and 64 were in receipt of a single parenting payment (PPS). There was no change in this proportion since December 2009.</w:t>
      </w:r>
    </w:p>
    <w:p w14:paraId="755FCCE5" w14:textId="77777777" w:rsidR="00E06E51" w:rsidRPr="00E06E51" w:rsidRDefault="00E06E51" w:rsidP="00E06E51">
      <w:pPr>
        <w:autoSpaceDE w:val="0"/>
        <w:autoSpaceDN w:val="0"/>
        <w:adjustRightInd w:val="0"/>
        <w:rPr>
          <w:rFonts w:asciiTheme="minorHAnsi" w:hAnsiTheme="minorHAnsi" w:cstheme="minorHAnsi"/>
          <w:kern w:val="24"/>
        </w:rPr>
      </w:pPr>
    </w:p>
    <w:p w14:paraId="755FCCE6" w14:textId="77777777" w:rsidR="00E06E51" w:rsidRPr="00E06E51" w:rsidRDefault="00E06E51" w:rsidP="00E06E51">
      <w:pPr>
        <w:autoSpaceDE w:val="0"/>
        <w:autoSpaceDN w:val="0"/>
        <w:adjustRightInd w:val="0"/>
        <w:rPr>
          <w:rFonts w:asciiTheme="minorHAnsi" w:hAnsiTheme="minorHAnsi" w:cstheme="minorHAnsi"/>
          <w:b/>
          <w:bCs/>
          <w:kern w:val="24"/>
        </w:rPr>
      </w:pPr>
    </w:p>
    <w:p w14:paraId="755FCCE7" w14:textId="77777777" w:rsidR="00E06E51" w:rsidRPr="00E06E51" w:rsidRDefault="00E06E51" w:rsidP="00E06E51">
      <w:pPr>
        <w:autoSpaceDE w:val="0"/>
        <w:autoSpaceDN w:val="0"/>
        <w:adjustRightInd w:val="0"/>
        <w:rPr>
          <w:rFonts w:asciiTheme="minorHAnsi" w:hAnsiTheme="minorHAnsi" w:cstheme="minorHAnsi"/>
        </w:rPr>
      </w:pPr>
    </w:p>
    <w:p w14:paraId="755FCCE8" w14:textId="77777777" w:rsidR="00E06E51" w:rsidRPr="00E06E51" w:rsidRDefault="00E06E51" w:rsidP="00E06E51">
      <w:pPr>
        <w:spacing w:line="360" w:lineRule="auto"/>
        <w:rPr>
          <w:rFonts w:asciiTheme="minorHAnsi" w:hAnsiTheme="minorHAnsi" w:cstheme="minorHAnsi"/>
        </w:rPr>
      </w:pPr>
    </w:p>
    <w:p w14:paraId="755FCCE9"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CEA"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8</w:t>
      </w:r>
    </w:p>
    <w:p w14:paraId="755FCCEB" w14:textId="77777777" w:rsidR="00E06E51" w:rsidRPr="00E06E51" w:rsidRDefault="00E06E51" w:rsidP="00E06E51">
      <w:pPr>
        <w:spacing w:line="360" w:lineRule="auto"/>
        <w:rPr>
          <w:rFonts w:asciiTheme="minorHAnsi" w:hAnsiTheme="minorHAnsi" w:cstheme="minorHAnsi"/>
        </w:rPr>
      </w:pPr>
    </w:p>
    <w:p w14:paraId="755FCCEC"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4">
          <v:shape id="_x0000_i1032" type="#_x0000_t75" style="width:270.75pt;height:202.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2" DrawAspect="Content" ObjectID="_1425820951" r:id="rId24"/>
        </w:object>
      </w:r>
    </w:p>
    <w:p w14:paraId="755FCCED" w14:textId="77777777" w:rsidR="00E06E51" w:rsidRPr="00E06E51" w:rsidRDefault="00E06E51" w:rsidP="00E06E51">
      <w:pPr>
        <w:spacing w:line="360" w:lineRule="auto"/>
        <w:jc w:val="center"/>
        <w:rPr>
          <w:rFonts w:asciiTheme="minorHAnsi" w:hAnsiTheme="minorHAnsi" w:cstheme="minorHAnsi"/>
        </w:rPr>
      </w:pPr>
    </w:p>
    <w:p w14:paraId="755FCCEE" w14:textId="77777777" w:rsidR="00E06E51" w:rsidRPr="00E06E51" w:rsidRDefault="00E06E51" w:rsidP="00E06E51">
      <w:pPr>
        <w:autoSpaceDE w:val="0"/>
        <w:autoSpaceDN w:val="0"/>
        <w:adjustRightInd w:val="0"/>
        <w:rPr>
          <w:rFonts w:asciiTheme="minorHAnsi" w:hAnsiTheme="minorHAnsi" w:cstheme="minorHAnsi"/>
          <w:kern w:val="24"/>
          <w:u w:val="single"/>
        </w:rPr>
      </w:pPr>
      <w:r w:rsidRPr="00E06E51">
        <w:rPr>
          <w:rFonts w:asciiTheme="minorHAnsi" w:hAnsiTheme="minorHAnsi" w:cstheme="minorHAnsi"/>
          <w:b/>
          <w:bCs/>
          <w:kern w:val="24"/>
          <w:u w:val="single"/>
        </w:rPr>
        <w:t>High Levels of Disengagement amongst Young Adults (20-24 years)</w:t>
      </w:r>
    </w:p>
    <w:p w14:paraId="755FCCEF"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i/>
          <w:iCs/>
          <w:kern w:val="24"/>
        </w:rPr>
        <w:t xml:space="preserve">Source: ABS, Census of Population and Housing, 2011 </w:t>
      </w:r>
    </w:p>
    <w:p w14:paraId="755FCCF0"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w:t>
      </w:r>
    </w:p>
    <w:p w14:paraId="755FCCF1"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At the time of the 2011 Census, 19 per cent of young adults (persons aged 20 to 24 years) in the Greater Shepparton LGA were </w:t>
      </w:r>
      <w:r w:rsidR="00C33767" w:rsidRPr="00E06E51">
        <w:rPr>
          <w:rFonts w:asciiTheme="minorHAnsi" w:hAnsiTheme="minorHAnsi" w:cstheme="minorHAnsi"/>
          <w:kern w:val="24"/>
        </w:rPr>
        <w:t>neither working nor</w:t>
      </w:r>
      <w:r w:rsidRPr="00E06E51">
        <w:rPr>
          <w:rFonts w:asciiTheme="minorHAnsi" w:hAnsiTheme="minorHAnsi" w:cstheme="minorHAnsi"/>
          <w:kern w:val="24"/>
        </w:rPr>
        <w:t xml:space="preserve"> studying. </w:t>
      </w:r>
      <w:r w:rsidRPr="00E06E51">
        <w:rPr>
          <w:rFonts w:asciiTheme="minorHAnsi" w:hAnsiTheme="minorHAnsi" w:cstheme="minorHAnsi"/>
          <w:kern w:val="24"/>
        </w:rPr>
        <w:br/>
        <w:t>This figur</w:t>
      </w:r>
      <w:r w:rsidR="00C33767">
        <w:rPr>
          <w:rFonts w:asciiTheme="minorHAnsi" w:hAnsiTheme="minorHAnsi" w:cstheme="minorHAnsi"/>
          <w:kern w:val="24"/>
        </w:rPr>
        <w:t xml:space="preserve">e is higher when compared with </w:t>
      </w:r>
      <w:r w:rsidRPr="00E06E51">
        <w:rPr>
          <w:rFonts w:asciiTheme="minorHAnsi" w:hAnsiTheme="minorHAnsi" w:cstheme="minorHAnsi"/>
          <w:kern w:val="24"/>
        </w:rPr>
        <w:t xml:space="preserve">Victoria (11 per cent) and the North Eastern Victoria PEA (16 per cent). </w:t>
      </w:r>
    </w:p>
    <w:p w14:paraId="755FCCF2" w14:textId="77777777" w:rsidR="00E06E51" w:rsidRPr="00E06E51" w:rsidRDefault="00E06E51" w:rsidP="00E06E51">
      <w:pPr>
        <w:autoSpaceDE w:val="0"/>
        <w:autoSpaceDN w:val="0"/>
        <w:adjustRightInd w:val="0"/>
        <w:rPr>
          <w:rFonts w:asciiTheme="minorHAnsi" w:hAnsiTheme="minorHAnsi" w:cstheme="minorHAnsi"/>
          <w:kern w:val="24"/>
        </w:rPr>
      </w:pPr>
    </w:p>
    <w:p w14:paraId="755FCCF3"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For young adult males in the LGA, 7 per cent were not in the labour force and not studying and a further 6 per cent were unemployed and not studying.</w:t>
      </w:r>
    </w:p>
    <w:p w14:paraId="755FCCF4"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For young adult females in the LGA, 19 per cent were not in the labour force and not studying and a further 5 per cent were unemployed and not studying. </w:t>
      </w:r>
    </w:p>
    <w:p w14:paraId="755FCCF5" w14:textId="77777777" w:rsidR="00E06E51" w:rsidRPr="00E06E51" w:rsidRDefault="00E06E51" w:rsidP="00E06E51">
      <w:pPr>
        <w:autoSpaceDE w:val="0"/>
        <w:autoSpaceDN w:val="0"/>
        <w:adjustRightInd w:val="0"/>
        <w:rPr>
          <w:rFonts w:asciiTheme="minorHAnsi" w:hAnsiTheme="minorHAnsi" w:cstheme="minorHAnsi"/>
          <w:kern w:val="24"/>
        </w:rPr>
      </w:pPr>
    </w:p>
    <w:p w14:paraId="755FCCF6" w14:textId="77777777" w:rsidR="00E06E51" w:rsidRPr="00E06E51" w:rsidRDefault="00E06E51" w:rsidP="00E06E51">
      <w:pPr>
        <w:autoSpaceDE w:val="0"/>
        <w:autoSpaceDN w:val="0"/>
        <w:adjustRightInd w:val="0"/>
        <w:rPr>
          <w:rFonts w:asciiTheme="minorHAnsi" w:hAnsiTheme="minorHAnsi" w:cstheme="minorHAnsi"/>
        </w:rPr>
      </w:pPr>
    </w:p>
    <w:p w14:paraId="755FCCF7" w14:textId="77777777" w:rsidR="00E06E51" w:rsidRPr="00E06E51" w:rsidRDefault="00E06E51" w:rsidP="00E06E51">
      <w:pPr>
        <w:spacing w:line="360" w:lineRule="auto"/>
        <w:rPr>
          <w:rFonts w:asciiTheme="minorHAnsi" w:hAnsiTheme="minorHAnsi" w:cstheme="minorHAnsi"/>
        </w:rPr>
      </w:pPr>
    </w:p>
    <w:p w14:paraId="755FCCF8"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CF9"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9</w:t>
      </w:r>
    </w:p>
    <w:p w14:paraId="755FCCFA" w14:textId="77777777" w:rsidR="00E06E51" w:rsidRPr="00E06E51" w:rsidRDefault="00E06E51" w:rsidP="00E06E51">
      <w:pPr>
        <w:spacing w:line="360" w:lineRule="auto"/>
        <w:rPr>
          <w:rFonts w:asciiTheme="minorHAnsi" w:hAnsiTheme="minorHAnsi" w:cstheme="minorHAnsi"/>
        </w:rPr>
      </w:pPr>
    </w:p>
    <w:p w14:paraId="755FCCFB"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5">
          <v:shape id="_x0000_i1033" type="#_x0000_t75" style="width:270.75pt;height:202.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3" DrawAspect="Content" ObjectID="_1425820952" r:id="rId26"/>
        </w:object>
      </w:r>
    </w:p>
    <w:p w14:paraId="755FCCFC" w14:textId="77777777" w:rsidR="00E06E51" w:rsidRPr="00E06E51" w:rsidRDefault="00E06E51" w:rsidP="00E06E51">
      <w:pPr>
        <w:spacing w:line="360" w:lineRule="auto"/>
        <w:jc w:val="center"/>
        <w:rPr>
          <w:rFonts w:asciiTheme="minorHAnsi" w:hAnsiTheme="minorHAnsi" w:cstheme="minorHAnsi"/>
        </w:rPr>
      </w:pPr>
    </w:p>
    <w:p w14:paraId="755FCCFD"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Weaker Labour Market Outcomes for Indigenous Working Age Population</w:t>
      </w:r>
    </w:p>
    <w:p w14:paraId="755FCCFE"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i/>
          <w:iCs/>
          <w:kern w:val="24"/>
        </w:rPr>
        <w:t>Source: ABS, Census of Population and Housing, 2011</w:t>
      </w:r>
    </w:p>
    <w:p w14:paraId="755FCCFF" w14:textId="77777777" w:rsidR="00E06E51" w:rsidRPr="00E06E51" w:rsidRDefault="00E06E51" w:rsidP="00E06E51">
      <w:pPr>
        <w:autoSpaceDE w:val="0"/>
        <w:autoSpaceDN w:val="0"/>
        <w:adjustRightInd w:val="0"/>
        <w:rPr>
          <w:rFonts w:asciiTheme="minorHAnsi" w:hAnsiTheme="minorHAnsi" w:cstheme="minorHAnsi"/>
          <w:kern w:val="24"/>
        </w:rPr>
      </w:pPr>
    </w:p>
    <w:p w14:paraId="755FCD00"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This slide shows labour market outcomes of the Indigenous working age population in the Greater Shepparton LGA, North Eastern Victoria PEA, Victoria and Australia.</w:t>
      </w:r>
    </w:p>
    <w:p w14:paraId="755FCD01" w14:textId="77777777" w:rsidR="00E06E51" w:rsidRPr="00E06E51" w:rsidRDefault="00E06E51" w:rsidP="00E06E51">
      <w:pPr>
        <w:autoSpaceDE w:val="0"/>
        <w:autoSpaceDN w:val="0"/>
        <w:adjustRightInd w:val="0"/>
        <w:rPr>
          <w:rFonts w:asciiTheme="minorHAnsi" w:hAnsiTheme="minorHAnsi" w:cstheme="minorHAnsi"/>
          <w:kern w:val="24"/>
        </w:rPr>
      </w:pPr>
    </w:p>
    <w:p w14:paraId="755FCD02"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The Greater Shepparton LGA has the largest Indigenous population in the PEA and Indigenous people make up 3.2 per cent of the working age population.</w:t>
      </w:r>
    </w:p>
    <w:p w14:paraId="755FCD03"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Some 2.0 per cent of the working age population in the North Eastern Victoria PEA identify themselves as being indigenous, a figure larger than that for the state (0.7 per cent). </w:t>
      </w:r>
    </w:p>
    <w:p w14:paraId="755FCD04" w14:textId="77777777" w:rsidR="00E06E51" w:rsidRPr="00E06E51" w:rsidRDefault="00E06E51" w:rsidP="00E06E51">
      <w:pPr>
        <w:autoSpaceDE w:val="0"/>
        <w:autoSpaceDN w:val="0"/>
        <w:adjustRightInd w:val="0"/>
        <w:rPr>
          <w:rFonts w:asciiTheme="minorHAnsi" w:hAnsiTheme="minorHAnsi" w:cstheme="minorHAnsi"/>
          <w:kern w:val="24"/>
        </w:rPr>
      </w:pPr>
    </w:p>
    <w:p w14:paraId="755FCD05"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For the Greater Shepparton LGA overall, the unemployment rate for Indigenous people was 20.9 per cent, nearly 4 times that of the unemployment rate for non-Indigenous people (5.3 per cent). This disparity is greater compared with the state and national Indigenous and non-Indigenous unemployment rates. </w:t>
      </w:r>
    </w:p>
    <w:p w14:paraId="755FCD06" w14:textId="77777777" w:rsidR="00E06E51" w:rsidRPr="00E06E51" w:rsidRDefault="00E06E51" w:rsidP="00E06E51">
      <w:pPr>
        <w:autoSpaceDE w:val="0"/>
        <w:autoSpaceDN w:val="0"/>
        <w:adjustRightInd w:val="0"/>
        <w:rPr>
          <w:rFonts w:asciiTheme="minorHAnsi" w:hAnsiTheme="minorHAnsi" w:cstheme="minorHAnsi"/>
          <w:kern w:val="24"/>
        </w:rPr>
      </w:pPr>
    </w:p>
    <w:p w14:paraId="755FCD07"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The proportion of the working age population participating in the labour market is significantly smaller for Indigenous people in the Greater Shepparton LGA (54.2 per cent compared with 75.0 per cent for non-Indigenous people). </w:t>
      </w:r>
    </w:p>
    <w:p w14:paraId="755FCD08" w14:textId="77777777" w:rsidR="00E06E51" w:rsidRPr="00E06E51" w:rsidRDefault="00E06E51" w:rsidP="00E06E51">
      <w:pPr>
        <w:autoSpaceDE w:val="0"/>
        <w:autoSpaceDN w:val="0"/>
        <w:adjustRightInd w:val="0"/>
        <w:rPr>
          <w:rFonts w:asciiTheme="minorHAnsi" w:hAnsiTheme="minorHAnsi" w:cstheme="minorHAnsi"/>
        </w:rPr>
      </w:pPr>
    </w:p>
    <w:p w14:paraId="755FCD09" w14:textId="77777777" w:rsidR="00E06E51" w:rsidRPr="00E06E51" w:rsidRDefault="00E06E51" w:rsidP="00E06E51">
      <w:pPr>
        <w:spacing w:line="360" w:lineRule="auto"/>
        <w:rPr>
          <w:rFonts w:asciiTheme="minorHAnsi" w:hAnsiTheme="minorHAnsi" w:cstheme="minorHAnsi"/>
        </w:rPr>
      </w:pPr>
    </w:p>
    <w:p w14:paraId="755FCD0A"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0B"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10</w:t>
      </w:r>
    </w:p>
    <w:p w14:paraId="755FCD0C" w14:textId="77777777" w:rsidR="00E06E51" w:rsidRPr="00E06E51" w:rsidRDefault="00E06E51" w:rsidP="00E06E51">
      <w:pPr>
        <w:spacing w:line="360" w:lineRule="auto"/>
        <w:rPr>
          <w:rFonts w:asciiTheme="minorHAnsi" w:hAnsiTheme="minorHAnsi" w:cstheme="minorHAnsi"/>
        </w:rPr>
      </w:pPr>
    </w:p>
    <w:p w14:paraId="755FCD0D"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6">
          <v:shape id="_x0000_i1034" type="#_x0000_t75" style="width:270.75pt;height:202.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4" DrawAspect="Content" ObjectID="_1425820953" r:id="rId28"/>
        </w:object>
      </w:r>
    </w:p>
    <w:p w14:paraId="755FCD0E" w14:textId="77777777" w:rsidR="00E06E51" w:rsidRPr="00E06E51" w:rsidRDefault="00E06E51" w:rsidP="00E06E51">
      <w:pPr>
        <w:spacing w:line="360" w:lineRule="auto"/>
        <w:jc w:val="center"/>
        <w:rPr>
          <w:rFonts w:asciiTheme="minorHAnsi" w:hAnsiTheme="minorHAnsi" w:cstheme="minorHAnsi"/>
        </w:rPr>
      </w:pPr>
    </w:p>
    <w:p w14:paraId="755FCD0F"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kern w:val="24"/>
          <w:u w:val="single"/>
        </w:rPr>
        <w:t>One in five families jobless (with children aged less than 15 years)</w:t>
      </w:r>
    </w:p>
    <w:p w14:paraId="755FCD10"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i/>
          <w:iCs/>
          <w:kern w:val="24"/>
        </w:rPr>
        <w:t>Source: ABS, Census of Population and Housing, 2011</w:t>
      </w:r>
    </w:p>
    <w:p w14:paraId="755FCD11"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kern w:val="24"/>
        </w:rPr>
        <w:t> </w:t>
      </w:r>
    </w:p>
    <w:p w14:paraId="755FCD12"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Jobless families are families where parents are not employed or in the labour force with children under 15 years of age.</w:t>
      </w:r>
    </w:p>
    <w:p w14:paraId="755FCD13"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Some 20</w:t>
      </w:r>
      <w:r w:rsidR="003431A0">
        <w:rPr>
          <w:rFonts w:asciiTheme="minorHAnsi" w:hAnsiTheme="minorHAnsi" w:cstheme="minorHAnsi"/>
          <w:kern w:val="24"/>
        </w:rPr>
        <w:t xml:space="preserve"> per cent</w:t>
      </w:r>
      <w:r w:rsidRPr="00E06E51">
        <w:rPr>
          <w:rFonts w:asciiTheme="minorHAnsi" w:hAnsiTheme="minorHAnsi" w:cstheme="minorHAnsi"/>
          <w:kern w:val="24"/>
        </w:rPr>
        <w:t xml:space="preserve"> of families in the Greater Shepparton LGA did not have an employed parent, a figure larger than the figures for Victoria (13%) and Australia (14%) .</w:t>
      </w:r>
    </w:p>
    <w:p w14:paraId="755FCD14" w14:textId="77777777" w:rsidR="00E06E51" w:rsidRPr="00E06E51" w:rsidRDefault="00E06E51" w:rsidP="00E06E51">
      <w:pPr>
        <w:autoSpaceDE w:val="0"/>
        <w:autoSpaceDN w:val="0"/>
        <w:adjustRightInd w:val="0"/>
        <w:rPr>
          <w:rFonts w:asciiTheme="minorHAnsi" w:hAnsiTheme="minorHAnsi" w:cstheme="minorHAnsi"/>
          <w:kern w:val="24"/>
        </w:rPr>
      </w:pPr>
    </w:p>
    <w:p w14:paraId="755FCD15"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Nationally, 40</w:t>
      </w:r>
      <w:r w:rsidR="003431A0">
        <w:rPr>
          <w:rFonts w:asciiTheme="minorHAnsi" w:hAnsiTheme="minorHAnsi" w:cstheme="minorHAnsi"/>
          <w:kern w:val="24"/>
        </w:rPr>
        <w:t xml:space="preserve"> per cent</w:t>
      </w:r>
      <w:r w:rsidRPr="00E06E51">
        <w:rPr>
          <w:rFonts w:asciiTheme="minorHAnsi" w:hAnsiTheme="minorHAnsi" w:cstheme="minorHAnsi"/>
          <w:kern w:val="24"/>
        </w:rPr>
        <w:t xml:space="preserve"> (or 259,200) of all families with dependent children under 16 on income support payments are persistently jobless (16 March 2012). 85</w:t>
      </w:r>
      <w:r w:rsidR="003431A0">
        <w:rPr>
          <w:rFonts w:asciiTheme="minorHAnsi" w:hAnsiTheme="minorHAnsi" w:cstheme="minorHAnsi"/>
          <w:kern w:val="24"/>
        </w:rPr>
        <w:t xml:space="preserve"> per cent</w:t>
      </w:r>
      <w:r w:rsidRPr="00E06E51">
        <w:rPr>
          <w:rFonts w:asciiTheme="minorHAnsi" w:hAnsiTheme="minorHAnsi" w:cstheme="minorHAnsi"/>
          <w:kern w:val="24"/>
        </w:rPr>
        <w:t xml:space="preserve"> of these persistently jobless families are single parent jobless families.</w:t>
      </w:r>
    </w:p>
    <w:p w14:paraId="755FCD16" w14:textId="77777777" w:rsidR="00E06E51" w:rsidRPr="00E06E51" w:rsidRDefault="00E06E51" w:rsidP="00E06E51">
      <w:pPr>
        <w:autoSpaceDE w:val="0"/>
        <w:autoSpaceDN w:val="0"/>
        <w:adjustRightInd w:val="0"/>
        <w:rPr>
          <w:rFonts w:asciiTheme="minorHAnsi" w:hAnsiTheme="minorHAnsi" w:cstheme="minorHAnsi"/>
          <w:kern w:val="24"/>
        </w:rPr>
      </w:pPr>
    </w:p>
    <w:p w14:paraId="755FCD17"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Of all persistently jobless families, 55% (142,100) are very persistently jobless for three years (16 March 2009 -16 March 2012). </w:t>
      </w:r>
    </w:p>
    <w:p w14:paraId="755FCD18"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w:t>
      </w:r>
    </w:p>
    <w:p w14:paraId="755FCD19"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i/>
          <w:iCs/>
          <w:kern w:val="24"/>
        </w:rPr>
        <w:t>A ‘persistently jobless family’ is defined by the Department of Education, Employment and Workplace Relations (DEEWR) as a family with at least one dependent child under the age of 16 where all parents (partnered or single) are on income support and have no reported earnings in the previous year.</w:t>
      </w:r>
    </w:p>
    <w:p w14:paraId="755FCD1A"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 </w:t>
      </w:r>
    </w:p>
    <w:p w14:paraId="755FCD1B"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A ‘very persistently jobless family’ is defined by DEEWR as a family with at least one dependent child under the age of 16 where all parents (partnered or single) are on income support and have no reported earnings in the previous 3 years.</w:t>
      </w:r>
    </w:p>
    <w:p w14:paraId="755FCD1C" w14:textId="77777777" w:rsidR="00E06E51" w:rsidRPr="00E06E51" w:rsidRDefault="00E06E51" w:rsidP="00E06E51">
      <w:pPr>
        <w:autoSpaceDE w:val="0"/>
        <w:autoSpaceDN w:val="0"/>
        <w:adjustRightInd w:val="0"/>
        <w:rPr>
          <w:rFonts w:asciiTheme="minorHAnsi" w:hAnsiTheme="minorHAnsi" w:cstheme="minorHAnsi"/>
        </w:rPr>
      </w:pPr>
    </w:p>
    <w:p w14:paraId="755FCD1D" w14:textId="77777777" w:rsidR="00E06E51" w:rsidRPr="00E06E51" w:rsidRDefault="00E06E51" w:rsidP="00E06E51">
      <w:pPr>
        <w:spacing w:line="360" w:lineRule="auto"/>
        <w:rPr>
          <w:rFonts w:asciiTheme="minorHAnsi" w:hAnsiTheme="minorHAnsi" w:cstheme="minorHAnsi"/>
        </w:rPr>
      </w:pPr>
    </w:p>
    <w:p w14:paraId="755FCD1E"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1F"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11</w:t>
      </w:r>
    </w:p>
    <w:p w14:paraId="755FCD20" w14:textId="77777777" w:rsidR="00E06E51" w:rsidRPr="00E06E51" w:rsidRDefault="00E06E51" w:rsidP="00E06E51">
      <w:pPr>
        <w:spacing w:line="360" w:lineRule="auto"/>
        <w:rPr>
          <w:rFonts w:asciiTheme="minorHAnsi" w:hAnsiTheme="minorHAnsi" w:cstheme="minorHAnsi"/>
        </w:rPr>
      </w:pPr>
    </w:p>
    <w:p w14:paraId="755FCD21"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7">
          <v:shape id="_x0000_i1035" type="#_x0000_t75" style="width:270.75pt;height:202.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5" DrawAspect="Content" ObjectID="_1425820954" r:id="rId30"/>
        </w:object>
      </w:r>
    </w:p>
    <w:p w14:paraId="755FCD22" w14:textId="77777777" w:rsidR="00E06E51" w:rsidRPr="00E06E51" w:rsidRDefault="00E06E51" w:rsidP="00E06E51">
      <w:pPr>
        <w:spacing w:line="360" w:lineRule="auto"/>
        <w:jc w:val="center"/>
        <w:rPr>
          <w:rFonts w:asciiTheme="minorHAnsi" w:hAnsiTheme="minorHAnsi" w:cstheme="minorHAnsi"/>
        </w:rPr>
      </w:pPr>
    </w:p>
    <w:p w14:paraId="755FCD23"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kern w:val="24"/>
          <w:u w:val="single"/>
        </w:rPr>
        <w:t>Lower Educational Attainment (persons aged 25-34 years)</w:t>
      </w:r>
    </w:p>
    <w:p w14:paraId="755FCD24"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i/>
          <w:iCs/>
          <w:kern w:val="24"/>
        </w:rPr>
        <w:t xml:space="preserve">Source: ABS, Census of Population and Housing, 2011 </w:t>
      </w:r>
    </w:p>
    <w:p w14:paraId="755FCD25"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 </w:t>
      </w:r>
    </w:p>
    <w:p w14:paraId="755FCD26"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At the time of the 2011 Census, the proportion of 25 to 34 year olds in the Greater Shepparton LGA who had completed Year 12 or equivalent was 62</w:t>
      </w:r>
      <w:r w:rsidR="003431A0">
        <w:rPr>
          <w:rFonts w:asciiTheme="minorHAnsi" w:hAnsiTheme="minorHAnsi" w:cstheme="minorHAnsi"/>
          <w:kern w:val="24"/>
        </w:rPr>
        <w:t xml:space="preserve"> per cent</w:t>
      </w:r>
      <w:r w:rsidRPr="00E06E51">
        <w:rPr>
          <w:rFonts w:asciiTheme="minorHAnsi" w:hAnsiTheme="minorHAnsi" w:cstheme="minorHAnsi"/>
          <w:kern w:val="24"/>
        </w:rPr>
        <w:t xml:space="preserve">, smaller than for Victoria (79%) and Australia (75%). </w:t>
      </w:r>
    </w:p>
    <w:p w14:paraId="755FCD27"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w:t>
      </w:r>
    </w:p>
    <w:p w14:paraId="755FCD28"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Job seekers who have not completed Year 12 and have limited experience in the workforce are likely to lack many basic employability skills that employers value and look for in applicants, particularly for lower skilled vacancies and entry level positions such as apprenticeships and traineeships. </w:t>
      </w:r>
    </w:p>
    <w:p w14:paraId="755FCD29"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w:t>
      </w:r>
    </w:p>
    <w:p w14:paraId="755FCD2A"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At the time of the 2011 Census, the proportion of 25 to 34 year olds who had attained an Advanced Diploma, Diploma or Certificate level III or IV in the Greater Shepparton LGA (34%) was larger than state and national averages (29% and 30% respectively), while the proportion who had attained a Bachelor Degree or higher (22%) was far lower than the state and national averages (40% and 35% respectively).  </w:t>
      </w:r>
    </w:p>
    <w:p w14:paraId="755FCD2B" w14:textId="77777777" w:rsidR="00E06E51" w:rsidRPr="00E06E51" w:rsidRDefault="00E06E51" w:rsidP="00E06E51">
      <w:pPr>
        <w:autoSpaceDE w:val="0"/>
        <w:autoSpaceDN w:val="0"/>
        <w:adjustRightInd w:val="0"/>
        <w:rPr>
          <w:rFonts w:asciiTheme="minorHAnsi" w:hAnsiTheme="minorHAnsi" w:cstheme="minorHAnsi"/>
          <w:kern w:val="24"/>
        </w:rPr>
      </w:pPr>
    </w:p>
    <w:p w14:paraId="755FCD2C" w14:textId="77777777" w:rsidR="00E06E51" w:rsidRPr="00E06E51" w:rsidRDefault="00E06E51" w:rsidP="00E06E51">
      <w:pPr>
        <w:autoSpaceDE w:val="0"/>
        <w:autoSpaceDN w:val="0"/>
        <w:adjustRightInd w:val="0"/>
        <w:rPr>
          <w:rFonts w:asciiTheme="minorHAnsi" w:hAnsiTheme="minorHAnsi" w:cstheme="minorHAnsi"/>
          <w:i/>
          <w:iCs/>
        </w:rPr>
      </w:pPr>
    </w:p>
    <w:p w14:paraId="755FCD2D" w14:textId="77777777" w:rsidR="00E06E51" w:rsidRPr="00E06E51" w:rsidRDefault="00E06E51" w:rsidP="00E06E51">
      <w:pPr>
        <w:autoSpaceDE w:val="0"/>
        <w:autoSpaceDN w:val="0"/>
        <w:adjustRightInd w:val="0"/>
        <w:rPr>
          <w:rFonts w:asciiTheme="minorHAnsi" w:hAnsiTheme="minorHAnsi" w:cstheme="minorHAnsi"/>
        </w:rPr>
      </w:pPr>
    </w:p>
    <w:p w14:paraId="755FCD2E" w14:textId="77777777" w:rsidR="00E06E51" w:rsidRPr="00E06E51" w:rsidRDefault="00E06E51" w:rsidP="00E06E51">
      <w:pPr>
        <w:spacing w:line="360" w:lineRule="auto"/>
        <w:rPr>
          <w:rFonts w:asciiTheme="minorHAnsi" w:hAnsiTheme="minorHAnsi" w:cstheme="minorHAnsi"/>
        </w:rPr>
      </w:pPr>
    </w:p>
    <w:p w14:paraId="755FCD2F"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30"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12</w:t>
      </w:r>
    </w:p>
    <w:p w14:paraId="755FCD31" w14:textId="77777777" w:rsidR="00E06E51" w:rsidRPr="00E06E51" w:rsidRDefault="00E06E51" w:rsidP="00E06E51">
      <w:pPr>
        <w:spacing w:line="360" w:lineRule="auto"/>
        <w:rPr>
          <w:rFonts w:asciiTheme="minorHAnsi" w:hAnsiTheme="minorHAnsi" w:cstheme="minorHAnsi"/>
        </w:rPr>
      </w:pPr>
    </w:p>
    <w:p w14:paraId="755FCD32"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8">
          <v:shape id="_x0000_i1036" type="#_x0000_t75" style="width:270.75pt;height:202.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6" DrawAspect="Content" ObjectID="_1425820955" r:id="rId32"/>
        </w:object>
      </w:r>
    </w:p>
    <w:p w14:paraId="755FCD33" w14:textId="77777777" w:rsidR="00E06E51" w:rsidRPr="00E06E51" w:rsidRDefault="00E06E51" w:rsidP="00E06E51">
      <w:pPr>
        <w:spacing w:line="360" w:lineRule="auto"/>
        <w:jc w:val="center"/>
        <w:rPr>
          <w:rFonts w:asciiTheme="minorHAnsi" w:hAnsiTheme="minorHAnsi" w:cstheme="minorHAnsi"/>
        </w:rPr>
      </w:pPr>
    </w:p>
    <w:p w14:paraId="755FCD34"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kern w:val="24"/>
          <w:u w:val="single"/>
        </w:rPr>
        <w:t>Educational Attainment and Labour Market Outcomes (North Eastern Victoria PEA – 25-34 years)</w:t>
      </w:r>
    </w:p>
    <w:p w14:paraId="755FCD35"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i/>
          <w:iCs/>
          <w:kern w:val="24"/>
        </w:rPr>
        <w:t>Source: ABS, Census of Population and Housing, 2011</w:t>
      </w:r>
    </w:p>
    <w:p w14:paraId="755FCD36"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w:t>
      </w:r>
    </w:p>
    <w:p w14:paraId="755FCD37"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There is a strong relationship between educational attainment and employment outcomes. For those aged 25 to 34 years in the North Eastern Victoria PEA, there were high unemployment rates for those who had completed Certificate I &amp; II but had not completed Year 12 (11.3%) and those who did not complete Year 12 without any further post school qualification (14.7%). </w:t>
      </w:r>
    </w:p>
    <w:p w14:paraId="755FCD38" w14:textId="77777777" w:rsidR="00E06E51" w:rsidRPr="00E06E51" w:rsidRDefault="00E06E51" w:rsidP="00E06E51">
      <w:pPr>
        <w:autoSpaceDE w:val="0"/>
        <w:autoSpaceDN w:val="0"/>
        <w:adjustRightInd w:val="0"/>
        <w:rPr>
          <w:rFonts w:asciiTheme="minorHAnsi" w:hAnsiTheme="minorHAnsi" w:cstheme="minorHAnsi"/>
          <w:kern w:val="24"/>
        </w:rPr>
      </w:pPr>
    </w:p>
    <w:p w14:paraId="755FCD39"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Unemployment rates are considerably lower for those who have completed a tertiary education at the Bachelor degree, Advanced Diploma and Diploma Level. It should also be noted that employment outcomes are better for those who have attained Certificate Levels III or IV. This emphasises the importance of post school education in ensuring success in gaining employment. </w:t>
      </w:r>
    </w:p>
    <w:p w14:paraId="755FCD3A" w14:textId="77777777" w:rsidR="00E06E51" w:rsidRPr="00E06E51" w:rsidRDefault="00E06E51" w:rsidP="00E06E51">
      <w:pPr>
        <w:autoSpaceDE w:val="0"/>
        <w:autoSpaceDN w:val="0"/>
        <w:adjustRightInd w:val="0"/>
        <w:rPr>
          <w:rFonts w:asciiTheme="minorHAnsi" w:hAnsiTheme="minorHAnsi" w:cstheme="minorHAnsi"/>
        </w:rPr>
      </w:pPr>
    </w:p>
    <w:p w14:paraId="755FCD3B" w14:textId="77777777" w:rsidR="00E06E51" w:rsidRPr="00E06E51" w:rsidRDefault="00E06E51" w:rsidP="00E06E51">
      <w:pPr>
        <w:spacing w:line="360" w:lineRule="auto"/>
        <w:rPr>
          <w:rFonts w:asciiTheme="minorHAnsi" w:hAnsiTheme="minorHAnsi" w:cstheme="minorHAnsi"/>
        </w:rPr>
      </w:pPr>
    </w:p>
    <w:p w14:paraId="755FCD3C"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3D"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13</w:t>
      </w:r>
    </w:p>
    <w:p w14:paraId="755FCD3E" w14:textId="77777777" w:rsidR="00E06E51" w:rsidRPr="00E06E51" w:rsidRDefault="00E06E51" w:rsidP="00E06E51">
      <w:pPr>
        <w:spacing w:line="360" w:lineRule="auto"/>
        <w:rPr>
          <w:rFonts w:asciiTheme="minorHAnsi" w:hAnsiTheme="minorHAnsi" w:cstheme="minorHAnsi"/>
        </w:rPr>
      </w:pPr>
    </w:p>
    <w:p w14:paraId="755FCD3F"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9">
          <v:shape id="_x0000_i1037" type="#_x0000_t75" style="width:270.75pt;height:202.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7" DrawAspect="Content" ObjectID="_1425820956" r:id="rId34"/>
        </w:object>
      </w:r>
    </w:p>
    <w:p w14:paraId="755FCD40" w14:textId="77777777" w:rsidR="00E06E51" w:rsidRPr="00E06E51" w:rsidRDefault="00E06E51" w:rsidP="00E06E51">
      <w:pPr>
        <w:spacing w:line="360" w:lineRule="auto"/>
        <w:jc w:val="center"/>
        <w:rPr>
          <w:rFonts w:asciiTheme="minorHAnsi" w:hAnsiTheme="minorHAnsi" w:cstheme="minorHAnsi"/>
        </w:rPr>
      </w:pPr>
    </w:p>
    <w:p w14:paraId="755FCD41"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OTMESC Labour Market Outcomes</w:t>
      </w:r>
    </w:p>
    <w:p w14:paraId="755FCD42"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 ABS, Census of Population and Housing, 2011</w:t>
      </w:r>
    </w:p>
    <w:p w14:paraId="755FCD43" w14:textId="77777777" w:rsidR="00E06E51" w:rsidRPr="00E06E51" w:rsidRDefault="00E06E51" w:rsidP="00E06E51">
      <w:pPr>
        <w:autoSpaceDE w:val="0"/>
        <w:autoSpaceDN w:val="0"/>
        <w:adjustRightInd w:val="0"/>
        <w:rPr>
          <w:rFonts w:asciiTheme="minorHAnsi" w:hAnsiTheme="minorHAnsi" w:cstheme="minorHAnsi"/>
          <w:kern w:val="24"/>
        </w:rPr>
      </w:pPr>
    </w:p>
    <w:p w14:paraId="755FCD44"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This table compares the labour market outcomes for those people born in an other than main English speaking country (OTMESC) with those born in a main English speaking country (MESC) in the PEA. </w:t>
      </w:r>
      <w:r w:rsidRPr="00E06E51">
        <w:rPr>
          <w:rFonts w:asciiTheme="minorHAnsi" w:hAnsiTheme="minorHAnsi" w:cstheme="minorHAnsi"/>
          <w:kern w:val="24"/>
        </w:rPr>
        <w:br/>
        <w:t xml:space="preserve">MESC countries are Australia, Canada, Ireland, New Zealand, South Africa, United Kingdom and the United States of America. </w:t>
      </w:r>
    </w:p>
    <w:p w14:paraId="755FCD45" w14:textId="77777777" w:rsidR="00E06E51" w:rsidRPr="00E06E51" w:rsidRDefault="00E06E51" w:rsidP="00E06E51">
      <w:pPr>
        <w:autoSpaceDE w:val="0"/>
        <w:autoSpaceDN w:val="0"/>
        <w:adjustRightInd w:val="0"/>
        <w:rPr>
          <w:rFonts w:asciiTheme="minorHAnsi" w:hAnsiTheme="minorHAnsi" w:cstheme="minorHAnsi"/>
          <w:kern w:val="24"/>
        </w:rPr>
      </w:pPr>
    </w:p>
    <w:p w14:paraId="755FCD46"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At the time of the 2011 Census, the Greater Shepparton LGA had a smaller proportion (11  per cent) of working age persons born in OTMESC countries than both Victoria (23 per cent) and Australia (19 per cent). Nevertheless, the Greater Shepparton LGA has a larger proportion of its working age population born in OTMESC countries compared with the North Eastern Victoria PEA overall (6 per cent).</w:t>
      </w:r>
    </w:p>
    <w:p w14:paraId="755FCD47" w14:textId="77777777" w:rsidR="00E06E51" w:rsidRPr="00E06E51" w:rsidRDefault="00E06E51" w:rsidP="00E06E51">
      <w:pPr>
        <w:autoSpaceDE w:val="0"/>
        <w:autoSpaceDN w:val="0"/>
        <w:adjustRightInd w:val="0"/>
        <w:rPr>
          <w:rFonts w:asciiTheme="minorHAnsi" w:hAnsiTheme="minorHAnsi" w:cstheme="minorHAnsi"/>
          <w:kern w:val="24"/>
        </w:rPr>
      </w:pPr>
    </w:p>
    <w:p w14:paraId="755FCD48"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Persons born in OTMESC countries have a higher unemployment rate and lower participation rate when compared with those born in MESC countries. </w:t>
      </w:r>
      <w:r w:rsidRPr="00E06E51">
        <w:rPr>
          <w:rFonts w:asciiTheme="minorHAnsi" w:hAnsiTheme="minorHAnsi" w:cstheme="minorHAnsi"/>
          <w:kern w:val="24"/>
        </w:rPr>
        <w:br/>
        <w:t xml:space="preserve">In the Greater Shepparton LGA the unemployment rate for the OTMESC working age population was particularly high (11.1 per cent) when compared to the PEA overall (8.3 per cent) and the state and national figures (7.9 per cent and 7.7 per cent respectively). </w:t>
      </w:r>
      <w:r w:rsidRPr="00E06E51">
        <w:rPr>
          <w:rFonts w:asciiTheme="minorHAnsi" w:hAnsiTheme="minorHAnsi" w:cstheme="minorHAnsi"/>
          <w:kern w:val="24"/>
        </w:rPr>
        <w:br/>
        <w:t>The participation rate for the OTMESC working age population in the Greater Shepparton LGA (55.3 per cent) was also well below  that for the PEA overall (62.9 per cent), Victoria (68.4 per cent) and Australia (69.2 per cent).</w:t>
      </w:r>
    </w:p>
    <w:p w14:paraId="755FCD49" w14:textId="77777777" w:rsidR="00E06E51" w:rsidRPr="00E06E51" w:rsidRDefault="00E06E51" w:rsidP="00E06E51">
      <w:pPr>
        <w:autoSpaceDE w:val="0"/>
        <w:autoSpaceDN w:val="0"/>
        <w:adjustRightInd w:val="0"/>
        <w:rPr>
          <w:rFonts w:asciiTheme="minorHAnsi" w:hAnsiTheme="minorHAnsi" w:cstheme="minorHAnsi"/>
        </w:rPr>
      </w:pPr>
    </w:p>
    <w:p w14:paraId="755FCD4A" w14:textId="77777777" w:rsidR="00E06E51" w:rsidRPr="00E06E51" w:rsidRDefault="00E06E51" w:rsidP="00E06E51">
      <w:pPr>
        <w:spacing w:line="360" w:lineRule="auto"/>
        <w:rPr>
          <w:rFonts w:asciiTheme="minorHAnsi" w:hAnsiTheme="minorHAnsi" w:cstheme="minorHAnsi"/>
        </w:rPr>
      </w:pPr>
    </w:p>
    <w:p w14:paraId="755FCD4B"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4C"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14</w:t>
      </w:r>
    </w:p>
    <w:p w14:paraId="755FCD4D" w14:textId="77777777" w:rsidR="00E06E51" w:rsidRPr="00E06E51" w:rsidRDefault="00E06E51" w:rsidP="00E06E51">
      <w:pPr>
        <w:spacing w:line="360" w:lineRule="auto"/>
        <w:rPr>
          <w:rFonts w:asciiTheme="minorHAnsi" w:hAnsiTheme="minorHAnsi" w:cstheme="minorHAnsi"/>
        </w:rPr>
      </w:pPr>
    </w:p>
    <w:p w14:paraId="755FCD4E"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A">
          <v:shape id="_x0000_i1038" type="#_x0000_t75" style="width:270.75pt;height:202.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8" DrawAspect="Content" ObjectID="_1425820957" r:id="rId36"/>
        </w:object>
      </w:r>
    </w:p>
    <w:p w14:paraId="755FCD4F" w14:textId="77777777" w:rsidR="00E06E51" w:rsidRPr="00E06E51" w:rsidRDefault="00E06E51" w:rsidP="00E06E51">
      <w:pPr>
        <w:spacing w:line="360" w:lineRule="auto"/>
        <w:jc w:val="center"/>
        <w:rPr>
          <w:rFonts w:asciiTheme="minorHAnsi" w:hAnsiTheme="minorHAnsi" w:cstheme="minorHAnsi"/>
        </w:rPr>
      </w:pPr>
    </w:p>
    <w:p w14:paraId="755FCD50"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Migrants less likely to be skilled</w:t>
      </w:r>
    </w:p>
    <w:p w14:paraId="755FCD51"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Source: </w:t>
      </w:r>
      <w:r w:rsidRPr="00E06E51">
        <w:rPr>
          <w:rFonts w:asciiTheme="minorHAnsi" w:hAnsiTheme="minorHAnsi" w:cstheme="minorHAnsi"/>
          <w:i/>
          <w:iCs/>
          <w:kern w:val="24"/>
        </w:rPr>
        <w:t>Department of Immigration and Citizenship. Settlement reporting: http://www.immi.gov.au/settlement, February 2008 to February 2013</w:t>
      </w:r>
    </w:p>
    <w:p w14:paraId="755FCD52" w14:textId="77777777" w:rsidR="00E06E51" w:rsidRPr="00E06E51" w:rsidRDefault="00E06E51" w:rsidP="00E06E51">
      <w:pPr>
        <w:autoSpaceDE w:val="0"/>
        <w:autoSpaceDN w:val="0"/>
        <w:adjustRightInd w:val="0"/>
        <w:rPr>
          <w:rFonts w:asciiTheme="minorHAnsi" w:hAnsiTheme="minorHAnsi" w:cstheme="minorHAnsi"/>
          <w:kern w:val="24"/>
        </w:rPr>
      </w:pPr>
    </w:p>
    <w:p w14:paraId="755FCD53"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Over </w:t>
      </w:r>
      <w:r w:rsidR="002F4CAC">
        <w:rPr>
          <w:rFonts w:asciiTheme="minorHAnsi" w:hAnsiTheme="minorHAnsi" w:cstheme="minorHAnsi"/>
          <w:b/>
          <w:bCs/>
          <w:kern w:val="24"/>
        </w:rPr>
        <w:t xml:space="preserve">1,250 </w:t>
      </w:r>
      <w:r w:rsidRPr="00E06E51">
        <w:rPr>
          <w:rFonts w:asciiTheme="minorHAnsi" w:hAnsiTheme="minorHAnsi" w:cstheme="minorHAnsi"/>
          <w:b/>
          <w:bCs/>
          <w:kern w:val="24"/>
        </w:rPr>
        <w:t xml:space="preserve">migrants </w:t>
      </w:r>
      <w:r w:rsidRPr="00E06E51">
        <w:rPr>
          <w:rFonts w:asciiTheme="minorHAnsi" w:hAnsiTheme="minorHAnsi" w:cstheme="minorHAnsi"/>
          <w:kern w:val="24"/>
        </w:rPr>
        <w:t>(aged 18-64 years) settled in the Greater Shepparton LGA over the past 5 years:</w:t>
      </w:r>
    </w:p>
    <w:p w14:paraId="755FCD54" w14:textId="77777777" w:rsidR="00E06E51" w:rsidRPr="00E06E51" w:rsidRDefault="00E06E51" w:rsidP="00E06E51">
      <w:pPr>
        <w:numPr>
          <w:ilvl w:val="0"/>
          <w:numId w:val="1"/>
        </w:numPr>
        <w:autoSpaceDE w:val="0"/>
        <w:autoSpaceDN w:val="0"/>
        <w:adjustRightInd w:val="0"/>
        <w:ind w:left="720"/>
        <w:rPr>
          <w:rFonts w:asciiTheme="minorHAnsi" w:hAnsiTheme="minorHAnsi" w:cstheme="minorHAnsi"/>
          <w:kern w:val="24"/>
        </w:rPr>
      </w:pPr>
      <w:r w:rsidRPr="00E06E51">
        <w:rPr>
          <w:rFonts w:asciiTheme="minorHAnsi" w:hAnsiTheme="minorHAnsi" w:cstheme="minorHAnsi"/>
          <w:kern w:val="24"/>
        </w:rPr>
        <w:t xml:space="preserve"> 42 per cent (521 migrants) settled under the skilled migration stream, compared with 60 per cent for Australia. </w:t>
      </w:r>
    </w:p>
    <w:p w14:paraId="755FCD55" w14:textId="77777777" w:rsidR="00E06E51" w:rsidRPr="00E06E51" w:rsidRDefault="00E06E51" w:rsidP="00E06E51">
      <w:pPr>
        <w:numPr>
          <w:ilvl w:val="0"/>
          <w:numId w:val="1"/>
        </w:numPr>
        <w:autoSpaceDE w:val="0"/>
        <w:autoSpaceDN w:val="0"/>
        <w:adjustRightInd w:val="0"/>
        <w:ind w:left="720"/>
        <w:rPr>
          <w:rFonts w:asciiTheme="minorHAnsi" w:hAnsiTheme="minorHAnsi" w:cstheme="minorHAnsi"/>
          <w:kern w:val="24"/>
        </w:rPr>
      </w:pPr>
      <w:r w:rsidRPr="00E06E51">
        <w:rPr>
          <w:rFonts w:asciiTheme="minorHAnsi" w:hAnsiTheme="minorHAnsi" w:cstheme="minorHAnsi"/>
          <w:kern w:val="24"/>
        </w:rPr>
        <w:t xml:space="preserve"> 29 per cent (365 migrants) settled under the family migration stream, compared with 33 per cent for Australia. </w:t>
      </w:r>
    </w:p>
    <w:p w14:paraId="755FCD56" w14:textId="77777777" w:rsidR="00E06E51" w:rsidRPr="00E06E51" w:rsidRDefault="00E06E51" w:rsidP="00E06E51">
      <w:pPr>
        <w:numPr>
          <w:ilvl w:val="0"/>
          <w:numId w:val="1"/>
        </w:numPr>
        <w:autoSpaceDE w:val="0"/>
        <w:autoSpaceDN w:val="0"/>
        <w:adjustRightInd w:val="0"/>
        <w:ind w:left="720"/>
        <w:rPr>
          <w:rFonts w:asciiTheme="minorHAnsi" w:hAnsiTheme="minorHAnsi" w:cstheme="minorHAnsi"/>
          <w:kern w:val="24"/>
        </w:rPr>
      </w:pPr>
      <w:r w:rsidRPr="00E06E51">
        <w:rPr>
          <w:rFonts w:asciiTheme="minorHAnsi" w:hAnsiTheme="minorHAnsi" w:cstheme="minorHAnsi"/>
          <w:kern w:val="24"/>
        </w:rPr>
        <w:t xml:space="preserve"> 29 per cent (362 migrants) settled under the humanitarian migration stream, compared with 7 per cent for Australia. </w:t>
      </w:r>
    </w:p>
    <w:p w14:paraId="755FCD57" w14:textId="77777777" w:rsidR="00E06E51" w:rsidRPr="00E06E51" w:rsidRDefault="00E06E51" w:rsidP="00E06E51">
      <w:pPr>
        <w:autoSpaceDE w:val="0"/>
        <w:autoSpaceDN w:val="0"/>
        <w:adjustRightInd w:val="0"/>
        <w:rPr>
          <w:rFonts w:asciiTheme="minorHAnsi" w:hAnsiTheme="minorHAnsi" w:cstheme="minorHAnsi"/>
          <w:kern w:val="24"/>
        </w:rPr>
      </w:pPr>
    </w:p>
    <w:p w14:paraId="755FCD58"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kern w:val="24"/>
        </w:rPr>
        <w:t>Greater Shepparton LGA migrants:</w:t>
      </w:r>
    </w:p>
    <w:p w14:paraId="755FCD59" w14:textId="77777777" w:rsidR="00E06E51" w:rsidRPr="00E06E51" w:rsidRDefault="00E06E51" w:rsidP="00E06E51">
      <w:pPr>
        <w:numPr>
          <w:ilvl w:val="0"/>
          <w:numId w:val="1"/>
        </w:numPr>
        <w:autoSpaceDE w:val="0"/>
        <w:autoSpaceDN w:val="0"/>
        <w:adjustRightInd w:val="0"/>
        <w:ind w:left="720"/>
        <w:rPr>
          <w:rFonts w:asciiTheme="minorHAnsi" w:hAnsiTheme="minorHAnsi" w:cstheme="minorHAnsi"/>
          <w:kern w:val="24"/>
        </w:rPr>
      </w:pPr>
      <w:r w:rsidRPr="00E06E51">
        <w:rPr>
          <w:rFonts w:asciiTheme="minorHAnsi" w:hAnsiTheme="minorHAnsi" w:cstheme="minorHAnsi"/>
          <w:kern w:val="24"/>
        </w:rPr>
        <w:t xml:space="preserve"> 35 per cent of skilled migrants had ‘nil’ or ‘poor’ English language proficiency.</w:t>
      </w:r>
    </w:p>
    <w:p w14:paraId="755FCD5A" w14:textId="77777777" w:rsidR="00E06E51" w:rsidRPr="00E06E51" w:rsidRDefault="00E06E51" w:rsidP="00E06E51">
      <w:pPr>
        <w:numPr>
          <w:ilvl w:val="0"/>
          <w:numId w:val="1"/>
        </w:numPr>
        <w:autoSpaceDE w:val="0"/>
        <w:autoSpaceDN w:val="0"/>
        <w:adjustRightInd w:val="0"/>
        <w:ind w:left="720"/>
        <w:rPr>
          <w:rFonts w:asciiTheme="minorHAnsi" w:hAnsiTheme="minorHAnsi" w:cstheme="minorHAnsi"/>
          <w:kern w:val="24"/>
        </w:rPr>
      </w:pPr>
      <w:r w:rsidRPr="00E06E51">
        <w:rPr>
          <w:rFonts w:asciiTheme="minorHAnsi" w:hAnsiTheme="minorHAnsi" w:cstheme="minorHAnsi"/>
          <w:kern w:val="24"/>
        </w:rPr>
        <w:t xml:space="preserve"> 86 per cent of family and humanitarian migrants had ‘nil’ or ‘poor’ English language proficiency. </w:t>
      </w:r>
    </w:p>
    <w:p w14:paraId="755FCD5B" w14:textId="77777777" w:rsidR="00E06E51" w:rsidRPr="00E06E51" w:rsidRDefault="00E06E51" w:rsidP="00E06E51">
      <w:pPr>
        <w:autoSpaceDE w:val="0"/>
        <w:autoSpaceDN w:val="0"/>
        <w:adjustRightInd w:val="0"/>
        <w:rPr>
          <w:rFonts w:asciiTheme="minorHAnsi" w:hAnsiTheme="minorHAnsi" w:cstheme="minorHAnsi"/>
          <w:kern w:val="24"/>
        </w:rPr>
      </w:pPr>
    </w:p>
    <w:p w14:paraId="755FCD5C" w14:textId="77777777" w:rsidR="00E06E51" w:rsidRPr="00E06E51" w:rsidRDefault="00E06E51" w:rsidP="00E06E51">
      <w:pPr>
        <w:autoSpaceDE w:val="0"/>
        <w:autoSpaceDN w:val="0"/>
        <w:adjustRightInd w:val="0"/>
        <w:rPr>
          <w:rFonts w:asciiTheme="minorHAnsi" w:hAnsiTheme="minorHAnsi" w:cstheme="minorHAnsi"/>
          <w:kern w:val="24"/>
        </w:rPr>
      </w:pPr>
    </w:p>
    <w:p w14:paraId="755FCD5D" w14:textId="77777777" w:rsidR="00E06E51" w:rsidRPr="00E06E51" w:rsidRDefault="00E06E51" w:rsidP="00E06E51">
      <w:pPr>
        <w:autoSpaceDE w:val="0"/>
        <w:autoSpaceDN w:val="0"/>
        <w:adjustRightInd w:val="0"/>
        <w:rPr>
          <w:rFonts w:asciiTheme="minorHAnsi" w:hAnsiTheme="minorHAnsi" w:cstheme="minorHAnsi"/>
          <w:b/>
          <w:bCs/>
          <w:kern w:val="24"/>
        </w:rPr>
      </w:pPr>
    </w:p>
    <w:p w14:paraId="755FCD5E" w14:textId="77777777" w:rsidR="00E06E51" w:rsidRPr="00E06E51" w:rsidRDefault="00E06E51" w:rsidP="00E06E51">
      <w:pPr>
        <w:autoSpaceDE w:val="0"/>
        <w:autoSpaceDN w:val="0"/>
        <w:adjustRightInd w:val="0"/>
        <w:rPr>
          <w:rFonts w:asciiTheme="minorHAnsi" w:hAnsiTheme="minorHAnsi" w:cstheme="minorHAnsi"/>
          <w:b/>
          <w:bCs/>
          <w:kern w:val="24"/>
        </w:rPr>
      </w:pPr>
    </w:p>
    <w:p w14:paraId="755FCD5F" w14:textId="77777777" w:rsidR="00E06E51" w:rsidRPr="00E06E51" w:rsidRDefault="00E06E51" w:rsidP="00E06E51">
      <w:pPr>
        <w:autoSpaceDE w:val="0"/>
        <w:autoSpaceDN w:val="0"/>
        <w:adjustRightInd w:val="0"/>
        <w:rPr>
          <w:rFonts w:asciiTheme="minorHAnsi" w:hAnsiTheme="minorHAnsi" w:cstheme="minorHAnsi"/>
        </w:rPr>
      </w:pPr>
    </w:p>
    <w:p w14:paraId="755FCD60" w14:textId="77777777" w:rsidR="00E06E51" w:rsidRPr="00E06E51" w:rsidRDefault="00E06E51" w:rsidP="00E06E51">
      <w:pPr>
        <w:spacing w:line="360" w:lineRule="auto"/>
        <w:rPr>
          <w:rFonts w:asciiTheme="minorHAnsi" w:hAnsiTheme="minorHAnsi" w:cstheme="minorHAnsi"/>
        </w:rPr>
      </w:pPr>
    </w:p>
    <w:p w14:paraId="755FCD61"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62"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15</w:t>
      </w:r>
    </w:p>
    <w:p w14:paraId="755FCD63" w14:textId="77777777" w:rsidR="00E06E51" w:rsidRPr="00E06E51" w:rsidRDefault="00E06E51" w:rsidP="00E06E51">
      <w:pPr>
        <w:spacing w:line="360" w:lineRule="auto"/>
        <w:rPr>
          <w:rFonts w:asciiTheme="minorHAnsi" w:hAnsiTheme="minorHAnsi" w:cstheme="minorHAnsi"/>
        </w:rPr>
      </w:pPr>
    </w:p>
    <w:p w14:paraId="755FCD64"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B">
          <v:shape id="_x0000_i1039" type="#_x0000_t75" style="width:270.75pt;height:202.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9" DrawAspect="Content" ObjectID="_1425820958" r:id="rId38"/>
        </w:object>
      </w:r>
    </w:p>
    <w:p w14:paraId="755FCD65" w14:textId="77777777" w:rsidR="00E06E51" w:rsidRPr="00E06E51" w:rsidRDefault="00E06E51" w:rsidP="00E06E51">
      <w:pPr>
        <w:spacing w:line="360" w:lineRule="auto"/>
        <w:jc w:val="center"/>
        <w:rPr>
          <w:rFonts w:asciiTheme="minorHAnsi" w:hAnsiTheme="minorHAnsi" w:cstheme="minorHAnsi"/>
        </w:rPr>
      </w:pPr>
    </w:p>
    <w:p w14:paraId="755FCD66" w14:textId="77777777" w:rsidR="00E06E51" w:rsidRPr="00E06E51" w:rsidRDefault="00E06E51" w:rsidP="00E06E51">
      <w:pPr>
        <w:autoSpaceDE w:val="0"/>
        <w:autoSpaceDN w:val="0"/>
        <w:adjustRightInd w:val="0"/>
        <w:rPr>
          <w:rFonts w:asciiTheme="minorHAnsi" w:hAnsiTheme="minorHAnsi" w:cstheme="minorHAnsi"/>
          <w:i/>
          <w:iCs/>
          <w:kern w:val="24"/>
          <w:u w:val="single"/>
        </w:rPr>
      </w:pPr>
      <w:r w:rsidRPr="00E06E51">
        <w:rPr>
          <w:rFonts w:asciiTheme="minorHAnsi" w:hAnsiTheme="minorHAnsi" w:cstheme="minorHAnsi"/>
          <w:b/>
          <w:bCs/>
          <w:kern w:val="24"/>
          <w:u w:val="single"/>
        </w:rPr>
        <w:t>English Proficiency &amp; Labour Force Outcomes (For people who speak a language other than English: Greater Shepparton)</w:t>
      </w:r>
    </w:p>
    <w:p w14:paraId="755FCD67"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 ABS, Census of Population and Housing, 2011</w:t>
      </w:r>
      <w:r w:rsidRPr="00E06E51">
        <w:rPr>
          <w:rFonts w:asciiTheme="minorHAnsi" w:hAnsiTheme="minorHAnsi" w:cstheme="minorHAnsi"/>
          <w:kern w:val="24"/>
        </w:rPr>
        <w:t xml:space="preserve"> </w:t>
      </w:r>
    </w:p>
    <w:p w14:paraId="755FCD68" w14:textId="77777777" w:rsidR="00E06E51" w:rsidRPr="00E06E51" w:rsidRDefault="00E06E51" w:rsidP="00E06E51">
      <w:pPr>
        <w:autoSpaceDE w:val="0"/>
        <w:autoSpaceDN w:val="0"/>
        <w:adjustRightInd w:val="0"/>
        <w:rPr>
          <w:rFonts w:asciiTheme="minorHAnsi" w:hAnsiTheme="minorHAnsi" w:cstheme="minorHAnsi"/>
          <w:kern w:val="24"/>
        </w:rPr>
      </w:pPr>
    </w:p>
    <w:p w14:paraId="755FCD69"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At the time of the 2011 Census, persons in the Greater Shepparton LGA with lower levels of English proficiency were less likely to be successful in the labour market. </w:t>
      </w:r>
    </w:p>
    <w:p w14:paraId="755FCD6A"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People with low English proficiency are far more likely to be unemployed or not participating in the labour market. </w:t>
      </w:r>
    </w:p>
    <w:p w14:paraId="755FCD6B" w14:textId="77777777" w:rsidR="00E06E51" w:rsidRPr="00E06E51" w:rsidRDefault="00E06E51" w:rsidP="00E06E51">
      <w:pPr>
        <w:autoSpaceDE w:val="0"/>
        <w:autoSpaceDN w:val="0"/>
        <w:adjustRightInd w:val="0"/>
        <w:rPr>
          <w:rFonts w:asciiTheme="minorHAnsi" w:hAnsiTheme="minorHAnsi" w:cstheme="minorHAnsi"/>
          <w:kern w:val="24"/>
        </w:rPr>
      </w:pPr>
    </w:p>
    <w:p w14:paraId="755FCD6C"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People who speak other languages but still speak English well are also likely to have poorer labour force outcomes than those who only speak English. </w:t>
      </w:r>
    </w:p>
    <w:p w14:paraId="755FCD6D" w14:textId="77777777" w:rsidR="00E06E51" w:rsidRPr="00E06E51" w:rsidRDefault="00E06E51" w:rsidP="00E06E51">
      <w:pPr>
        <w:autoSpaceDE w:val="0"/>
        <w:autoSpaceDN w:val="0"/>
        <w:adjustRightInd w:val="0"/>
        <w:rPr>
          <w:rFonts w:asciiTheme="minorHAnsi" w:hAnsiTheme="minorHAnsi" w:cstheme="minorHAnsi"/>
          <w:kern w:val="24"/>
        </w:rPr>
      </w:pPr>
    </w:p>
    <w:p w14:paraId="755FCD6E"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In the Greater Shepparton LGA, the unemployment rate for working age persons with poor English proficiency was 20.7 per cent and the participation rate was 32.8 per cent. </w:t>
      </w:r>
    </w:p>
    <w:p w14:paraId="755FCD6F" w14:textId="77777777" w:rsidR="00E06E51" w:rsidRPr="00E06E51" w:rsidRDefault="00E06E51" w:rsidP="00E06E51">
      <w:pPr>
        <w:autoSpaceDE w:val="0"/>
        <w:autoSpaceDN w:val="0"/>
        <w:adjustRightInd w:val="0"/>
        <w:rPr>
          <w:rFonts w:asciiTheme="minorHAnsi" w:hAnsiTheme="minorHAnsi" w:cstheme="minorHAnsi"/>
          <w:kern w:val="24"/>
        </w:rPr>
      </w:pPr>
    </w:p>
    <w:p w14:paraId="755FCD70"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For working age persons who only spoke English, the unemployment rate (5.2 per cent) and participation rate (77.1 per cent) were considerably better. </w:t>
      </w:r>
    </w:p>
    <w:p w14:paraId="755FCD71" w14:textId="77777777" w:rsidR="00E06E51" w:rsidRPr="00E06E51" w:rsidRDefault="00E06E51" w:rsidP="00E06E51">
      <w:pPr>
        <w:autoSpaceDE w:val="0"/>
        <w:autoSpaceDN w:val="0"/>
        <w:adjustRightInd w:val="0"/>
        <w:rPr>
          <w:rFonts w:asciiTheme="minorHAnsi" w:hAnsiTheme="minorHAnsi" w:cstheme="minorHAnsi"/>
        </w:rPr>
      </w:pPr>
    </w:p>
    <w:p w14:paraId="755FCD72" w14:textId="77777777" w:rsidR="00E06E51" w:rsidRPr="00E06E51" w:rsidRDefault="00E06E51" w:rsidP="00E06E51">
      <w:pPr>
        <w:spacing w:line="360" w:lineRule="auto"/>
        <w:rPr>
          <w:rFonts w:asciiTheme="minorHAnsi" w:hAnsiTheme="minorHAnsi" w:cstheme="minorHAnsi"/>
        </w:rPr>
      </w:pPr>
    </w:p>
    <w:p w14:paraId="755FCD73"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74"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16</w:t>
      </w:r>
    </w:p>
    <w:p w14:paraId="755FCD75" w14:textId="77777777" w:rsidR="00E06E51" w:rsidRPr="00E06E51" w:rsidRDefault="00E06E51" w:rsidP="00E06E51">
      <w:pPr>
        <w:spacing w:line="360" w:lineRule="auto"/>
        <w:rPr>
          <w:rFonts w:asciiTheme="minorHAnsi" w:hAnsiTheme="minorHAnsi" w:cstheme="minorHAnsi"/>
        </w:rPr>
      </w:pPr>
    </w:p>
    <w:p w14:paraId="755FCD76"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C">
          <v:shape id="_x0000_i1040" type="#_x0000_t75" style="width:270.75pt;height:202.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40" DrawAspect="Content" ObjectID="_1425820959" r:id="rId40"/>
        </w:object>
      </w:r>
    </w:p>
    <w:p w14:paraId="755FCD77" w14:textId="77777777" w:rsidR="00E06E51" w:rsidRPr="00E06E51" w:rsidRDefault="00E06E51" w:rsidP="00E06E51">
      <w:pPr>
        <w:spacing w:line="360" w:lineRule="auto"/>
        <w:jc w:val="center"/>
        <w:rPr>
          <w:rFonts w:asciiTheme="minorHAnsi" w:hAnsiTheme="minorHAnsi" w:cstheme="minorHAnsi"/>
        </w:rPr>
      </w:pPr>
    </w:p>
    <w:p w14:paraId="755FCD78"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Higher unemployment for recent migrants to Greater Shepparton LGA</w:t>
      </w:r>
    </w:p>
    <w:p w14:paraId="755FCD79"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 ABS, Census of Population and Housing, 2011</w:t>
      </w:r>
    </w:p>
    <w:p w14:paraId="755FCD7A" w14:textId="77777777" w:rsidR="00E06E51" w:rsidRPr="00E06E51" w:rsidRDefault="00E06E51" w:rsidP="00E06E51">
      <w:pPr>
        <w:autoSpaceDE w:val="0"/>
        <w:autoSpaceDN w:val="0"/>
        <w:adjustRightInd w:val="0"/>
        <w:rPr>
          <w:rFonts w:asciiTheme="minorHAnsi" w:hAnsiTheme="minorHAnsi" w:cstheme="minorHAnsi"/>
          <w:b/>
          <w:bCs/>
          <w:kern w:val="24"/>
          <w:u w:val="single"/>
        </w:rPr>
      </w:pPr>
    </w:p>
    <w:p w14:paraId="755FCD7B"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Recent OTMESC migrants to the Greater Shepparton LGA have a higher unemployment rate than those who have been in Australia for longer. </w:t>
      </w:r>
    </w:p>
    <w:p w14:paraId="755FCD7C"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OTMESC migrants who have been in Australia for 12 years or more have unemployment rates very similar to those who were born in Australia.</w:t>
      </w:r>
    </w:p>
    <w:p w14:paraId="755FCD7D" w14:textId="77777777" w:rsidR="00E06E51" w:rsidRPr="00E06E51" w:rsidRDefault="00E06E51" w:rsidP="00E06E51">
      <w:pPr>
        <w:autoSpaceDE w:val="0"/>
        <w:autoSpaceDN w:val="0"/>
        <w:adjustRightInd w:val="0"/>
        <w:rPr>
          <w:rFonts w:asciiTheme="minorHAnsi" w:hAnsiTheme="minorHAnsi" w:cstheme="minorHAnsi"/>
          <w:kern w:val="24"/>
        </w:rPr>
      </w:pPr>
    </w:p>
    <w:p w14:paraId="755FCD7E"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For those migrants who had arrived in 2010 and 2011 the unemployment rate was over 27 per cent. </w:t>
      </w:r>
    </w:p>
    <w:p w14:paraId="755FCD7F"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Labour market outcomes for migrants who arrived between 2000 and 2009 greatly improved with an unemployment rate of 12.8 per cent and for migrants who arrived prior to 2000 the unemployment rate had reduced to 6.7 per cent.</w:t>
      </w:r>
    </w:p>
    <w:p w14:paraId="755FCD80" w14:textId="77777777" w:rsidR="00E06E51" w:rsidRPr="00E06E51" w:rsidRDefault="00E06E51" w:rsidP="00E06E51">
      <w:pPr>
        <w:autoSpaceDE w:val="0"/>
        <w:autoSpaceDN w:val="0"/>
        <w:adjustRightInd w:val="0"/>
        <w:rPr>
          <w:rFonts w:asciiTheme="minorHAnsi" w:hAnsiTheme="minorHAnsi" w:cstheme="minorHAnsi"/>
        </w:rPr>
      </w:pPr>
    </w:p>
    <w:p w14:paraId="755FCD81" w14:textId="77777777" w:rsidR="00E06E51" w:rsidRPr="00E06E51" w:rsidRDefault="00E06E51" w:rsidP="00E06E51">
      <w:pPr>
        <w:spacing w:line="360" w:lineRule="auto"/>
        <w:rPr>
          <w:rFonts w:asciiTheme="minorHAnsi" w:hAnsiTheme="minorHAnsi" w:cstheme="minorHAnsi"/>
        </w:rPr>
      </w:pPr>
    </w:p>
    <w:p w14:paraId="755FCD82"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83"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17</w:t>
      </w:r>
    </w:p>
    <w:p w14:paraId="755FCD84" w14:textId="77777777" w:rsidR="00E06E51" w:rsidRPr="00E06E51" w:rsidRDefault="00E06E51" w:rsidP="00E06E51">
      <w:pPr>
        <w:spacing w:line="360" w:lineRule="auto"/>
        <w:rPr>
          <w:rFonts w:asciiTheme="minorHAnsi" w:hAnsiTheme="minorHAnsi" w:cstheme="minorHAnsi"/>
        </w:rPr>
      </w:pPr>
    </w:p>
    <w:p w14:paraId="755FCD85"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D">
          <v:shape id="_x0000_i1041" type="#_x0000_t75" style="width:270.75pt;height:202.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1" DrawAspect="Content" ObjectID="_1425820960" r:id="rId42"/>
        </w:object>
      </w:r>
    </w:p>
    <w:p w14:paraId="755FCD86" w14:textId="77777777" w:rsidR="00E06E51" w:rsidRPr="00E06E51" w:rsidRDefault="00E06E51" w:rsidP="00E06E51">
      <w:pPr>
        <w:spacing w:line="360" w:lineRule="auto"/>
        <w:jc w:val="center"/>
        <w:rPr>
          <w:rFonts w:asciiTheme="minorHAnsi" w:hAnsiTheme="minorHAnsi" w:cstheme="minorHAnsi"/>
        </w:rPr>
      </w:pPr>
    </w:p>
    <w:p w14:paraId="755FCD87"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Migrant Underutilisation (For Persons with a Bachelor Degree or higher in the LGA)</w:t>
      </w:r>
    </w:p>
    <w:p w14:paraId="755FCD88"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 ABS, Census of Population and Housing, 2011</w:t>
      </w:r>
    </w:p>
    <w:p w14:paraId="755FCD89" w14:textId="77777777" w:rsidR="00E06E51" w:rsidRPr="00E06E51" w:rsidRDefault="00E06E51" w:rsidP="00E06E51">
      <w:pPr>
        <w:autoSpaceDE w:val="0"/>
        <w:autoSpaceDN w:val="0"/>
        <w:adjustRightInd w:val="0"/>
        <w:rPr>
          <w:rFonts w:asciiTheme="minorHAnsi" w:hAnsiTheme="minorHAnsi" w:cstheme="minorHAnsi"/>
          <w:i/>
          <w:iCs/>
          <w:kern w:val="24"/>
        </w:rPr>
      </w:pPr>
    </w:p>
    <w:p w14:paraId="755FCD8A"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This chart illustrates migrant underutilisation by comparing labour market participation of those with a Bachelor Degree or higher by whether they were a migrant from an Other Than Main English Speaking Country (OTMESC) or not.</w:t>
      </w:r>
    </w:p>
    <w:p w14:paraId="755FCD8B" w14:textId="77777777" w:rsidR="00E06E51" w:rsidRPr="00E06E51" w:rsidRDefault="00E06E51" w:rsidP="00E06E51">
      <w:pPr>
        <w:autoSpaceDE w:val="0"/>
        <w:autoSpaceDN w:val="0"/>
        <w:adjustRightInd w:val="0"/>
        <w:rPr>
          <w:rFonts w:asciiTheme="minorHAnsi" w:hAnsiTheme="minorHAnsi" w:cstheme="minorHAnsi"/>
          <w:kern w:val="24"/>
        </w:rPr>
      </w:pPr>
    </w:p>
    <w:p w14:paraId="755FCD8C"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Overall, 19 per cent of the OTMESC working age population in the Greater Shepparton LGA have obtained a Bachelor Degree or higher qualification, this compares with 13 per cent for the non-OTMESC population. </w:t>
      </w:r>
    </w:p>
    <w:p w14:paraId="755FCD8D"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w:t>
      </w:r>
    </w:p>
    <w:p w14:paraId="755FCD8E"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There was a lower level of labour market participation for highly qualified OTMESC persons compared with the </w:t>
      </w:r>
      <w:r w:rsidR="002F4CAC">
        <w:rPr>
          <w:rFonts w:asciiTheme="minorHAnsi" w:hAnsiTheme="minorHAnsi" w:cstheme="minorHAnsi"/>
          <w:kern w:val="24"/>
        </w:rPr>
        <w:t xml:space="preserve">non-OTMESC population. For both </w:t>
      </w:r>
      <w:r w:rsidRPr="00E06E51">
        <w:rPr>
          <w:rFonts w:asciiTheme="minorHAnsi" w:hAnsiTheme="minorHAnsi" w:cstheme="minorHAnsi"/>
          <w:kern w:val="24"/>
        </w:rPr>
        <w:t>males and females, a higher proportion of the OTMESC population with a Bachelor Degree or higher were either not in the labour force, unemployed or employer in a low skilled occupation.</w:t>
      </w:r>
    </w:p>
    <w:p w14:paraId="755FCD8F" w14:textId="77777777" w:rsidR="00E06E51" w:rsidRPr="00E06E51" w:rsidRDefault="00E06E51" w:rsidP="00E06E51">
      <w:pPr>
        <w:autoSpaceDE w:val="0"/>
        <w:autoSpaceDN w:val="0"/>
        <w:adjustRightInd w:val="0"/>
        <w:rPr>
          <w:rFonts w:asciiTheme="minorHAnsi" w:hAnsiTheme="minorHAnsi" w:cstheme="minorHAnsi"/>
          <w:i/>
          <w:iCs/>
          <w:kern w:val="24"/>
        </w:rPr>
      </w:pPr>
    </w:p>
    <w:p w14:paraId="755FCD90"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i/>
          <w:iCs/>
          <w:kern w:val="24"/>
        </w:rPr>
        <w:t>Lower Skilled Occupation</w:t>
      </w:r>
      <w:r w:rsidRPr="00E06E51">
        <w:rPr>
          <w:rFonts w:asciiTheme="minorHAnsi" w:hAnsiTheme="minorHAnsi" w:cstheme="minorHAnsi"/>
          <w:kern w:val="24"/>
        </w:rPr>
        <w:t xml:space="preserve"> refers to those in the Machinery Operators and Drivers, Sales Workers and Labourers occupation groups.</w:t>
      </w:r>
    </w:p>
    <w:p w14:paraId="755FCD91" w14:textId="77777777" w:rsidR="00E06E51" w:rsidRPr="00E06E51" w:rsidRDefault="00E06E51" w:rsidP="00E06E51">
      <w:pPr>
        <w:autoSpaceDE w:val="0"/>
        <w:autoSpaceDN w:val="0"/>
        <w:adjustRightInd w:val="0"/>
        <w:rPr>
          <w:rFonts w:asciiTheme="minorHAnsi" w:hAnsiTheme="minorHAnsi" w:cstheme="minorHAnsi"/>
          <w:i/>
          <w:iCs/>
        </w:rPr>
      </w:pPr>
    </w:p>
    <w:p w14:paraId="755FCD92" w14:textId="77777777" w:rsidR="00E06E51" w:rsidRPr="00E06E51" w:rsidRDefault="00E06E51" w:rsidP="00E06E51">
      <w:pPr>
        <w:autoSpaceDE w:val="0"/>
        <w:autoSpaceDN w:val="0"/>
        <w:adjustRightInd w:val="0"/>
        <w:rPr>
          <w:rFonts w:asciiTheme="minorHAnsi" w:hAnsiTheme="minorHAnsi" w:cstheme="minorHAnsi"/>
        </w:rPr>
      </w:pPr>
    </w:p>
    <w:p w14:paraId="755FCD93" w14:textId="77777777" w:rsidR="00E06E51" w:rsidRPr="00E06E51" w:rsidRDefault="00E06E51" w:rsidP="00E06E51">
      <w:pPr>
        <w:spacing w:line="360" w:lineRule="auto"/>
        <w:rPr>
          <w:rFonts w:asciiTheme="minorHAnsi" w:hAnsiTheme="minorHAnsi" w:cstheme="minorHAnsi"/>
        </w:rPr>
      </w:pPr>
    </w:p>
    <w:p w14:paraId="755FCD94"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95"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18</w:t>
      </w:r>
    </w:p>
    <w:p w14:paraId="755FCD96" w14:textId="77777777" w:rsidR="00E06E51" w:rsidRPr="00E06E51" w:rsidRDefault="00E06E51" w:rsidP="00E06E51">
      <w:pPr>
        <w:spacing w:line="360" w:lineRule="auto"/>
        <w:rPr>
          <w:rFonts w:asciiTheme="minorHAnsi" w:hAnsiTheme="minorHAnsi" w:cstheme="minorHAnsi"/>
        </w:rPr>
      </w:pPr>
    </w:p>
    <w:p w14:paraId="755FCD97"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E">
          <v:shape id="_x0000_i1042" type="#_x0000_t75" style="width:270.75pt;height:202.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2" DrawAspect="Content" ObjectID="_1425820961" r:id="rId44"/>
        </w:object>
      </w:r>
    </w:p>
    <w:p w14:paraId="755FCD98" w14:textId="77777777" w:rsidR="00E06E51" w:rsidRPr="00E06E51" w:rsidRDefault="00E06E51" w:rsidP="00E06E51">
      <w:pPr>
        <w:spacing w:line="360" w:lineRule="auto"/>
        <w:jc w:val="center"/>
        <w:rPr>
          <w:rFonts w:asciiTheme="minorHAnsi" w:hAnsiTheme="minorHAnsi" w:cstheme="minorHAnsi"/>
        </w:rPr>
      </w:pPr>
    </w:p>
    <w:p w14:paraId="755FCD99"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kern w:val="24"/>
          <w:u w:val="single"/>
        </w:rPr>
        <w:t>Employment by Industry (Working Age Population)</w:t>
      </w:r>
    </w:p>
    <w:p w14:paraId="755FCD9A"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 ABS, Census of Population and Housing, 2011 (Place of usual residence)</w:t>
      </w:r>
    </w:p>
    <w:p w14:paraId="755FCD9B" w14:textId="77777777" w:rsidR="00E06E51" w:rsidRPr="00E06E51" w:rsidRDefault="00E06E51" w:rsidP="00E06E51">
      <w:pPr>
        <w:autoSpaceDE w:val="0"/>
        <w:autoSpaceDN w:val="0"/>
        <w:adjustRightInd w:val="0"/>
        <w:rPr>
          <w:rFonts w:asciiTheme="minorHAnsi" w:hAnsiTheme="minorHAnsi" w:cstheme="minorHAnsi"/>
          <w:kern w:val="24"/>
        </w:rPr>
      </w:pPr>
    </w:p>
    <w:p w14:paraId="755FCD9C"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In the Greater Shepparton LGA the Health Care and Social Assistance, Retail Trade and Manufacturing industries were the largest employing industries. </w:t>
      </w:r>
    </w:p>
    <w:p w14:paraId="755FCD9D" w14:textId="77777777" w:rsidR="00E06E51" w:rsidRPr="00E06E51" w:rsidRDefault="00E06E51" w:rsidP="00E06E51">
      <w:pPr>
        <w:autoSpaceDE w:val="0"/>
        <w:autoSpaceDN w:val="0"/>
        <w:adjustRightInd w:val="0"/>
        <w:rPr>
          <w:rFonts w:asciiTheme="minorHAnsi" w:hAnsiTheme="minorHAnsi" w:cstheme="minorHAnsi"/>
          <w:kern w:val="24"/>
        </w:rPr>
      </w:pPr>
    </w:p>
    <w:p w14:paraId="755FCD9E"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The Agriculture, Forestry and Fishing industry was also an important industry and accounted for a far greater proportion of employment within the LGA compared with Victoria overall.</w:t>
      </w:r>
    </w:p>
    <w:p w14:paraId="755FCD9F" w14:textId="77777777" w:rsidR="00E06E51" w:rsidRPr="00E06E51" w:rsidRDefault="00E06E51" w:rsidP="00E06E51">
      <w:pPr>
        <w:autoSpaceDE w:val="0"/>
        <w:autoSpaceDN w:val="0"/>
        <w:adjustRightInd w:val="0"/>
        <w:rPr>
          <w:rFonts w:asciiTheme="minorHAnsi" w:hAnsiTheme="minorHAnsi" w:cstheme="minorHAnsi"/>
        </w:rPr>
      </w:pPr>
    </w:p>
    <w:p w14:paraId="755FCDA0" w14:textId="77777777" w:rsidR="00E06E51" w:rsidRPr="00E06E51" w:rsidRDefault="00E06E51" w:rsidP="00E06E51">
      <w:pPr>
        <w:spacing w:line="360" w:lineRule="auto"/>
        <w:rPr>
          <w:rFonts w:asciiTheme="minorHAnsi" w:hAnsiTheme="minorHAnsi" w:cstheme="minorHAnsi"/>
        </w:rPr>
      </w:pPr>
    </w:p>
    <w:p w14:paraId="755FCDA1"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A2"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19</w:t>
      </w:r>
    </w:p>
    <w:p w14:paraId="755FCDA3" w14:textId="77777777" w:rsidR="00E06E51" w:rsidRPr="00E06E51" w:rsidRDefault="00E06E51" w:rsidP="00E06E51">
      <w:pPr>
        <w:spacing w:line="360" w:lineRule="auto"/>
        <w:rPr>
          <w:rFonts w:asciiTheme="minorHAnsi" w:hAnsiTheme="minorHAnsi" w:cstheme="minorHAnsi"/>
        </w:rPr>
      </w:pPr>
    </w:p>
    <w:p w14:paraId="755FCDA4"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BF">
          <v:shape id="_x0000_i1043" type="#_x0000_t75" style="width:270.75pt;height:202.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3" DrawAspect="Content" ObjectID="_1425820962" r:id="rId46"/>
        </w:object>
      </w:r>
    </w:p>
    <w:p w14:paraId="755FCDA5" w14:textId="77777777" w:rsidR="00E06E51" w:rsidRPr="00E06E51" w:rsidRDefault="00E06E51" w:rsidP="00E06E51">
      <w:pPr>
        <w:spacing w:line="360" w:lineRule="auto"/>
        <w:jc w:val="center"/>
        <w:rPr>
          <w:rFonts w:asciiTheme="minorHAnsi" w:hAnsiTheme="minorHAnsi" w:cstheme="minorHAnsi"/>
        </w:rPr>
      </w:pPr>
    </w:p>
    <w:p w14:paraId="755FCDA6"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Industry Employment Growth: Greater Shepparton LGA (change in number of people employed 2006 to 2011) (Working Age Population)</w:t>
      </w:r>
    </w:p>
    <w:p w14:paraId="755FCDA7"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 xml:space="preserve">Source: ABS, Census </w:t>
      </w:r>
      <w:r w:rsidR="002F4CAC">
        <w:rPr>
          <w:rFonts w:asciiTheme="minorHAnsi" w:hAnsiTheme="minorHAnsi" w:cstheme="minorHAnsi"/>
          <w:i/>
          <w:iCs/>
          <w:kern w:val="24"/>
        </w:rPr>
        <w:t>of Population and Housing, 2011</w:t>
      </w:r>
      <w:r w:rsidRPr="00E06E51">
        <w:rPr>
          <w:rFonts w:asciiTheme="minorHAnsi" w:hAnsiTheme="minorHAnsi" w:cstheme="minorHAnsi"/>
          <w:i/>
          <w:iCs/>
          <w:kern w:val="24"/>
        </w:rPr>
        <w:t xml:space="preserve"> and 2006 (Place of usual residence)</w:t>
      </w:r>
    </w:p>
    <w:p w14:paraId="755FCDA8" w14:textId="77777777" w:rsidR="00E06E51" w:rsidRPr="00E06E51" w:rsidRDefault="00E06E51" w:rsidP="00E06E51">
      <w:pPr>
        <w:autoSpaceDE w:val="0"/>
        <w:autoSpaceDN w:val="0"/>
        <w:adjustRightInd w:val="0"/>
        <w:rPr>
          <w:rFonts w:asciiTheme="minorHAnsi" w:hAnsiTheme="minorHAnsi" w:cstheme="minorHAnsi"/>
          <w:kern w:val="24"/>
        </w:rPr>
      </w:pPr>
    </w:p>
    <w:p w14:paraId="755FCDA9"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This graph shows the change in the number of people employed in each sector in the Great</w:t>
      </w:r>
      <w:r w:rsidR="002F4CAC">
        <w:rPr>
          <w:rFonts w:asciiTheme="minorHAnsi" w:hAnsiTheme="minorHAnsi" w:cstheme="minorHAnsi"/>
          <w:kern w:val="24"/>
        </w:rPr>
        <w:t>er Shepparton LGA between 2006 and</w:t>
      </w:r>
      <w:r w:rsidRPr="00E06E51">
        <w:rPr>
          <w:rFonts w:asciiTheme="minorHAnsi" w:hAnsiTheme="minorHAnsi" w:cstheme="minorHAnsi"/>
          <w:kern w:val="24"/>
        </w:rPr>
        <w:t xml:space="preserve"> 2011. Much of the growth in employment in the LGA was concentrated in the Health Care and Social Assistance industry. By contrast, employment in the Agriculture, Forestry and Fishing, Manufacturing and Retail industries has reduced.</w:t>
      </w:r>
    </w:p>
    <w:p w14:paraId="755FCDAA" w14:textId="77777777" w:rsidR="00E06E51" w:rsidRPr="00E06E51" w:rsidRDefault="00E06E51" w:rsidP="00E06E51">
      <w:pPr>
        <w:autoSpaceDE w:val="0"/>
        <w:autoSpaceDN w:val="0"/>
        <w:adjustRightInd w:val="0"/>
        <w:rPr>
          <w:rFonts w:asciiTheme="minorHAnsi" w:hAnsiTheme="minorHAnsi" w:cstheme="minorHAnsi"/>
        </w:rPr>
      </w:pPr>
    </w:p>
    <w:p w14:paraId="755FCDAB" w14:textId="77777777" w:rsidR="00E06E51" w:rsidRPr="00E06E51" w:rsidRDefault="00E06E51" w:rsidP="00E06E51">
      <w:pPr>
        <w:spacing w:line="360" w:lineRule="auto"/>
        <w:rPr>
          <w:rFonts w:asciiTheme="minorHAnsi" w:hAnsiTheme="minorHAnsi" w:cstheme="minorHAnsi"/>
        </w:rPr>
      </w:pPr>
    </w:p>
    <w:p w14:paraId="755FCDAC"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AD"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20</w:t>
      </w:r>
    </w:p>
    <w:p w14:paraId="755FCDAE" w14:textId="77777777" w:rsidR="00E06E51" w:rsidRPr="00E06E51" w:rsidRDefault="00E06E51" w:rsidP="00E06E51">
      <w:pPr>
        <w:spacing w:line="360" w:lineRule="auto"/>
        <w:rPr>
          <w:rFonts w:asciiTheme="minorHAnsi" w:hAnsiTheme="minorHAnsi" w:cstheme="minorHAnsi"/>
        </w:rPr>
      </w:pPr>
    </w:p>
    <w:p w14:paraId="755FCDAF"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C0">
          <v:shape id="_x0000_i1044" type="#_x0000_t75" style="width:270.75pt;height:202.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4" DrawAspect="Content" ObjectID="_1425820963" r:id="rId48"/>
        </w:object>
      </w:r>
    </w:p>
    <w:p w14:paraId="755FCDB0" w14:textId="77777777" w:rsidR="00E06E51" w:rsidRPr="00E06E51" w:rsidRDefault="00E06E51" w:rsidP="00E06E51">
      <w:pPr>
        <w:spacing w:line="360" w:lineRule="auto"/>
        <w:jc w:val="center"/>
        <w:rPr>
          <w:rFonts w:asciiTheme="minorHAnsi" w:hAnsiTheme="minorHAnsi" w:cstheme="minorHAnsi"/>
        </w:rPr>
      </w:pPr>
    </w:p>
    <w:p w14:paraId="755FCDB1"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Age of Employee by Industry (North Eastern Victoria PEA) (All ages)</w:t>
      </w:r>
    </w:p>
    <w:p w14:paraId="755FCDB2"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i/>
          <w:iCs/>
          <w:kern w:val="24"/>
        </w:rPr>
        <w:t>Source: ABS, Census of Population and Housing, Place of work 2011</w:t>
      </w:r>
      <w:r w:rsidRPr="00E06E51">
        <w:rPr>
          <w:rFonts w:asciiTheme="minorHAnsi" w:hAnsiTheme="minorHAnsi" w:cstheme="minorHAnsi"/>
          <w:kern w:val="24"/>
        </w:rPr>
        <w:tab/>
      </w:r>
    </w:p>
    <w:p w14:paraId="755FCDB3" w14:textId="77777777" w:rsidR="00E06E51" w:rsidRPr="00E06E51" w:rsidRDefault="00E06E51" w:rsidP="00E06E51">
      <w:pPr>
        <w:autoSpaceDE w:val="0"/>
        <w:autoSpaceDN w:val="0"/>
        <w:adjustRightInd w:val="0"/>
        <w:rPr>
          <w:rFonts w:asciiTheme="minorHAnsi" w:hAnsiTheme="minorHAnsi" w:cstheme="minorHAnsi"/>
          <w:kern w:val="24"/>
        </w:rPr>
      </w:pPr>
    </w:p>
    <w:p w14:paraId="755FCDB4"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This graph shows the proportion of workers in each major industry sector who are less than 45 years old (blue) and who are over 45 years old (red). </w:t>
      </w:r>
      <w:r w:rsidRPr="00E06E51">
        <w:rPr>
          <w:rFonts w:asciiTheme="minorHAnsi" w:hAnsiTheme="minorHAnsi" w:cstheme="minorHAnsi"/>
          <w:kern w:val="24"/>
        </w:rPr>
        <w:br/>
        <w:t xml:space="preserve">Several of the important industries in the North Eastern Victoria PEA (particularly Agriculture, Forestry and Fishing; Education and Training; and Health Care and Social Assistance) have a very high proportion of employees aged over 45 years of age. </w:t>
      </w:r>
    </w:p>
    <w:p w14:paraId="755FCDB5" w14:textId="77777777" w:rsidR="00E06E51" w:rsidRPr="00E06E51" w:rsidRDefault="00E06E51" w:rsidP="00E06E51">
      <w:pPr>
        <w:autoSpaceDE w:val="0"/>
        <w:autoSpaceDN w:val="0"/>
        <w:adjustRightInd w:val="0"/>
        <w:rPr>
          <w:rFonts w:asciiTheme="minorHAnsi" w:hAnsiTheme="minorHAnsi" w:cstheme="minorHAnsi"/>
        </w:rPr>
      </w:pPr>
    </w:p>
    <w:p w14:paraId="755FCDB6" w14:textId="77777777" w:rsidR="00E06E51" w:rsidRPr="00E06E51" w:rsidRDefault="00E06E51" w:rsidP="00E06E51">
      <w:pPr>
        <w:spacing w:line="360" w:lineRule="auto"/>
        <w:rPr>
          <w:rFonts w:asciiTheme="minorHAnsi" w:hAnsiTheme="minorHAnsi" w:cstheme="minorHAnsi"/>
        </w:rPr>
      </w:pPr>
    </w:p>
    <w:p w14:paraId="755FCDB7"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B8"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21</w:t>
      </w:r>
    </w:p>
    <w:p w14:paraId="755FCDB9" w14:textId="77777777" w:rsidR="00E06E51" w:rsidRPr="00E06E51" w:rsidRDefault="00E06E51" w:rsidP="00E06E51">
      <w:pPr>
        <w:spacing w:line="360" w:lineRule="auto"/>
        <w:rPr>
          <w:rFonts w:asciiTheme="minorHAnsi" w:hAnsiTheme="minorHAnsi" w:cstheme="minorHAnsi"/>
        </w:rPr>
      </w:pPr>
    </w:p>
    <w:p w14:paraId="755FCDBA"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C1">
          <v:shape id="_x0000_i1045" type="#_x0000_t75" style="width:270.75pt;height:202.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5" DrawAspect="Content" ObjectID="_1425820964" r:id="rId50"/>
        </w:object>
      </w:r>
    </w:p>
    <w:p w14:paraId="755FCDBB" w14:textId="77777777" w:rsidR="00E06E51" w:rsidRPr="00E06E51" w:rsidRDefault="00E06E51" w:rsidP="00E06E51">
      <w:pPr>
        <w:spacing w:line="360" w:lineRule="auto"/>
        <w:jc w:val="center"/>
        <w:rPr>
          <w:rFonts w:asciiTheme="minorHAnsi" w:hAnsiTheme="minorHAnsi" w:cstheme="minorHAnsi"/>
        </w:rPr>
      </w:pPr>
    </w:p>
    <w:p w14:paraId="755FCDBC"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Employers are employing locally (Working Age Population)</w:t>
      </w:r>
    </w:p>
    <w:p w14:paraId="755FCDBD"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 ABS, Census of Population and Housing, 2011</w:t>
      </w:r>
    </w:p>
    <w:p w14:paraId="755FCDBE" w14:textId="77777777" w:rsidR="00E06E51" w:rsidRPr="00E06E51" w:rsidRDefault="00E06E51" w:rsidP="00E06E51">
      <w:pPr>
        <w:autoSpaceDE w:val="0"/>
        <w:autoSpaceDN w:val="0"/>
        <w:adjustRightInd w:val="0"/>
        <w:rPr>
          <w:rFonts w:asciiTheme="minorHAnsi" w:hAnsiTheme="minorHAnsi" w:cstheme="minorHAnsi"/>
          <w:kern w:val="24"/>
        </w:rPr>
      </w:pPr>
    </w:p>
    <w:p w14:paraId="755FCDBF"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Travel outside the LGA for work:</w:t>
      </w:r>
    </w:p>
    <w:p w14:paraId="755FCDC0"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At the time of the 2006 Census, there were 22,200 employed people residing in the Greater Shepparton LGA. 94 per cent (20,700 people) also worked in the LGA and the remaining 6 per cent (1,400 people) travelled outside the LGA for work. Majority travelled to the surrounding LGAs of Campaspe, Moira and Strathbogie. </w:t>
      </w:r>
    </w:p>
    <w:p w14:paraId="755FCDC1" w14:textId="77777777" w:rsidR="00E06E51" w:rsidRPr="00E06E51" w:rsidRDefault="00E06E51" w:rsidP="00E06E51">
      <w:pPr>
        <w:autoSpaceDE w:val="0"/>
        <w:autoSpaceDN w:val="0"/>
        <w:adjustRightInd w:val="0"/>
        <w:rPr>
          <w:rFonts w:asciiTheme="minorHAnsi" w:hAnsiTheme="minorHAnsi" w:cstheme="minorHAnsi"/>
          <w:kern w:val="24"/>
        </w:rPr>
      </w:pPr>
    </w:p>
    <w:p w14:paraId="755FCDC2"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Travel to the LGA for work:</w:t>
      </w:r>
    </w:p>
    <w:p w14:paraId="755FCDC3"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At the time of the 2011 Census, over 24,000 people worked in the Greater Shepparton LGA. Of those, 86 per cent (20,700) also reside in the LGA.</w:t>
      </w:r>
    </w:p>
    <w:p w14:paraId="755FCDC4"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The remaining 14 per cent (3,300) travel to work from outside the LGA, majority from the surrounding LGAs of Moira and Campaspe.</w:t>
      </w:r>
    </w:p>
    <w:p w14:paraId="755FCDC5" w14:textId="77777777" w:rsidR="00E06E51" w:rsidRPr="00E06E51" w:rsidRDefault="00E06E51" w:rsidP="00E06E51">
      <w:pPr>
        <w:autoSpaceDE w:val="0"/>
        <w:autoSpaceDN w:val="0"/>
        <w:adjustRightInd w:val="0"/>
        <w:rPr>
          <w:rFonts w:asciiTheme="minorHAnsi" w:hAnsiTheme="minorHAnsi" w:cstheme="minorHAnsi"/>
        </w:rPr>
      </w:pPr>
    </w:p>
    <w:p w14:paraId="755FCDC6" w14:textId="77777777" w:rsidR="00E06E51" w:rsidRPr="00E06E51" w:rsidRDefault="00E06E51" w:rsidP="00E06E51">
      <w:pPr>
        <w:spacing w:line="360" w:lineRule="auto"/>
        <w:rPr>
          <w:rFonts w:asciiTheme="minorHAnsi" w:hAnsiTheme="minorHAnsi" w:cstheme="minorHAnsi"/>
        </w:rPr>
      </w:pPr>
    </w:p>
    <w:p w14:paraId="755FCDC7"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C8"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22</w:t>
      </w:r>
    </w:p>
    <w:p w14:paraId="755FCDC9" w14:textId="77777777" w:rsidR="00E06E51" w:rsidRPr="00E06E51" w:rsidRDefault="00E06E51" w:rsidP="00E06E51">
      <w:pPr>
        <w:spacing w:line="360" w:lineRule="auto"/>
        <w:rPr>
          <w:rFonts w:asciiTheme="minorHAnsi" w:hAnsiTheme="minorHAnsi" w:cstheme="minorHAnsi"/>
        </w:rPr>
      </w:pPr>
    </w:p>
    <w:p w14:paraId="755FCDCA"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C2">
          <v:shape id="_x0000_i1046" type="#_x0000_t75" style="width:270.75pt;height:202.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6" DrawAspect="Content" ObjectID="_1425820965" r:id="rId52"/>
        </w:object>
      </w:r>
    </w:p>
    <w:p w14:paraId="755FCDCB" w14:textId="77777777" w:rsidR="00E06E51" w:rsidRPr="00E06E51" w:rsidRDefault="00E06E51" w:rsidP="00E06E51">
      <w:pPr>
        <w:spacing w:line="360" w:lineRule="auto"/>
        <w:jc w:val="center"/>
        <w:rPr>
          <w:rFonts w:asciiTheme="minorHAnsi" w:hAnsiTheme="minorHAnsi" w:cstheme="minorHAnsi"/>
        </w:rPr>
      </w:pPr>
    </w:p>
    <w:p w14:paraId="755FCDCC"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b/>
          <w:bCs/>
          <w:kern w:val="24"/>
          <w:u w:val="single"/>
        </w:rPr>
        <w:t>Recruitment activity has declined since 2011</w:t>
      </w:r>
      <w:r w:rsidRPr="00E06E51">
        <w:rPr>
          <w:rFonts w:asciiTheme="minorHAnsi" w:hAnsiTheme="minorHAnsi" w:cstheme="minorHAnsi"/>
          <w:b/>
          <w:bCs/>
          <w:kern w:val="24"/>
          <w:u w:val="single"/>
        </w:rPr>
        <w:br/>
      </w:r>
      <w:r w:rsidRPr="00E06E51">
        <w:rPr>
          <w:rFonts w:asciiTheme="minorHAnsi" w:hAnsiTheme="minorHAnsi" w:cstheme="minorHAnsi"/>
          <w:i/>
          <w:iCs/>
          <w:kern w:val="24"/>
        </w:rPr>
        <w:t>Source: DEEWR, Survey of Employers’ Recruitment Experiences, September 2012 and August 2011, Greater Shepparton LGA and North Eastern Victoria Priority Employment Area, All regions surveyed in the 12 months to September 2012.</w:t>
      </w:r>
    </w:p>
    <w:p w14:paraId="755FCDCD" w14:textId="77777777" w:rsidR="00E06E51" w:rsidRPr="00E06E51" w:rsidRDefault="00E06E51" w:rsidP="00E06E51">
      <w:pPr>
        <w:autoSpaceDE w:val="0"/>
        <w:autoSpaceDN w:val="0"/>
        <w:adjustRightInd w:val="0"/>
        <w:rPr>
          <w:rFonts w:asciiTheme="minorHAnsi" w:hAnsiTheme="minorHAnsi" w:cstheme="minorHAnsi"/>
          <w:kern w:val="24"/>
        </w:rPr>
      </w:pPr>
    </w:p>
    <w:p w14:paraId="755FCDCE"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386 employers were surveyed in the North Eastern Victoria PEA in September 2012, 94 of whom were in the Greater Shepparton LGA. </w:t>
      </w:r>
    </w:p>
    <w:p w14:paraId="755FCDCF"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w:t>
      </w:r>
    </w:p>
    <w:p w14:paraId="755FCDD0"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The proportion of employers who had recruited in the past 12 months in the Greater Shepparton LGA (53 per cent) had fallen significantly since the area was last surveyed (74 per cent) and was also lower than the figure for the combined regions surveyed 12 months to September 2012 (63 per cent). </w:t>
      </w:r>
      <w:r w:rsidRPr="00E06E51">
        <w:rPr>
          <w:rFonts w:asciiTheme="minorHAnsi" w:hAnsiTheme="minorHAnsi" w:cstheme="minorHAnsi"/>
          <w:kern w:val="24"/>
        </w:rPr>
        <w:br/>
      </w:r>
    </w:p>
    <w:p w14:paraId="755FCDD1"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There were a smaller number of vacancies per 100 staff for the Greater Shepparton LGA (10 vacancies per 100 staff) compared with the results for the previous survey (23 vacancies for 100 staff) and all regions surveyed (18 vacancies per 100 staff).</w:t>
      </w:r>
    </w:p>
    <w:p w14:paraId="755FCDD2"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w:t>
      </w:r>
    </w:p>
    <w:p w14:paraId="755FCDD3"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The proportion of unfilled vacancies over the past 12 months for the Greater Shepparton LGA (4.4 per cent) was smaller compared with when the August 2011 survey of the region (11 per cent) and lower than for all regions (5.5 per cent). </w:t>
      </w:r>
    </w:p>
    <w:p w14:paraId="755FCDD4" w14:textId="77777777" w:rsidR="00E06E51" w:rsidRPr="00E06E51" w:rsidRDefault="00E06E51" w:rsidP="00E06E51">
      <w:pPr>
        <w:autoSpaceDE w:val="0"/>
        <w:autoSpaceDN w:val="0"/>
        <w:adjustRightInd w:val="0"/>
        <w:rPr>
          <w:rFonts w:asciiTheme="minorHAnsi" w:hAnsiTheme="minorHAnsi" w:cstheme="minorHAnsi"/>
          <w:kern w:val="24"/>
        </w:rPr>
      </w:pPr>
    </w:p>
    <w:p w14:paraId="755FCDD5"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The proportion of employers who reported recruitment difficulty was smaller for the LGA (50 per cent) compared with the previous survey (62 per cent) and all regions surveyed (53 per cent).</w:t>
      </w:r>
    </w:p>
    <w:p w14:paraId="755FCDD6" w14:textId="77777777" w:rsidR="00E06E51" w:rsidRPr="00E06E51" w:rsidRDefault="00E06E51" w:rsidP="00E06E51">
      <w:pPr>
        <w:autoSpaceDE w:val="0"/>
        <w:autoSpaceDN w:val="0"/>
        <w:adjustRightInd w:val="0"/>
        <w:rPr>
          <w:rFonts w:asciiTheme="minorHAnsi" w:hAnsiTheme="minorHAnsi" w:cstheme="minorHAnsi"/>
          <w:kern w:val="24"/>
        </w:rPr>
      </w:pPr>
    </w:p>
    <w:p w14:paraId="755FCDD7" w14:textId="77777777" w:rsidR="00E06E51" w:rsidRPr="00E06E51" w:rsidRDefault="00E06E51" w:rsidP="00E06E51">
      <w:pPr>
        <w:autoSpaceDE w:val="0"/>
        <w:autoSpaceDN w:val="0"/>
        <w:adjustRightInd w:val="0"/>
        <w:rPr>
          <w:rFonts w:asciiTheme="minorHAnsi" w:hAnsiTheme="minorHAnsi" w:cstheme="minorHAnsi"/>
        </w:rPr>
      </w:pPr>
    </w:p>
    <w:p w14:paraId="755FCDD8" w14:textId="77777777" w:rsidR="00E06E51" w:rsidRPr="00E06E51" w:rsidRDefault="00E06E51" w:rsidP="00E06E51">
      <w:pPr>
        <w:spacing w:line="360" w:lineRule="auto"/>
        <w:rPr>
          <w:rFonts w:asciiTheme="minorHAnsi" w:hAnsiTheme="minorHAnsi" w:cstheme="minorHAnsi"/>
        </w:rPr>
      </w:pPr>
    </w:p>
    <w:p w14:paraId="755FCDD9"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DA"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23</w:t>
      </w:r>
    </w:p>
    <w:p w14:paraId="755FCDDB" w14:textId="77777777" w:rsidR="00E06E51" w:rsidRPr="00E06E51" w:rsidRDefault="00E06E51" w:rsidP="00E06E51">
      <w:pPr>
        <w:spacing w:line="360" w:lineRule="auto"/>
        <w:rPr>
          <w:rFonts w:asciiTheme="minorHAnsi" w:hAnsiTheme="minorHAnsi" w:cstheme="minorHAnsi"/>
        </w:rPr>
      </w:pPr>
    </w:p>
    <w:p w14:paraId="755FCDDC"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C3">
          <v:shape id="_x0000_i1047" type="#_x0000_t75" style="width:270.75pt;height:202.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7" DrawAspect="Content" ObjectID="_1425820966" r:id="rId54"/>
        </w:object>
      </w:r>
    </w:p>
    <w:p w14:paraId="755FCDDD" w14:textId="77777777" w:rsidR="00E06E51" w:rsidRPr="00E06E51" w:rsidRDefault="00E06E51" w:rsidP="00E06E51">
      <w:pPr>
        <w:spacing w:line="360" w:lineRule="auto"/>
        <w:jc w:val="center"/>
        <w:rPr>
          <w:rFonts w:asciiTheme="minorHAnsi" w:hAnsiTheme="minorHAnsi" w:cstheme="minorHAnsi"/>
        </w:rPr>
      </w:pPr>
    </w:p>
    <w:p w14:paraId="755FCDDE"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Vacancies not filled by occupation (most recent recruitment round)</w:t>
      </w:r>
    </w:p>
    <w:p w14:paraId="755FCDDF"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 DEEWR, Survey of Employers’ Recruitment Experiences, September 2012 and August 2011, Greater Shepparton LGA and North Eastern Victoria Priority Employment Area, All regions surveyed in the 12 months to September 2012.</w:t>
      </w:r>
    </w:p>
    <w:p w14:paraId="755FCDE0" w14:textId="77777777" w:rsidR="00E06E51" w:rsidRPr="00E06E51" w:rsidRDefault="00E06E51" w:rsidP="00E06E51">
      <w:pPr>
        <w:autoSpaceDE w:val="0"/>
        <w:autoSpaceDN w:val="0"/>
        <w:adjustRightInd w:val="0"/>
        <w:rPr>
          <w:rFonts w:asciiTheme="minorHAnsi" w:hAnsiTheme="minorHAnsi" w:cstheme="minorHAnsi"/>
          <w:i/>
          <w:iCs/>
          <w:kern w:val="24"/>
        </w:rPr>
      </w:pPr>
    </w:p>
    <w:p w14:paraId="755FCDE1"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Overall, in the Greater Shepparton LGA, only 2.5 per cent of vacancies remained unfilled in employers’ most recent recruitment round. This rate was comparable to the North Eastern Victoria PEA (2.7 per cent), but significantly lower compared with all regions surveyed in the 12 months to September 2012 (7.2 per cent).</w:t>
      </w:r>
    </w:p>
    <w:p w14:paraId="755FCDE2" w14:textId="77777777" w:rsidR="00E06E51" w:rsidRPr="00E06E51" w:rsidRDefault="00E06E51" w:rsidP="00E06E51">
      <w:pPr>
        <w:autoSpaceDE w:val="0"/>
        <w:autoSpaceDN w:val="0"/>
        <w:adjustRightInd w:val="0"/>
        <w:rPr>
          <w:rFonts w:asciiTheme="minorHAnsi" w:hAnsiTheme="minorHAnsi" w:cstheme="minorHAnsi"/>
          <w:kern w:val="24"/>
        </w:rPr>
      </w:pPr>
    </w:p>
    <w:p w14:paraId="755FCDE3"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Employers recruiting for Managers and Professionals experienced the highest level of unfilled vacancies with 16.7 per cent remaining unfilled, followed by 8.3 per cent of vacancies Technicians and Trade Workers going unfilled.</w:t>
      </w:r>
    </w:p>
    <w:p w14:paraId="755FCDE4" w14:textId="77777777" w:rsidR="00E06E51" w:rsidRPr="00E06E51" w:rsidRDefault="00E06E51" w:rsidP="00E06E51">
      <w:pPr>
        <w:autoSpaceDE w:val="0"/>
        <w:autoSpaceDN w:val="0"/>
        <w:adjustRightInd w:val="0"/>
        <w:rPr>
          <w:rFonts w:asciiTheme="minorHAnsi" w:hAnsiTheme="minorHAnsi" w:cstheme="minorHAnsi"/>
          <w:kern w:val="24"/>
        </w:rPr>
      </w:pPr>
    </w:p>
    <w:p w14:paraId="755FCDE5"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Employers reported being able to fill all recent vacancies for Community and Personal Services Workers, Sales Workers, Machinery Operators and Drivers, and Labourers.</w:t>
      </w:r>
    </w:p>
    <w:p w14:paraId="755FCDE6" w14:textId="77777777" w:rsidR="00E06E51" w:rsidRPr="00E06E51" w:rsidRDefault="00E06E51" w:rsidP="00E06E51">
      <w:pPr>
        <w:autoSpaceDE w:val="0"/>
        <w:autoSpaceDN w:val="0"/>
        <w:adjustRightInd w:val="0"/>
        <w:rPr>
          <w:rFonts w:asciiTheme="minorHAnsi" w:hAnsiTheme="minorHAnsi" w:cstheme="minorHAnsi"/>
          <w:kern w:val="24"/>
        </w:rPr>
      </w:pPr>
    </w:p>
    <w:p w14:paraId="755FCDE7" w14:textId="77777777" w:rsidR="00E06E51" w:rsidRPr="00E06E51" w:rsidRDefault="00E06E51" w:rsidP="00E06E51">
      <w:pPr>
        <w:autoSpaceDE w:val="0"/>
        <w:autoSpaceDN w:val="0"/>
        <w:adjustRightInd w:val="0"/>
        <w:rPr>
          <w:rFonts w:asciiTheme="minorHAnsi" w:hAnsiTheme="minorHAnsi" w:cstheme="minorHAnsi"/>
          <w:kern w:val="24"/>
        </w:rPr>
      </w:pPr>
    </w:p>
    <w:p w14:paraId="755FCDE8" w14:textId="77777777" w:rsidR="00E06E51" w:rsidRPr="00E06E51" w:rsidRDefault="00E06E51" w:rsidP="00E06E51">
      <w:pPr>
        <w:autoSpaceDE w:val="0"/>
        <w:autoSpaceDN w:val="0"/>
        <w:adjustRightInd w:val="0"/>
        <w:rPr>
          <w:rFonts w:asciiTheme="minorHAnsi" w:hAnsiTheme="minorHAnsi" w:cstheme="minorHAnsi"/>
        </w:rPr>
      </w:pPr>
    </w:p>
    <w:p w14:paraId="755FCDE9" w14:textId="77777777" w:rsidR="00E06E51" w:rsidRPr="00E06E51" w:rsidRDefault="00E06E51" w:rsidP="00E06E51">
      <w:pPr>
        <w:spacing w:line="360" w:lineRule="auto"/>
        <w:rPr>
          <w:rFonts w:asciiTheme="minorHAnsi" w:hAnsiTheme="minorHAnsi" w:cstheme="minorHAnsi"/>
        </w:rPr>
      </w:pPr>
    </w:p>
    <w:p w14:paraId="755FCDEA"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EB"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24</w:t>
      </w:r>
    </w:p>
    <w:p w14:paraId="755FCDEC" w14:textId="77777777" w:rsidR="00E06E51" w:rsidRPr="00E06E51" w:rsidRDefault="00E06E51" w:rsidP="00E06E51">
      <w:pPr>
        <w:spacing w:line="360" w:lineRule="auto"/>
        <w:rPr>
          <w:rFonts w:asciiTheme="minorHAnsi" w:hAnsiTheme="minorHAnsi" w:cstheme="minorHAnsi"/>
        </w:rPr>
      </w:pPr>
    </w:p>
    <w:p w14:paraId="755FCDED"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C4">
          <v:shape id="_x0000_i1048" type="#_x0000_t75" style="width:270.75pt;height:202.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8" DrawAspect="Content" ObjectID="_1425820967" r:id="rId56"/>
        </w:object>
      </w:r>
    </w:p>
    <w:p w14:paraId="755FCDEE" w14:textId="77777777" w:rsidR="00E06E51" w:rsidRPr="00E06E51" w:rsidRDefault="00E06E51" w:rsidP="00E06E51">
      <w:pPr>
        <w:spacing w:line="360" w:lineRule="auto"/>
        <w:jc w:val="center"/>
        <w:rPr>
          <w:rFonts w:asciiTheme="minorHAnsi" w:hAnsiTheme="minorHAnsi" w:cstheme="minorHAnsi"/>
        </w:rPr>
      </w:pPr>
    </w:p>
    <w:p w14:paraId="755FCDEF"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Competition for vacancies remains high, yet few suitable applicants</w:t>
      </w:r>
    </w:p>
    <w:p w14:paraId="755FCDF0"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 DEEWR, Survey of Employers’ Recruitment Experiences, September 2012 and August 2011, Greater Shepparton LGA and North Eastern Victoria Priority Employment Area, All regions surveyed in the 12 months to September 2012.</w:t>
      </w:r>
    </w:p>
    <w:p w14:paraId="755FCDF1" w14:textId="77777777" w:rsidR="00E06E51" w:rsidRPr="00E06E51" w:rsidRDefault="00E06E51" w:rsidP="00E06E51">
      <w:pPr>
        <w:autoSpaceDE w:val="0"/>
        <w:autoSpaceDN w:val="0"/>
        <w:adjustRightInd w:val="0"/>
        <w:rPr>
          <w:rFonts w:asciiTheme="minorHAnsi" w:hAnsiTheme="minorHAnsi" w:cstheme="minorHAnsi"/>
          <w:i/>
          <w:iCs/>
          <w:kern w:val="24"/>
        </w:rPr>
      </w:pPr>
    </w:p>
    <w:p w14:paraId="755FCDF2"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There was, on average, slightly more competition for vacancies in the Greater Shepparton LGA (8.6 applicants per vacancy) compared with all regions surveyed (8.2 applicants per vacancy). The average number of applicants had also increased since 2011 (5.3 applicants per vacancy). </w:t>
      </w:r>
    </w:p>
    <w:p w14:paraId="755FCDF3"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w:t>
      </w:r>
    </w:p>
    <w:p w14:paraId="755FCDF4"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There was a high level of competition for Clerical and Administrative Workers, with an average of 21.2 applicants per vacancy.</w:t>
      </w:r>
    </w:p>
    <w:p w14:paraId="755FCDF5"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w:t>
      </w:r>
    </w:p>
    <w:p w14:paraId="755FCDF6"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Employers recruiting for Technicians and Trade Workers had little choice of applicants with an average of 3.4 applicants of which only 1.2 were considered suitable.</w:t>
      </w:r>
    </w:p>
    <w:p w14:paraId="755FCDF7"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w:t>
      </w:r>
    </w:p>
    <w:p w14:paraId="755FCDF8"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Formal recruitment methods were most commonly used for employers’ most recent recruitment round. This included newspapers (42 per cent), internet (26 per cent) and recruitment agencies (14 per cent). Word of mouth was the most frequently used informal method by employers (28 per cent).</w:t>
      </w:r>
    </w:p>
    <w:p w14:paraId="755FCDF9" w14:textId="77777777" w:rsidR="00E06E51" w:rsidRPr="00E06E51" w:rsidRDefault="00E06E51" w:rsidP="00E06E51">
      <w:pPr>
        <w:autoSpaceDE w:val="0"/>
        <w:autoSpaceDN w:val="0"/>
        <w:adjustRightInd w:val="0"/>
        <w:rPr>
          <w:rFonts w:asciiTheme="minorHAnsi" w:hAnsiTheme="minorHAnsi" w:cstheme="minorHAnsi"/>
          <w:i/>
          <w:iCs/>
          <w:kern w:val="24"/>
        </w:rPr>
      </w:pPr>
    </w:p>
    <w:p w14:paraId="755FCDFA" w14:textId="77777777" w:rsidR="00E06E51" w:rsidRPr="00E06E51" w:rsidRDefault="00E06E51" w:rsidP="00E06E51">
      <w:pPr>
        <w:autoSpaceDE w:val="0"/>
        <w:autoSpaceDN w:val="0"/>
        <w:adjustRightInd w:val="0"/>
        <w:rPr>
          <w:rFonts w:asciiTheme="minorHAnsi" w:hAnsiTheme="minorHAnsi" w:cstheme="minorHAnsi"/>
        </w:rPr>
      </w:pPr>
    </w:p>
    <w:p w14:paraId="755FCDFB" w14:textId="77777777" w:rsidR="00E06E51" w:rsidRPr="00E06E51" w:rsidRDefault="00E06E51" w:rsidP="00E06E51">
      <w:pPr>
        <w:spacing w:line="360" w:lineRule="auto"/>
        <w:rPr>
          <w:rFonts w:asciiTheme="minorHAnsi" w:hAnsiTheme="minorHAnsi" w:cstheme="minorHAnsi"/>
        </w:rPr>
      </w:pPr>
    </w:p>
    <w:p w14:paraId="755FCDFC"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DFD"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25</w:t>
      </w:r>
    </w:p>
    <w:p w14:paraId="755FCDFE" w14:textId="77777777" w:rsidR="00E06E51" w:rsidRPr="00E06E51" w:rsidRDefault="00E06E51" w:rsidP="00E06E51">
      <w:pPr>
        <w:spacing w:line="360" w:lineRule="auto"/>
        <w:rPr>
          <w:rFonts w:asciiTheme="minorHAnsi" w:hAnsiTheme="minorHAnsi" w:cstheme="minorHAnsi"/>
        </w:rPr>
      </w:pPr>
    </w:p>
    <w:p w14:paraId="755FCDFF"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C5">
          <v:shape id="_x0000_i1049" type="#_x0000_t75" style="width:270.75pt;height:202.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9" DrawAspect="Content" ObjectID="_1425820968" r:id="rId58"/>
        </w:object>
      </w:r>
    </w:p>
    <w:p w14:paraId="755FCE00" w14:textId="77777777" w:rsidR="00E06E51" w:rsidRPr="00E06E51" w:rsidRDefault="00E06E51" w:rsidP="00E06E51">
      <w:pPr>
        <w:spacing w:line="360" w:lineRule="auto"/>
        <w:jc w:val="center"/>
        <w:rPr>
          <w:rFonts w:asciiTheme="minorHAnsi" w:hAnsiTheme="minorHAnsi" w:cstheme="minorHAnsi"/>
        </w:rPr>
      </w:pPr>
    </w:p>
    <w:p w14:paraId="755FCE01"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Reasons applicants are considered unsuitable</w:t>
      </w:r>
    </w:p>
    <w:p w14:paraId="755FCE02"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 DEEWR, Survey of Employers’ Recruitment Experiences, September 2012, Greater Shepparton LGA</w:t>
      </w:r>
    </w:p>
    <w:p w14:paraId="755FCE03" w14:textId="77777777" w:rsidR="00E06E51" w:rsidRPr="00E06E51" w:rsidRDefault="00E06E51" w:rsidP="00E06E51">
      <w:pPr>
        <w:autoSpaceDE w:val="0"/>
        <w:autoSpaceDN w:val="0"/>
        <w:adjustRightInd w:val="0"/>
        <w:rPr>
          <w:rFonts w:asciiTheme="minorHAnsi" w:hAnsiTheme="minorHAnsi" w:cstheme="minorHAnsi"/>
          <w:b/>
          <w:bCs/>
          <w:kern w:val="24"/>
          <w:u w:val="single"/>
        </w:rPr>
      </w:pPr>
    </w:p>
    <w:p w14:paraId="755FCE04" w14:textId="77777777" w:rsidR="00E06E51" w:rsidRPr="00E06E51" w:rsidRDefault="003431A0" w:rsidP="00E06E51">
      <w:pPr>
        <w:autoSpaceDE w:val="0"/>
        <w:autoSpaceDN w:val="0"/>
        <w:adjustRightInd w:val="0"/>
        <w:rPr>
          <w:rFonts w:asciiTheme="minorHAnsi" w:hAnsiTheme="minorHAnsi" w:cstheme="minorHAnsi"/>
          <w:kern w:val="24"/>
        </w:rPr>
      </w:pPr>
      <w:r>
        <w:rPr>
          <w:rFonts w:asciiTheme="minorHAnsi" w:hAnsiTheme="minorHAnsi" w:cstheme="minorHAnsi"/>
          <w:kern w:val="24"/>
        </w:rPr>
        <w:t xml:space="preserve">Some </w:t>
      </w:r>
      <w:r w:rsidR="00E06E51" w:rsidRPr="00E06E51">
        <w:rPr>
          <w:rFonts w:asciiTheme="minorHAnsi" w:hAnsiTheme="minorHAnsi" w:cstheme="minorHAnsi"/>
          <w:kern w:val="24"/>
        </w:rPr>
        <w:t>57</w:t>
      </w:r>
      <w:r>
        <w:rPr>
          <w:rFonts w:asciiTheme="minorHAnsi" w:hAnsiTheme="minorHAnsi" w:cstheme="minorHAnsi"/>
          <w:kern w:val="24"/>
        </w:rPr>
        <w:t xml:space="preserve"> per cent</w:t>
      </w:r>
      <w:r w:rsidR="00E06E51" w:rsidRPr="00E06E51">
        <w:rPr>
          <w:rFonts w:asciiTheme="minorHAnsi" w:hAnsiTheme="minorHAnsi" w:cstheme="minorHAnsi"/>
          <w:kern w:val="24"/>
        </w:rPr>
        <w:t xml:space="preserve"> of applicants were regarded by employers as unsuitable in the Greater Shepparton LGA.</w:t>
      </w:r>
    </w:p>
    <w:p w14:paraId="755FCE05" w14:textId="77777777" w:rsidR="00E06E51" w:rsidRPr="00E06E51" w:rsidRDefault="00E06E51" w:rsidP="00E06E51">
      <w:pPr>
        <w:autoSpaceDE w:val="0"/>
        <w:autoSpaceDN w:val="0"/>
        <w:adjustRightInd w:val="0"/>
        <w:rPr>
          <w:rFonts w:asciiTheme="minorHAnsi" w:hAnsiTheme="minorHAnsi" w:cstheme="minorHAnsi"/>
          <w:kern w:val="24"/>
        </w:rPr>
      </w:pPr>
    </w:p>
    <w:p w14:paraId="755FCE06" w14:textId="77777777" w:rsidR="00E06E51" w:rsidRPr="00E06E51" w:rsidRDefault="00E06E51" w:rsidP="00E06E51">
      <w:pPr>
        <w:autoSpaceDE w:val="0"/>
        <w:autoSpaceDN w:val="0"/>
        <w:adjustRightInd w:val="0"/>
        <w:ind w:left="540" w:hanging="540"/>
        <w:rPr>
          <w:rFonts w:asciiTheme="minorHAnsi" w:hAnsiTheme="minorHAnsi" w:cstheme="minorHAnsi"/>
        </w:rPr>
      </w:pPr>
      <w:r w:rsidRPr="00E06E51">
        <w:rPr>
          <w:rFonts w:asciiTheme="minorHAnsi" w:hAnsiTheme="minorHAnsi" w:cstheme="minorHAnsi"/>
        </w:rPr>
        <w:t>The reasons applicants were considered unsuitable include:</w:t>
      </w:r>
    </w:p>
    <w:p w14:paraId="755FCE07" w14:textId="77777777" w:rsidR="00E06E51" w:rsidRPr="00E06E51" w:rsidRDefault="00E06E51" w:rsidP="00E06E51">
      <w:pPr>
        <w:autoSpaceDE w:val="0"/>
        <w:autoSpaceDN w:val="0"/>
        <w:adjustRightInd w:val="0"/>
        <w:ind w:left="540" w:hanging="540"/>
        <w:rPr>
          <w:rFonts w:asciiTheme="minorHAnsi" w:hAnsiTheme="minorHAnsi" w:cstheme="minorHAnsi"/>
        </w:rPr>
      </w:pPr>
    </w:p>
    <w:p w14:paraId="755FCE08" w14:textId="77777777" w:rsidR="00E06E51" w:rsidRPr="00E06E51" w:rsidRDefault="00E06E51" w:rsidP="00E06E51">
      <w:pPr>
        <w:numPr>
          <w:ilvl w:val="0"/>
          <w:numId w:val="2"/>
        </w:numPr>
        <w:autoSpaceDE w:val="0"/>
        <w:autoSpaceDN w:val="0"/>
        <w:adjustRightInd w:val="0"/>
        <w:ind w:left="1170" w:hanging="450"/>
        <w:rPr>
          <w:rFonts w:asciiTheme="minorHAnsi" w:hAnsiTheme="minorHAnsi" w:cstheme="minorHAnsi"/>
        </w:rPr>
      </w:pPr>
      <w:r w:rsidRPr="00E06E51">
        <w:rPr>
          <w:rFonts w:asciiTheme="minorHAnsi" w:hAnsiTheme="minorHAnsi" w:cstheme="minorHAnsi"/>
        </w:rPr>
        <w:t>Insufficient experience to perform job duties (60 per cent)</w:t>
      </w:r>
    </w:p>
    <w:p w14:paraId="755FCE09" w14:textId="77777777" w:rsidR="00E06E51" w:rsidRPr="00E06E51" w:rsidRDefault="00E06E51" w:rsidP="00E06E51">
      <w:pPr>
        <w:numPr>
          <w:ilvl w:val="0"/>
          <w:numId w:val="2"/>
        </w:numPr>
        <w:autoSpaceDE w:val="0"/>
        <w:autoSpaceDN w:val="0"/>
        <w:adjustRightInd w:val="0"/>
        <w:ind w:left="1170" w:hanging="450"/>
        <w:rPr>
          <w:rFonts w:asciiTheme="minorHAnsi" w:hAnsiTheme="minorHAnsi" w:cstheme="minorHAnsi"/>
        </w:rPr>
      </w:pPr>
      <w:r w:rsidRPr="00E06E51">
        <w:rPr>
          <w:rFonts w:asciiTheme="minorHAnsi" w:hAnsiTheme="minorHAnsi" w:cstheme="minorHAnsi"/>
        </w:rPr>
        <w:t>Lack of employability skills and personal characteristics (56 per cent)</w:t>
      </w:r>
    </w:p>
    <w:p w14:paraId="755FCE0A" w14:textId="77777777" w:rsidR="00E06E51" w:rsidRPr="00E06E51" w:rsidRDefault="00E06E51" w:rsidP="00E06E51">
      <w:pPr>
        <w:numPr>
          <w:ilvl w:val="0"/>
          <w:numId w:val="2"/>
        </w:numPr>
        <w:autoSpaceDE w:val="0"/>
        <w:autoSpaceDN w:val="0"/>
        <w:adjustRightInd w:val="0"/>
        <w:ind w:left="1170" w:hanging="450"/>
        <w:rPr>
          <w:rFonts w:asciiTheme="minorHAnsi" w:hAnsiTheme="minorHAnsi" w:cstheme="minorHAnsi"/>
        </w:rPr>
      </w:pPr>
      <w:r w:rsidRPr="00E06E51">
        <w:rPr>
          <w:rFonts w:asciiTheme="minorHAnsi" w:hAnsiTheme="minorHAnsi" w:cstheme="minorHAnsi"/>
        </w:rPr>
        <w:t>Insufficient qualifications or training (16 per cent)</w:t>
      </w:r>
    </w:p>
    <w:p w14:paraId="755FCE0B" w14:textId="77777777" w:rsidR="00E06E51" w:rsidRPr="00E06E51" w:rsidRDefault="00E06E51" w:rsidP="00E06E51">
      <w:pPr>
        <w:autoSpaceDE w:val="0"/>
        <w:autoSpaceDN w:val="0"/>
        <w:adjustRightInd w:val="0"/>
        <w:ind w:left="1170" w:hanging="450"/>
        <w:rPr>
          <w:rFonts w:asciiTheme="minorHAnsi" w:hAnsiTheme="minorHAnsi" w:cstheme="minorHAnsi"/>
        </w:rPr>
      </w:pPr>
    </w:p>
    <w:p w14:paraId="755FCE0C" w14:textId="77777777" w:rsidR="00E06E51" w:rsidRPr="00E06E51" w:rsidRDefault="00E06E51" w:rsidP="00E06E51">
      <w:pPr>
        <w:autoSpaceDE w:val="0"/>
        <w:autoSpaceDN w:val="0"/>
        <w:adjustRightInd w:val="0"/>
        <w:rPr>
          <w:rFonts w:asciiTheme="minorHAnsi" w:hAnsiTheme="minorHAnsi" w:cstheme="minorHAnsi"/>
        </w:rPr>
      </w:pPr>
    </w:p>
    <w:p w14:paraId="755FCE0D" w14:textId="77777777" w:rsidR="00E06E51" w:rsidRPr="00E06E51" w:rsidRDefault="00E06E51" w:rsidP="00E06E51">
      <w:pPr>
        <w:spacing w:line="360" w:lineRule="auto"/>
        <w:rPr>
          <w:rFonts w:asciiTheme="minorHAnsi" w:hAnsiTheme="minorHAnsi" w:cstheme="minorHAnsi"/>
        </w:rPr>
      </w:pPr>
    </w:p>
    <w:p w14:paraId="755FCE0E"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E0F"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26</w:t>
      </w:r>
    </w:p>
    <w:p w14:paraId="755FCE10" w14:textId="77777777" w:rsidR="00E06E51" w:rsidRPr="00E06E51" w:rsidRDefault="00E06E51" w:rsidP="00E06E51">
      <w:pPr>
        <w:spacing w:line="360" w:lineRule="auto"/>
        <w:rPr>
          <w:rFonts w:asciiTheme="minorHAnsi" w:hAnsiTheme="minorHAnsi" w:cstheme="minorHAnsi"/>
        </w:rPr>
      </w:pPr>
    </w:p>
    <w:p w14:paraId="755FCE11"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C6">
          <v:shape id="_x0000_i1050" type="#_x0000_t75" style="width:270.75pt;height:202.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50" DrawAspect="Content" ObjectID="_1425820969" r:id="rId60"/>
        </w:object>
      </w:r>
    </w:p>
    <w:p w14:paraId="755FCE12" w14:textId="77777777" w:rsidR="00E06E51" w:rsidRPr="00E06E51" w:rsidRDefault="00E06E51" w:rsidP="00E06E51">
      <w:pPr>
        <w:spacing w:line="360" w:lineRule="auto"/>
        <w:jc w:val="center"/>
        <w:rPr>
          <w:rFonts w:asciiTheme="minorHAnsi" w:hAnsiTheme="minorHAnsi" w:cstheme="minorHAnsi"/>
        </w:rPr>
      </w:pPr>
    </w:p>
    <w:p w14:paraId="755FCE13"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Occupations difficult to fill (North Eastern Victoria PEA)</w:t>
      </w:r>
    </w:p>
    <w:p w14:paraId="755FCE14"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 DEEWR, Survey of Employers’ Recruitment Experiences, September 2012, North Eastern Victoria Priority Employment Area</w:t>
      </w:r>
    </w:p>
    <w:p w14:paraId="755FCE15" w14:textId="77777777" w:rsidR="00E06E51" w:rsidRPr="00E06E51" w:rsidRDefault="00E06E51" w:rsidP="00E06E51">
      <w:pPr>
        <w:autoSpaceDE w:val="0"/>
        <w:autoSpaceDN w:val="0"/>
        <w:adjustRightInd w:val="0"/>
        <w:rPr>
          <w:rFonts w:asciiTheme="minorHAnsi" w:hAnsiTheme="minorHAnsi" w:cstheme="minorHAnsi"/>
          <w:b/>
          <w:bCs/>
          <w:kern w:val="24"/>
          <w:u w:val="single"/>
        </w:rPr>
      </w:pPr>
    </w:p>
    <w:p w14:paraId="755FCE16"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This slide shows the vacancies that employers considered difficult to fill</w:t>
      </w:r>
      <w:r w:rsidR="002F4CAC">
        <w:rPr>
          <w:rFonts w:asciiTheme="minorHAnsi" w:hAnsiTheme="minorHAnsi" w:cstheme="minorHAnsi"/>
          <w:kern w:val="24"/>
        </w:rPr>
        <w:t xml:space="preserve"> in the North Eastern Victoria </w:t>
      </w:r>
      <w:r w:rsidRPr="00E06E51">
        <w:rPr>
          <w:rFonts w:asciiTheme="minorHAnsi" w:hAnsiTheme="minorHAnsi" w:cstheme="minorHAnsi"/>
          <w:kern w:val="24"/>
        </w:rPr>
        <w:t xml:space="preserve">PEA </w:t>
      </w:r>
      <w:r w:rsidRPr="00E06E51">
        <w:rPr>
          <w:rFonts w:asciiTheme="minorHAnsi" w:hAnsiTheme="minorHAnsi" w:cstheme="minorHAnsi"/>
          <w:kern w:val="24"/>
        </w:rPr>
        <w:br/>
      </w:r>
      <w:r w:rsidRPr="00E06E51">
        <w:rPr>
          <w:rFonts w:asciiTheme="minorHAnsi" w:hAnsiTheme="minorHAnsi" w:cstheme="minorHAnsi"/>
          <w:i/>
          <w:iCs/>
          <w:kern w:val="24"/>
        </w:rPr>
        <w:t>(*Occupations also difficult to fill in the August 2011 Survey)</w:t>
      </w:r>
    </w:p>
    <w:p w14:paraId="755FCE17"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i/>
          <w:iCs/>
          <w:kern w:val="24"/>
        </w:rPr>
        <w:t> </w:t>
      </w:r>
    </w:p>
    <w:p w14:paraId="755FCE18"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kern w:val="24"/>
        </w:rPr>
        <w:t>Higher Skill Level (1) - Bachelor Degree or Higher</w:t>
      </w:r>
    </w:p>
    <w:p w14:paraId="755FCE19"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Registered Nurses *</w:t>
      </w:r>
    </w:p>
    <w:p w14:paraId="755FCE1A" w14:textId="77777777" w:rsidR="00E06E51" w:rsidRPr="00E06E51" w:rsidRDefault="00E06E51" w:rsidP="00E06E51">
      <w:pPr>
        <w:autoSpaceDE w:val="0"/>
        <w:autoSpaceDN w:val="0"/>
        <w:adjustRightInd w:val="0"/>
        <w:rPr>
          <w:rFonts w:asciiTheme="minorHAnsi" w:hAnsiTheme="minorHAnsi" w:cstheme="minorHAnsi"/>
          <w:kern w:val="24"/>
        </w:rPr>
      </w:pPr>
    </w:p>
    <w:p w14:paraId="755FCE1B"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kern w:val="24"/>
        </w:rPr>
        <w:t xml:space="preserve">Medium Skill Level (2&amp;3) – Certificate IV to Associate Degree </w:t>
      </w:r>
    </w:p>
    <w:p w14:paraId="755FCE1C"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Plumbers</w:t>
      </w:r>
    </w:p>
    <w:p w14:paraId="755FCE1D"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Motor Mechanics *</w:t>
      </w:r>
    </w:p>
    <w:p w14:paraId="755FCE1E"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Chefs *</w:t>
      </w:r>
    </w:p>
    <w:p w14:paraId="755FCE1F"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Greenkeepers</w:t>
      </w:r>
    </w:p>
    <w:p w14:paraId="755FCE20"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Sheetmetal Trade Workers</w:t>
      </w:r>
    </w:p>
    <w:p w14:paraId="755FCE21"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Structural Steel and Welding Trades Workers *</w:t>
      </w:r>
    </w:p>
    <w:p w14:paraId="755FCE22"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kern w:val="24"/>
        </w:rPr>
        <w:t> </w:t>
      </w:r>
    </w:p>
    <w:p w14:paraId="755FCE23"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kern w:val="24"/>
        </w:rPr>
        <w:t>Lower Skill Level (4&amp;5) – Compulsory Secondary Education to Certificate III</w:t>
      </w:r>
      <w:r w:rsidRPr="00E06E51">
        <w:rPr>
          <w:rFonts w:asciiTheme="minorHAnsi" w:hAnsiTheme="minorHAnsi" w:cstheme="minorHAnsi"/>
          <w:kern w:val="24"/>
        </w:rPr>
        <w:t xml:space="preserve"> </w:t>
      </w:r>
      <w:r w:rsidRPr="00E06E51">
        <w:rPr>
          <w:rFonts w:asciiTheme="minorHAnsi" w:hAnsiTheme="minorHAnsi" w:cstheme="minorHAnsi"/>
          <w:b/>
          <w:bCs/>
          <w:kern w:val="24"/>
        </w:rPr>
        <w:t> </w:t>
      </w:r>
    </w:p>
    <w:p w14:paraId="755FCE24"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Housekeepers *</w:t>
      </w:r>
    </w:p>
    <w:p w14:paraId="755FCE25"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Sales Representatives *</w:t>
      </w:r>
    </w:p>
    <w:p w14:paraId="755FCE26"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Crop Farm workers</w:t>
      </w:r>
    </w:p>
    <w:p w14:paraId="755FCE27" w14:textId="77777777" w:rsidR="00E06E51" w:rsidRPr="00E06E51" w:rsidRDefault="00E06E51" w:rsidP="00E06E51">
      <w:pPr>
        <w:autoSpaceDE w:val="0"/>
        <w:autoSpaceDN w:val="0"/>
        <w:adjustRightInd w:val="0"/>
        <w:rPr>
          <w:rFonts w:asciiTheme="minorHAnsi" w:hAnsiTheme="minorHAnsi" w:cstheme="minorHAnsi"/>
          <w:kern w:val="24"/>
        </w:rPr>
      </w:pPr>
    </w:p>
    <w:p w14:paraId="755FCE28" w14:textId="77777777" w:rsidR="00E06E51" w:rsidRPr="00E06E51" w:rsidRDefault="00E06E51" w:rsidP="00E06E51">
      <w:pPr>
        <w:autoSpaceDE w:val="0"/>
        <w:autoSpaceDN w:val="0"/>
        <w:adjustRightInd w:val="0"/>
        <w:rPr>
          <w:rFonts w:asciiTheme="minorHAnsi" w:hAnsiTheme="minorHAnsi" w:cstheme="minorHAnsi"/>
          <w:b/>
          <w:bCs/>
          <w:kern w:val="24"/>
          <w:u w:val="single"/>
        </w:rPr>
      </w:pPr>
    </w:p>
    <w:p w14:paraId="755FCE29" w14:textId="77777777" w:rsidR="00E06E51" w:rsidRPr="00E06E51" w:rsidRDefault="00E06E51" w:rsidP="00E06E51">
      <w:pPr>
        <w:autoSpaceDE w:val="0"/>
        <w:autoSpaceDN w:val="0"/>
        <w:adjustRightInd w:val="0"/>
        <w:rPr>
          <w:rFonts w:asciiTheme="minorHAnsi" w:hAnsiTheme="minorHAnsi" w:cstheme="minorHAnsi"/>
        </w:rPr>
      </w:pPr>
    </w:p>
    <w:p w14:paraId="755FCE2A" w14:textId="77777777" w:rsidR="00E06E51" w:rsidRPr="00E06E51" w:rsidRDefault="00E06E51" w:rsidP="00E06E51">
      <w:pPr>
        <w:spacing w:line="360" w:lineRule="auto"/>
        <w:rPr>
          <w:rFonts w:asciiTheme="minorHAnsi" w:hAnsiTheme="minorHAnsi" w:cstheme="minorHAnsi"/>
        </w:rPr>
      </w:pPr>
    </w:p>
    <w:p w14:paraId="755FCE2B"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E2C"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27</w:t>
      </w:r>
    </w:p>
    <w:p w14:paraId="755FCE2D" w14:textId="77777777" w:rsidR="00E06E51" w:rsidRPr="00E06E51" w:rsidRDefault="00E06E51" w:rsidP="00E06E51">
      <w:pPr>
        <w:spacing w:line="360" w:lineRule="auto"/>
        <w:rPr>
          <w:rFonts w:asciiTheme="minorHAnsi" w:hAnsiTheme="minorHAnsi" w:cstheme="minorHAnsi"/>
        </w:rPr>
      </w:pPr>
    </w:p>
    <w:p w14:paraId="755FCE2E"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C7">
          <v:shape id="_x0000_i1051" type="#_x0000_t75" style="width:270.75pt;height:202.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51" DrawAspect="Content" ObjectID="_1425820970" r:id="rId62"/>
        </w:object>
      </w:r>
    </w:p>
    <w:p w14:paraId="755FCE2F" w14:textId="77777777" w:rsidR="00E06E51" w:rsidRPr="00E06E51" w:rsidRDefault="00E06E51" w:rsidP="00E06E51">
      <w:pPr>
        <w:spacing w:line="360" w:lineRule="auto"/>
        <w:jc w:val="center"/>
        <w:rPr>
          <w:rFonts w:asciiTheme="minorHAnsi" w:hAnsiTheme="minorHAnsi" w:cstheme="minorHAnsi"/>
        </w:rPr>
      </w:pPr>
    </w:p>
    <w:p w14:paraId="755FCE30"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Apprentices and Trainees</w:t>
      </w:r>
    </w:p>
    <w:p w14:paraId="755FCE31"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 DEEWR, Survey of Employers’ Recruitment Experiences, September 2012, Greater Shepparton LGA, All regions surveyed in the 12 months to September 2012</w:t>
      </w:r>
    </w:p>
    <w:p w14:paraId="755FCE32" w14:textId="77777777" w:rsidR="00E06E51" w:rsidRPr="00E06E51" w:rsidRDefault="00E06E51" w:rsidP="00E06E51">
      <w:pPr>
        <w:autoSpaceDE w:val="0"/>
        <w:autoSpaceDN w:val="0"/>
        <w:adjustRightInd w:val="0"/>
        <w:rPr>
          <w:rFonts w:asciiTheme="minorHAnsi" w:hAnsiTheme="minorHAnsi" w:cstheme="minorHAnsi"/>
          <w:kern w:val="24"/>
        </w:rPr>
      </w:pPr>
    </w:p>
    <w:p w14:paraId="755FCE33"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The proportion of surveyed employers with an apprentice or trainee on staff (26 per cent) in the Greater Shepparton LGA was lower than for all regions (32 per cent).   </w:t>
      </w:r>
    </w:p>
    <w:p w14:paraId="755FCE34"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Almost half (49 per cent) of these employers reported they had experienced challenges employing an apprentice or trainee.</w:t>
      </w:r>
    </w:p>
    <w:p w14:paraId="755FCE35" w14:textId="77777777" w:rsidR="00E06E51" w:rsidRPr="00E06E51" w:rsidRDefault="00E06E51" w:rsidP="00E06E51">
      <w:pPr>
        <w:autoSpaceDE w:val="0"/>
        <w:autoSpaceDN w:val="0"/>
        <w:adjustRightInd w:val="0"/>
        <w:rPr>
          <w:rFonts w:asciiTheme="minorHAnsi" w:hAnsiTheme="minorHAnsi" w:cstheme="minorHAnsi"/>
          <w:kern w:val="24"/>
        </w:rPr>
      </w:pPr>
    </w:p>
    <w:p w14:paraId="755FCE36"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Lack of work readiness and poor communication skills were the most commonly reported challenges for employers.</w:t>
      </w:r>
    </w:p>
    <w:p w14:paraId="755FCE37" w14:textId="77777777" w:rsidR="00E06E51" w:rsidRPr="00E06E51" w:rsidRDefault="00E06E51" w:rsidP="00E06E51">
      <w:pPr>
        <w:autoSpaceDE w:val="0"/>
        <w:autoSpaceDN w:val="0"/>
        <w:adjustRightInd w:val="0"/>
        <w:rPr>
          <w:rFonts w:asciiTheme="minorHAnsi" w:hAnsiTheme="minorHAnsi" w:cstheme="minorHAnsi"/>
          <w:kern w:val="24"/>
        </w:rPr>
      </w:pPr>
    </w:p>
    <w:p w14:paraId="755FCE38"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A smaller proportion (12 per cent) of employers in the Greater Shepparton LGA expected to recruit at least one apprentice or trainee in the 12 months following the survey compared with all regions surveyed (21 per cent).</w:t>
      </w:r>
    </w:p>
    <w:p w14:paraId="755FCE39" w14:textId="77777777" w:rsidR="00E06E51" w:rsidRPr="00E06E51" w:rsidRDefault="00E06E51" w:rsidP="00E06E51">
      <w:pPr>
        <w:autoSpaceDE w:val="0"/>
        <w:autoSpaceDN w:val="0"/>
        <w:adjustRightInd w:val="0"/>
        <w:rPr>
          <w:rFonts w:asciiTheme="minorHAnsi" w:hAnsiTheme="minorHAnsi" w:cstheme="minorHAnsi"/>
        </w:rPr>
      </w:pPr>
    </w:p>
    <w:p w14:paraId="755FCE3A" w14:textId="77777777" w:rsidR="00E06E51" w:rsidRPr="00E06E51" w:rsidRDefault="00E06E51" w:rsidP="00E06E51">
      <w:pPr>
        <w:spacing w:line="360" w:lineRule="auto"/>
        <w:rPr>
          <w:rFonts w:asciiTheme="minorHAnsi" w:hAnsiTheme="minorHAnsi" w:cstheme="minorHAnsi"/>
        </w:rPr>
      </w:pPr>
    </w:p>
    <w:p w14:paraId="755FCE3B"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E3C"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28</w:t>
      </w:r>
    </w:p>
    <w:p w14:paraId="755FCE3D" w14:textId="77777777" w:rsidR="00E06E51" w:rsidRPr="00E06E51" w:rsidRDefault="00E06E51" w:rsidP="00E06E51">
      <w:pPr>
        <w:spacing w:line="360" w:lineRule="auto"/>
        <w:rPr>
          <w:rFonts w:asciiTheme="minorHAnsi" w:hAnsiTheme="minorHAnsi" w:cstheme="minorHAnsi"/>
        </w:rPr>
      </w:pPr>
    </w:p>
    <w:p w14:paraId="755FCE3E"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C8">
          <v:shape id="_x0000_i1052" type="#_x0000_t75" style="width:270.75pt;height:202.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52" DrawAspect="Content" ObjectID="_1425820971" r:id="rId64"/>
        </w:object>
      </w:r>
    </w:p>
    <w:p w14:paraId="755FCE3F" w14:textId="77777777" w:rsidR="00E06E51" w:rsidRPr="00E06E51" w:rsidRDefault="00E06E51" w:rsidP="00E06E51">
      <w:pPr>
        <w:spacing w:line="360" w:lineRule="auto"/>
        <w:jc w:val="center"/>
        <w:rPr>
          <w:rFonts w:asciiTheme="minorHAnsi" w:hAnsiTheme="minorHAnsi" w:cstheme="minorHAnsi"/>
        </w:rPr>
      </w:pPr>
    </w:p>
    <w:p w14:paraId="755FCE40"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Future recruitment expectations soft</w:t>
      </w:r>
    </w:p>
    <w:p w14:paraId="755FCE41"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 DEEWR, Survey of Employers’ Recruitment Experiences, September 2012 and August 2011, North Eastern Victoria Priority Employment Area and all regions surveyed in the 12 months to September 2012.</w:t>
      </w:r>
    </w:p>
    <w:p w14:paraId="755FCE42" w14:textId="77777777" w:rsidR="00E06E51" w:rsidRPr="00E06E51" w:rsidRDefault="00E06E51" w:rsidP="00E06E51">
      <w:pPr>
        <w:autoSpaceDE w:val="0"/>
        <w:autoSpaceDN w:val="0"/>
        <w:adjustRightInd w:val="0"/>
        <w:rPr>
          <w:rFonts w:asciiTheme="minorHAnsi" w:hAnsiTheme="minorHAnsi" w:cstheme="minorHAnsi"/>
          <w:kern w:val="24"/>
        </w:rPr>
      </w:pPr>
    </w:p>
    <w:p w14:paraId="755FCE43"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Recruitment expectations for the 12 months following the survey were subdued for the Greater Shepparton LGA and the North Eastern Victoria PEA. </w:t>
      </w:r>
    </w:p>
    <w:p w14:paraId="755FCE44"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br/>
        <w:t xml:space="preserve">A substantially smaller proportion of employers in the Greater Shepparton LGA  (31 per cent) expected to recruit compared to the outlook when the region was previously surveyed in August 2011 (62 per cent). The proportion of employers in the LGA expecting to recruit was also smaller compared with all regions surveyed (47 per cent). </w:t>
      </w:r>
    </w:p>
    <w:p w14:paraId="755FCE45" w14:textId="77777777" w:rsidR="00E06E51" w:rsidRPr="00E06E51" w:rsidRDefault="00E06E51" w:rsidP="00E06E51">
      <w:pPr>
        <w:autoSpaceDE w:val="0"/>
        <w:autoSpaceDN w:val="0"/>
        <w:adjustRightInd w:val="0"/>
        <w:rPr>
          <w:rFonts w:asciiTheme="minorHAnsi" w:hAnsiTheme="minorHAnsi" w:cstheme="minorHAnsi"/>
          <w:kern w:val="24"/>
        </w:rPr>
      </w:pPr>
    </w:p>
    <w:p w14:paraId="755FCE46" w14:textId="77777777" w:rsidR="00E06E51" w:rsidRPr="00E06E51" w:rsidRDefault="00E06E51" w:rsidP="00E06E51">
      <w:pPr>
        <w:autoSpaceDE w:val="0"/>
        <w:autoSpaceDN w:val="0"/>
        <w:adjustRightInd w:val="0"/>
        <w:rPr>
          <w:rFonts w:asciiTheme="minorHAnsi" w:hAnsiTheme="minorHAnsi" w:cstheme="minorHAnsi"/>
          <w:kern w:val="24"/>
        </w:rPr>
      </w:pPr>
    </w:p>
    <w:p w14:paraId="755FCE47" w14:textId="77777777" w:rsidR="00E06E51" w:rsidRPr="00E06E51" w:rsidRDefault="00E06E51" w:rsidP="00E06E51">
      <w:pPr>
        <w:autoSpaceDE w:val="0"/>
        <w:autoSpaceDN w:val="0"/>
        <w:adjustRightInd w:val="0"/>
        <w:rPr>
          <w:rFonts w:asciiTheme="minorHAnsi" w:hAnsiTheme="minorHAnsi" w:cstheme="minorHAnsi"/>
        </w:rPr>
      </w:pPr>
    </w:p>
    <w:p w14:paraId="755FCE48" w14:textId="77777777" w:rsidR="00E06E51" w:rsidRPr="00E06E51" w:rsidRDefault="00E06E51" w:rsidP="00E06E51">
      <w:pPr>
        <w:spacing w:line="360" w:lineRule="auto"/>
        <w:rPr>
          <w:rFonts w:asciiTheme="minorHAnsi" w:hAnsiTheme="minorHAnsi" w:cstheme="minorHAnsi"/>
        </w:rPr>
      </w:pPr>
    </w:p>
    <w:p w14:paraId="755FCE49"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E4A"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29</w:t>
      </w:r>
    </w:p>
    <w:p w14:paraId="755FCE4B" w14:textId="77777777" w:rsidR="00E06E51" w:rsidRPr="00E06E51" w:rsidRDefault="00E06E51" w:rsidP="00E06E51">
      <w:pPr>
        <w:spacing w:line="360" w:lineRule="auto"/>
        <w:rPr>
          <w:rFonts w:asciiTheme="minorHAnsi" w:hAnsiTheme="minorHAnsi" w:cstheme="minorHAnsi"/>
        </w:rPr>
      </w:pPr>
    </w:p>
    <w:p w14:paraId="755FCE4C"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C9">
          <v:shape id="_x0000_i1053" type="#_x0000_t75" style="width:270.75pt;height:202.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53" DrawAspect="Content" ObjectID="_1425820972" r:id="rId66"/>
        </w:object>
      </w:r>
    </w:p>
    <w:p w14:paraId="755FCE4D" w14:textId="77777777" w:rsidR="00E06E51" w:rsidRPr="00E06E51" w:rsidRDefault="00E06E51" w:rsidP="00E06E51">
      <w:pPr>
        <w:spacing w:line="360" w:lineRule="auto"/>
        <w:jc w:val="center"/>
        <w:rPr>
          <w:rFonts w:asciiTheme="minorHAnsi" w:hAnsiTheme="minorHAnsi" w:cstheme="minorHAnsi"/>
        </w:rPr>
      </w:pPr>
    </w:p>
    <w:p w14:paraId="755FCE4E"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Occupations employers expect to recruit for following the survey (North Eastern Victoria PEA)</w:t>
      </w:r>
    </w:p>
    <w:p w14:paraId="755FCE4F" w14:textId="77777777" w:rsidR="00E06E51" w:rsidRPr="00E06E51" w:rsidRDefault="00E06E51" w:rsidP="00E06E51">
      <w:pPr>
        <w:autoSpaceDE w:val="0"/>
        <w:autoSpaceDN w:val="0"/>
        <w:adjustRightInd w:val="0"/>
        <w:rPr>
          <w:rFonts w:asciiTheme="minorHAnsi" w:hAnsiTheme="minorHAnsi" w:cstheme="minorHAnsi"/>
          <w:i/>
          <w:iCs/>
          <w:kern w:val="24"/>
        </w:rPr>
      </w:pPr>
      <w:r w:rsidRPr="00E06E51">
        <w:rPr>
          <w:rFonts w:asciiTheme="minorHAnsi" w:hAnsiTheme="minorHAnsi" w:cstheme="minorHAnsi"/>
          <w:i/>
          <w:iCs/>
          <w:kern w:val="24"/>
        </w:rPr>
        <w:t>Source: DEEWR, Survey of Employers’ Recruitment Experiences, September 2012, North Eastern Victoria Priority Employment Area</w:t>
      </w:r>
    </w:p>
    <w:p w14:paraId="755FCE50"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w:t>
      </w:r>
    </w:p>
    <w:p w14:paraId="755FCE51"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xml:space="preserve">This slide shows the vacancies that employers most commonly expected to recruit for in the North Eastern Victoria PEA in the 12 months following the survey. </w:t>
      </w:r>
    </w:p>
    <w:p w14:paraId="755FCE52"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kern w:val="24"/>
        </w:rPr>
        <w:t> </w:t>
      </w:r>
    </w:p>
    <w:p w14:paraId="755FCE53"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kern w:val="24"/>
        </w:rPr>
        <w:t>Higher Skill Level (1) - Bachelor Degree or Higher</w:t>
      </w:r>
    </w:p>
    <w:p w14:paraId="755FCE54"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Agricultural and Forestry Scientists</w:t>
      </w:r>
    </w:p>
    <w:p w14:paraId="755FCE55" w14:textId="77777777" w:rsidR="00E06E51" w:rsidRPr="00E06E51" w:rsidRDefault="00E06E51" w:rsidP="00E06E51">
      <w:pPr>
        <w:autoSpaceDE w:val="0"/>
        <w:autoSpaceDN w:val="0"/>
        <w:adjustRightInd w:val="0"/>
        <w:rPr>
          <w:rFonts w:asciiTheme="minorHAnsi" w:hAnsiTheme="minorHAnsi" w:cstheme="minorHAnsi"/>
          <w:kern w:val="24"/>
        </w:rPr>
      </w:pPr>
    </w:p>
    <w:p w14:paraId="755FCE56"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kern w:val="24"/>
        </w:rPr>
        <w:t xml:space="preserve">Medium Skill Level (2 &amp; 3) – Certificate IV to Associate Degree </w:t>
      </w:r>
    </w:p>
    <w:p w14:paraId="755FCE57"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Real Estate Sales Agents</w:t>
      </w:r>
    </w:p>
    <w:p w14:paraId="755FCE58"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Structural Steel and Welding Trade Workers</w:t>
      </w:r>
    </w:p>
    <w:p w14:paraId="755FCE59"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 </w:t>
      </w:r>
    </w:p>
    <w:p w14:paraId="755FCE5A"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kern w:val="24"/>
        </w:rPr>
        <w:t>Lower Skill Level (4 &amp; 5) – Compulsory Secondary Education to Certificate III</w:t>
      </w:r>
    </w:p>
    <w:p w14:paraId="755FCE5B"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Sales Assistants</w:t>
      </w:r>
    </w:p>
    <w:p w14:paraId="755FCE5C"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Truck Drivers</w:t>
      </w:r>
    </w:p>
    <w:p w14:paraId="755FCE5D"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General Clerks</w:t>
      </w:r>
    </w:p>
    <w:p w14:paraId="755FCE5E"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Housekeepers</w:t>
      </w:r>
    </w:p>
    <w:p w14:paraId="755FCE5F"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Crop Farm Workers</w:t>
      </w:r>
    </w:p>
    <w:p w14:paraId="755FCE60"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Waiters</w:t>
      </w:r>
    </w:p>
    <w:p w14:paraId="755FCE61"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Shelf Fillers</w:t>
      </w:r>
    </w:p>
    <w:p w14:paraId="755FCE62"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Bar Attendants and Baristas</w:t>
      </w:r>
    </w:p>
    <w:p w14:paraId="755FCE63" w14:textId="77777777" w:rsidR="00E06E51" w:rsidRPr="00E06E51" w:rsidRDefault="00E06E51" w:rsidP="00E06E51">
      <w:pPr>
        <w:autoSpaceDE w:val="0"/>
        <w:autoSpaceDN w:val="0"/>
        <w:adjustRightInd w:val="0"/>
        <w:rPr>
          <w:rFonts w:asciiTheme="minorHAnsi" w:hAnsiTheme="minorHAnsi" w:cstheme="minorHAnsi"/>
        </w:rPr>
      </w:pPr>
    </w:p>
    <w:p w14:paraId="755FCE64" w14:textId="77777777" w:rsidR="00E06E51" w:rsidRPr="00E06E51" w:rsidRDefault="00E06E51" w:rsidP="00E06E51">
      <w:pPr>
        <w:spacing w:line="360" w:lineRule="auto"/>
        <w:rPr>
          <w:rFonts w:asciiTheme="minorHAnsi" w:hAnsiTheme="minorHAnsi" w:cstheme="minorHAnsi"/>
        </w:rPr>
      </w:pPr>
    </w:p>
    <w:p w14:paraId="755FCE65"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E66"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30</w:t>
      </w:r>
    </w:p>
    <w:p w14:paraId="755FCE67" w14:textId="77777777" w:rsidR="00E06E51" w:rsidRPr="00E06E51" w:rsidRDefault="00E06E51" w:rsidP="00E06E51">
      <w:pPr>
        <w:spacing w:line="360" w:lineRule="auto"/>
        <w:rPr>
          <w:rFonts w:asciiTheme="minorHAnsi" w:hAnsiTheme="minorHAnsi" w:cstheme="minorHAnsi"/>
        </w:rPr>
      </w:pPr>
    </w:p>
    <w:p w14:paraId="755FCE68"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CA">
          <v:shape id="_x0000_i1054" type="#_x0000_t75" style="width:270.75pt;height:202.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54" DrawAspect="Content" ObjectID="_1425820973" r:id="rId68"/>
        </w:object>
      </w:r>
    </w:p>
    <w:p w14:paraId="755FCE69" w14:textId="77777777" w:rsidR="00E06E51" w:rsidRPr="00E06E51" w:rsidRDefault="00E06E51" w:rsidP="00E06E51">
      <w:pPr>
        <w:spacing w:line="360" w:lineRule="auto"/>
        <w:jc w:val="center"/>
        <w:rPr>
          <w:rFonts w:asciiTheme="minorHAnsi" w:hAnsiTheme="minorHAnsi" w:cstheme="minorHAnsi"/>
        </w:rPr>
      </w:pPr>
    </w:p>
    <w:p w14:paraId="755FCE6A"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Vacancies</w:t>
      </w:r>
    </w:p>
    <w:p w14:paraId="755FCE6B"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i/>
          <w:iCs/>
          <w:kern w:val="24"/>
        </w:rPr>
        <w:t>Source: DEEWR Internet Vacancy Index, December 2012</w:t>
      </w:r>
    </w:p>
    <w:p w14:paraId="755FCE6C" w14:textId="77777777" w:rsidR="00E06E51" w:rsidRPr="00E06E51" w:rsidRDefault="00E06E51" w:rsidP="00E06E51">
      <w:pPr>
        <w:autoSpaceDE w:val="0"/>
        <w:autoSpaceDN w:val="0"/>
        <w:adjustRightInd w:val="0"/>
        <w:rPr>
          <w:rFonts w:asciiTheme="minorHAnsi" w:hAnsiTheme="minorHAnsi" w:cstheme="minorHAnsi"/>
          <w:kern w:val="24"/>
        </w:rPr>
      </w:pPr>
    </w:p>
    <w:p w14:paraId="755FCE6D"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This slide shows some examples of occupations where there are a relatively high number of potential employment opportunities in the IVI region ‘Bendigo &amp; High Country’.</w:t>
      </w:r>
    </w:p>
    <w:p w14:paraId="755FCE6E" w14:textId="77777777" w:rsidR="00E06E51" w:rsidRPr="00E06E51" w:rsidRDefault="00E06E51" w:rsidP="00E06E51">
      <w:pPr>
        <w:autoSpaceDE w:val="0"/>
        <w:autoSpaceDN w:val="0"/>
        <w:adjustRightInd w:val="0"/>
        <w:rPr>
          <w:rFonts w:asciiTheme="minorHAnsi" w:hAnsiTheme="minorHAnsi" w:cstheme="minorHAnsi"/>
          <w:kern w:val="24"/>
        </w:rPr>
      </w:pPr>
    </w:p>
    <w:p w14:paraId="755FCE6F"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The data are based on counts of newly lodged online vacancies advertised on SEEK, My Career, CareerOne and Australian JobSearch.  These data are an average of October, November and December 2012 data.</w:t>
      </w:r>
    </w:p>
    <w:p w14:paraId="755FCE70" w14:textId="77777777" w:rsidR="00E06E51" w:rsidRPr="00E06E51" w:rsidRDefault="00E06E51" w:rsidP="00E06E51">
      <w:pPr>
        <w:autoSpaceDE w:val="0"/>
        <w:autoSpaceDN w:val="0"/>
        <w:adjustRightInd w:val="0"/>
        <w:rPr>
          <w:rFonts w:asciiTheme="minorHAnsi" w:hAnsiTheme="minorHAnsi" w:cstheme="minorHAnsi"/>
          <w:kern w:val="24"/>
        </w:rPr>
      </w:pPr>
    </w:p>
    <w:p w14:paraId="755FCE71"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b/>
          <w:bCs/>
          <w:kern w:val="24"/>
          <w:u w:val="single"/>
        </w:rPr>
        <w:t>Vacancies in Bendigo &amp; High Country</w:t>
      </w:r>
    </w:p>
    <w:p w14:paraId="755FCE72"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Automotive and Engineering Trades</w:t>
      </w:r>
      <w:r w:rsidRPr="00E06E51">
        <w:rPr>
          <w:rFonts w:asciiTheme="minorHAnsi" w:hAnsiTheme="minorHAnsi" w:cstheme="minorHAnsi"/>
          <w:kern w:val="24"/>
        </w:rPr>
        <w:tab/>
      </w:r>
      <w:r w:rsidRPr="00E06E51">
        <w:rPr>
          <w:rFonts w:asciiTheme="minorHAnsi" w:hAnsiTheme="minorHAnsi" w:cstheme="minorHAnsi"/>
          <w:kern w:val="24"/>
        </w:rPr>
        <w:tab/>
      </w:r>
      <w:r w:rsidR="002F4CAC">
        <w:rPr>
          <w:rFonts w:asciiTheme="minorHAnsi" w:hAnsiTheme="minorHAnsi" w:cstheme="minorHAnsi"/>
          <w:kern w:val="24"/>
        </w:rPr>
        <w:tab/>
      </w:r>
      <w:r w:rsidR="002F4CAC">
        <w:rPr>
          <w:rFonts w:asciiTheme="minorHAnsi" w:hAnsiTheme="minorHAnsi" w:cstheme="minorHAnsi"/>
          <w:kern w:val="24"/>
        </w:rPr>
        <w:tab/>
      </w:r>
      <w:r w:rsidRPr="00E06E51">
        <w:rPr>
          <w:rFonts w:asciiTheme="minorHAnsi" w:hAnsiTheme="minorHAnsi" w:cstheme="minorHAnsi"/>
          <w:kern w:val="24"/>
        </w:rPr>
        <w:t>47</w:t>
      </w:r>
    </w:p>
    <w:p w14:paraId="755FCE73"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Food Trades</w:t>
      </w:r>
      <w:r w:rsidRPr="00E06E51">
        <w:rPr>
          <w:rFonts w:asciiTheme="minorHAnsi" w:hAnsiTheme="minorHAnsi" w:cstheme="minorHAnsi"/>
          <w:kern w:val="24"/>
        </w:rPr>
        <w:tab/>
      </w:r>
      <w:r w:rsidRPr="00E06E51">
        <w:rPr>
          <w:rFonts w:asciiTheme="minorHAnsi" w:hAnsiTheme="minorHAnsi" w:cstheme="minorHAnsi"/>
          <w:kern w:val="24"/>
        </w:rPr>
        <w:tab/>
      </w:r>
      <w:r w:rsidRPr="00E06E51">
        <w:rPr>
          <w:rFonts w:asciiTheme="minorHAnsi" w:hAnsiTheme="minorHAnsi" w:cstheme="minorHAnsi"/>
          <w:kern w:val="24"/>
        </w:rPr>
        <w:tab/>
      </w:r>
      <w:r w:rsidRPr="00E06E51">
        <w:rPr>
          <w:rFonts w:asciiTheme="minorHAnsi" w:hAnsiTheme="minorHAnsi" w:cstheme="minorHAnsi"/>
          <w:kern w:val="24"/>
        </w:rPr>
        <w:tab/>
      </w:r>
      <w:r w:rsidR="002F4CAC">
        <w:rPr>
          <w:rFonts w:asciiTheme="minorHAnsi" w:hAnsiTheme="minorHAnsi" w:cstheme="minorHAnsi"/>
          <w:kern w:val="24"/>
        </w:rPr>
        <w:tab/>
      </w:r>
      <w:r w:rsidR="002F4CAC">
        <w:rPr>
          <w:rFonts w:asciiTheme="minorHAnsi" w:hAnsiTheme="minorHAnsi" w:cstheme="minorHAnsi"/>
          <w:kern w:val="24"/>
        </w:rPr>
        <w:tab/>
      </w:r>
      <w:r w:rsidR="002F4CAC">
        <w:rPr>
          <w:rFonts w:asciiTheme="minorHAnsi" w:hAnsiTheme="minorHAnsi" w:cstheme="minorHAnsi"/>
          <w:kern w:val="24"/>
        </w:rPr>
        <w:tab/>
      </w:r>
      <w:r w:rsidRPr="00E06E51">
        <w:rPr>
          <w:rFonts w:asciiTheme="minorHAnsi" w:hAnsiTheme="minorHAnsi" w:cstheme="minorHAnsi"/>
          <w:kern w:val="24"/>
        </w:rPr>
        <w:t>44</w:t>
      </w:r>
    </w:p>
    <w:p w14:paraId="755FCE74"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Carers and Aides</w:t>
      </w:r>
      <w:r w:rsidRPr="00E06E51">
        <w:rPr>
          <w:rFonts w:asciiTheme="minorHAnsi" w:hAnsiTheme="minorHAnsi" w:cstheme="minorHAnsi"/>
          <w:kern w:val="24"/>
        </w:rPr>
        <w:tab/>
      </w:r>
      <w:r w:rsidRPr="00E06E51">
        <w:rPr>
          <w:rFonts w:asciiTheme="minorHAnsi" w:hAnsiTheme="minorHAnsi" w:cstheme="minorHAnsi"/>
          <w:kern w:val="24"/>
        </w:rPr>
        <w:tab/>
      </w:r>
      <w:r w:rsidRPr="00E06E51">
        <w:rPr>
          <w:rFonts w:asciiTheme="minorHAnsi" w:hAnsiTheme="minorHAnsi" w:cstheme="minorHAnsi"/>
          <w:kern w:val="24"/>
        </w:rPr>
        <w:tab/>
      </w:r>
      <w:r w:rsidR="002F4CAC">
        <w:rPr>
          <w:rFonts w:asciiTheme="minorHAnsi" w:hAnsiTheme="minorHAnsi" w:cstheme="minorHAnsi"/>
          <w:kern w:val="24"/>
        </w:rPr>
        <w:tab/>
      </w:r>
      <w:r w:rsidR="002F4CAC">
        <w:rPr>
          <w:rFonts w:asciiTheme="minorHAnsi" w:hAnsiTheme="minorHAnsi" w:cstheme="minorHAnsi"/>
          <w:kern w:val="24"/>
        </w:rPr>
        <w:tab/>
      </w:r>
      <w:r w:rsidR="002F4CAC">
        <w:rPr>
          <w:rFonts w:asciiTheme="minorHAnsi" w:hAnsiTheme="minorHAnsi" w:cstheme="minorHAnsi"/>
          <w:kern w:val="24"/>
        </w:rPr>
        <w:tab/>
      </w:r>
      <w:r w:rsidRPr="00E06E51">
        <w:rPr>
          <w:rFonts w:asciiTheme="minorHAnsi" w:hAnsiTheme="minorHAnsi" w:cstheme="minorHAnsi"/>
          <w:kern w:val="24"/>
        </w:rPr>
        <w:t>45</w:t>
      </w:r>
    </w:p>
    <w:p w14:paraId="755FCE75"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Hospitality Workers</w:t>
      </w:r>
      <w:r w:rsidRPr="00E06E51">
        <w:rPr>
          <w:rFonts w:asciiTheme="minorHAnsi" w:hAnsiTheme="minorHAnsi" w:cstheme="minorHAnsi"/>
          <w:kern w:val="24"/>
        </w:rPr>
        <w:tab/>
      </w:r>
      <w:r w:rsidRPr="00E06E51">
        <w:rPr>
          <w:rFonts w:asciiTheme="minorHAnsi" w:hAnsiTheme="minorHAnsi" w:cstheme="minorHAnsi"/>
          <w:kern w:val="24"/>
        </w:rPr>
        <w:tab/>
      </w:r>
      <w:r w:rsidR="002F4CAC">
        <w:rPr>
          <w:rFonts w:asciiTheme="minorHAnsi" w:hAnsiTheme="minorHAnsi" w:cstheme="minorHAnsi"/>
          <w:kern w:val="24"/>
        </w:rPr>
        <w:tab/>
      </w:r>
      <w:r w:rsidR="002F4CAC">
        <w:rPr>
          <w:rFonts w:asciiTheme="minorHAnsi" w:hAnsiTheme="minorHAnsi" w:cstheme="minorHAnsi"/>
          <w:kern w:val="24"/>
        </w:rPr>
        <w:tab/>
      </w:r>
      <w:r w:rsidR="002F4CAC">
        <w:rPr>
          <w:rFonts w:asciiTheme="minorHAnsi" w:hAnsiTheme="minorHAnsi" w:cstheme="minorHAnsi"/>
          <w:kern w:val="24"/>
        </w:rPr>
        <w:tab/>
      </w:r>
      <w:r w:rsidRPr="00E06E51">
        <w:rPr>
          <w:rFonts w:asciiTheme="minorHAnsi" w:hAnsiTheme="minorHAnsi" w:cstheme="minorHAnsi"/>
          <w:kern w:val="24"/>
        </w:rPr>
        <w:tab/>
        <w:t>49</w:t>
      </w:r>
    </w:p>
    <w:p w14:paraId="755FCE76"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General Clerks, Call Centre Workers and Receptionists</w:t>
      </w:r>
      <w:r w:rsidRPr="00E06E51">
        <w:rPr>
          <w:rFonts w:asciiTheme="minorHAnsi" w:hAnsiTheme="minorHAnsi" w:cstheme="minorHAnsi"/>
          <w:kern w:val="24"/>
        </w:rPr>
        <w:tab/>
        <w:t>71</w:t>
      </w:r>
    </w:p>
    <w:p w14:paraId="755FCE77"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Sales Assistants and Salespersons</w:t>
      </w:r>
      <w:r w:rsidRPr="00E06E51">
        <w:rPr>
          <w:rFonts w:asciiTheme="minorHAnsi" w:hAnsiTheme="minorHAnsi" w:cstheme="minorHAnsi"/>
          <w:kern w:val="24"/>
        </w:rPr>
        <w:tab/>
      </w:r>
      <w:r w:rsidRPr="00E06E51">
        <w:rPr>
          <w:rFonts w:asciiTheme="minorHAnsi" w:hAnsiTheme="minorHAnsi" w:cstheme="minorHAnsi"/>
          <w:kern w:val="24"/>
        </w:rPr>
        <w:tab/>
      </w:r>
      <w:r w:rsidR="002F4CAC">
        <w:rPr>
          <w:rFonts w:asciiTheme="minorHAnsi" w:hAnsiTheme="minorHAnsi" w:cstheme="minorHAnsi"/>
          <w:kern w:val="24"/>
        </w:rPr>
        <w:tab/>
      </w:r>
      <w:r w:rsidR="002F4CAC">
        <w:rPr>
          <w:rFonts w:asciiTheme="minorHAnsi" w:hAnsiTheme="minorHAnsi" w:cstheme="minorHAnsi"/>
          <w:kern w:val="24"/>
        </w:rPr>
        <w:tab/>
      </w:r>
      <w:r w:rsidRPr="00E06E51">
        <w:rPr>
          <w:rFonts w:asciiTheme="minorHAnsi" w:hAnsiTheme="minorHAnsi" w:cstheme="minorHAnsi"/>
          <w:kern w:val="24"/>
        </w:rPr>
        <w:t>105</w:t>
      </w:r>
    </w:p>
    <w:p w14:paraId="755FCE78"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Drivers and Storepersons</w:t>
      </w:r>
      <w:r w:rsidRPr="00E06E51">
        <w:rPr>
          <w:rFonts w:asciiTheme="minorHAnsi" w:hAnsiTheme="minorHAnsi" w:cstheme="minorHAnsi"/>
          <w:kern w:val="24"/>
        </w:rPr>
        <w:tab/>
      </w:r>
      <w:r w:rsidRPr="00E06E51">
        <w:rPr>
          <w:rFonts w:asciiTheme="minorHAnsi" w:hAnsiTheme="minorHAnsi" w:cstheme="minorHAnsi"/>
          <w:kern w:val="24"/>
        </w:rPr>
        <w:tab/>
      </w:r>
      <w:r w:rsidRPr="00E06E51">
        <w:rPr>
          <w:rFonts w:asciiTheme="minorHAnsi" w:hAnsiTheme="minorHAnsi" w:cstheme="minorHAnsi"/>
          <w:kern w:val="24"/>
        </w:rPr>
        <w:tab/>
      </w:r>
      <w:r w:rsidR="002F4CAC">
        <w:rPr>
          <w:rFonts w:asciiTheme="minorHAnsi" w:hAnsiTheme="minorHAnsi" w:cstheme="minorHAnsi"/>
          <w:kern w:val="24"/>
        </w:rPr>
        <w:tab/>
      </w:r>
      <w:r w:rsidR="002F4CAC">
        <w:rPr>
          <w:rFonts w:asciiTheme="minorHAnsi" w:hAnsiTheme="minorHAnsi" w:cstheme="minorHAnsi"/>
          <w:kern w:val="24"/>
        </w:rPr>
        <w:tab/>
      </w:r>
      <w:r w:rsidRPr="00E06E51">
        <w:rPr>
          <w:rFonts w:asciiTheme="minorHAnsi" w:hAnsiTheme="minorHAnsi" w:cstheme="minorHAnsi"/>
          <w:kern w:val="24"/>
        </w:rPr>
        <w:t>46</w:t>
      </w:r>
    </w:p>
    <w:p w14:paraId="755FCE79"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Cleaners and Laundry Workers</w:t>
      </w:r>
      <w:r w:rsidRPr="00E06E51">
        <w:rPr>
          <w:rFonts w:asciiTheme="minorHAnsi" w:hAnsiTheme="minorHAnsi" w:cstheme="minorHAnsi"/>
          <w:kern w:val="24"/>
        </w:rPr>
        <w:tab/>
      </w:r>
      <w:r w:rsidRPr="00E06E51">
        <w:rPr>
          <w:rFonts w:asciiTheme="minorHAnsi" w:hAnsiTheme="minorHAnsi" w:cstheme="minorHAnsi"/>
          <w:kern w:val="24"/>
        </w:rPr>
        <w:tab/>
      </w:r>
      <w:r w:rsidR="002F4CAC">
        <w:rPr>
          <w:rFonts w:asciiTheme="minorHAnsi" w:hAnsiTheme="minorHAnsi" w:cstheme="minorHAnsi"/>
          <w:kern w:val="24"/>
        </w:rPr>
        <w:tab/>
      </w:r>
      <w:r w:rsidR="002F4CAC">
        <w:rPr>
          <w:rFonts w:asciiTheme="minorHAnsi" w:hAnsiTheme="minorHAnsi" w:cstheme="minorHAnsi"/>
          <w:kern w:val="24"/>
        </w:rPr>
        <w:tab/>
      </w:r>
      <w:r w:rsidRPr="00E06E51">
        <w:rPr>
          <w:rFonts w:asciiTheme="minorHAnsi" w:hAnsiTheme="minorHAnsi" w:cstheme="minorHAnsi"/>
          <w:kern w:val="24"/>
        </w:rPr>
        <w:t>74</w:t>
      </w:r>
    </w:p>
    <w:p w14:paraId="755FCE7A"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Farm, Forestry and Garden Workers</w:t>
      </w:r>
      <w:r w:rsidRPr="00E06E51">
        <w:rPr>
          <w:rFonts w:asciiTheme="minorHAnsi" w:hAnsiTheme="minorHAnsi" w:cstheme="minorHAnsi"/>
          <w:kern w:val="24"/>
        </w:rPr>
        <w:tab/>
      </w:r>
      <w:r w:rsidRPr="00E06E51">
        <w:rPr>
          <w:rFonts w:asciiTheme="minorHAnsi" w:hAnsiTheme="minorHAnsi" w:cstheme="minorHAnsi"/>
          <w:kern w:val="24"/>
        </w:rPr>
        <w:tab/>
      </w:r>
      <w:r w:rsidR="002F4CAC">
        <w:rPr>
          <w:rFonts w:asciiTheme="minorHAnsi" w:hAnsiTheme="minorHAnsi" w:cstheme="minorHAnsi"/>
          <w:kern w:val="24"/>
        </w:rPr>
        <w:tab/>
      </w:r>
      <w:r w:rsidR="002F4CAC">
        <w:rPr>
          <w:rFonts w:asciiTheme="minorHAnsi" w:hAnsiTheme="minorHAnsi" w:cstheme="minorHAnsi"/>
          <w:kern w:val="24"/>
        </w:rPr>
        <w:tab/>
      </w:r>
      <w:r w:rsidRPr="00E06E51">
        <w:rPr>
          <w:rFonts w:asciiTheme="minorHAnsi" w:hAnsiTheme="minorHAnsi" w:cstheme="minorHAnsi"/>
          <w:kern w:val="24"/>
        </w:rPr>
        <w:t>41</w:t>
      </w:r>
    </w:p>
    <w:p w14:paraId="755FCE7B" w14:textId="77777777" w:rsidR="00E06E51" w:rsidRPr="00E06E51" w:rsidRDefault="00E06E51" w:rsidP="00E06E51">
      <w:pPr>
        <w:autoSpaceDE w:val="0"/>
        <w:autoSpaceDN w:val="0"/>
        <w:adjustRightInd w:val="0"/>
        <w:rPr>
          <w:rFonts w:asciiTheme="minorHAnsi" w:hAnsiTheme="minorHAnsi" w:cstheme="minorHAnsi"/>
          <w:kern w:val="24"/>
        </w:rPr>
      </w:pPr>
      <w:r w:rsidRPr="00E06E51">
        <w:rPr>
          <w:rFonts w:asciiTheme="minorHAnsi" w:hAnsiTheme="minorHAnsi" w:cstheme="minorHAnsi"/>
          <w:kern w:val="24"/>
        </w:rPr>
        <w:t>Other Labourers</w:t>
      </w:r>
      <w:r w:rsidRPr="00E06E51">
        <w:rPr>
          <w:rFonts w:asciiTheme="minorHAnsi" w:hAnsiTheme="minorHAnsi" w:cstheme="minorHAnsi"/>
          <w:kern w:val="24"/>
        </w:rPr>
        <w:tab/>
      </w:r>
      <w:r w:rsidRPr="00E06E51">
        <w:rPr>
          <w:rFonts w:asciiTheme="minorHAnsi" w:hAnsiTheme="minorHAnsi" w:cstheme="minorHAnsi"/>
          <w:kern w:val="24"/>
        </w:rPr>
        <w:tab/>
      </w:r>
      <w:r w:rsidRPr="00E06E51">
        <w:rPr>
          <w:rFonts w:asciiTheme="minorHAnsi" w:hAnsiTheme="minorHAnsi" w:cstheme="minorHAnsi"/>
          <w:kern w:val="24"/>
        </w:rPr>
        <w:tab/>
      </w:r>
      <w:r w:rsidR="002F4CAC">
        <w:rPr>
          <w:rFonts w:asciiTheme="minorHAnsi" w:hAnsiTheme="minorHAnsi" w:cstheme="minorHAnsi"/>
          <w:kern w:val="24"/>
        </w:rPr>
        <w:tab/>
      </w:r>
      <w:r w:rsidR="002F4CAC">
        <w:rPr>
          <w:rFonts w:asciiTheme="minorHAnsi" w:hAnsiTheme="minorHAnsi" w:cstheme="minorHAnsi"/>
          <w:kern w:val="24"/>
        </w:rPr>
        <w:tab/>
      </w:r>
      <w:r w:rsidR="002F4CAC">
        <w:rPr>
          <w:rFonts w:asciiTheme="minorHAnsi" w:hAnsiTheme="minorHAnsi" w:cstheme="minorHAnsi"/>
          <w:kern w:val="24"/>
        </w:rPr>
        <w:tab/>
      </w:r>
      <w:r w:rsidRPr="00E06E51">
        <w:rPr>
          <w:rFonts w:asciiTheme="minorHAnsi" w:hAnsiTheme="minorHAnsi" w:cstheme="minorHAnsi"/>
          <w:kern w:val="24"/>
        </w:rPr>
        <w:t>104</w:t>
      </w:r>
    </w:p>
    <w:p w14:paraId="755FCE7C" w14:textId="77777777" w:rsidR="00E06E51" w:rsidRPr="00E06E51" w:rsidRDefault="00E06E51" w:rsidP="00E06E51">
      <w:pPr>
        <w:autoSpaceDE w:val="0"/>
        <w:autoSpaceDN w:val="0"/>
        <w:adjustRightInd w:val="0"/>
        <w:rPr>
          <w:rFonts w:asciiTheme="minorHAnsi" w:hAnsiTheme="minorHAnsi" w:cstheme="minorHAnsi"/>
          <w:kern w:val="24"/>
        </w:rPr>
      </w:pPr>
    </w:p>
    <w:p w14:paraId="755FCE7D" w14:textId="77777777" w:rsidR="00E06E51" w:rsidRPr="00E06E51" w:rsidRDefault="00E06E51" w:rsidP="00E06E51">
      <w:pPr>
        <w:autoSpaceDE w:val="0"/>
        <w:autoSpaceDN w:val="0"/>
        <w:adjustRightInd w:val="0"/>
        <w:rPr>
          <w:rFonts w:asciiTheme="minorHAnsi" w:hAnsiTheme="minorHAnsi" w:cstheme="minorHAnsi"/>
        </w:rPr>
      </w:pPr>
    </w:p>
    <w:p w14:paraId="755FCE7E" w14:textId="77777777" w:rsidR="00E06E51" w:rsidRPr="00E06E51" w:rsidRDefault="00E06E51" w:rsidP="00E06E51">
      <w:pPr>
        <w:spacing w:line="360" w:lineRule="auto"/>
        <w:rPr>
          <w:rFonts w:asciiTheme="minorHAnsi" w:hAnsiTheme="minorHAnsi" w:cstheme="minorHAnsi"/>
        </w:rPr>
      </w:pPr>
    </w:p>
    <w:p w14:paraId="755FCE7F"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E80"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31</w:t>
      </w:r>
    </w:p>
    <w:p w14:paraId="755FCE81" w14:textId="77777777" w:rsidR="00E06E51" w:rsidRPr="00E06E51" w:rsidRDefault="00E06E51" w:rsidP="00E06E51">
      <w:pPr>
        <w:spacing w:line="360" w:lineRule="auto"/>
        <w:rPr>
          <w:rFonts w:asciiTheme="minorHAnsi" w:hAnsiTheme="minorHAnsi" w:cstheme="minorHAnsi"/>
        </w:rPr>
      </w:pPr>
    </w:p>
    <w:p w14:paraId="755FCE82"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CB">
          <v:shape id="_x0000_i1055" type="#_x0000_t75" style="width:270.75pt;height:202.5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55" DrawAspect="Content" ObjectID="_1425820974" r:id="rId70"/>
        </w:object>
      </w:r>
    </w:p>
    <w:p w14:paraId="755FCE83" w14:textId="77777777" w:rsidR="00E06E51" w:rsidRPr="00E06E51" w:rsidRDefault="00E06E51" w:rsidP="00E06E51">
      <w:pPr>
        <w:spacing w:line="360" w:lineRule="auto"/>
        <w:jc w:val="center"/>
        <w:rPr>
          <w:rFonts w:asciiTheme="minorHAnsi" w:hAnsiTheme="minorHAnsi" w:cstheme="minorHAnsi"/>
        </w:rPr>
      </w:pPr>
    </w:p>
    <w:p w14:paraId="755FCE84"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Conclusion</w:t>
      </w:r>
    </w:p>
    <w:p w14:paraId="755FCE85" w14:textId="77777777" w:rsidR="00E06E51" w:rsidRPr="00E06E51" w:rsidRDefault="00E06E51" w:rsidP="00E06E51">
      <w:pPr>
        <w:autoSpaceDE w:val="0"/>
        <w:autoSpaceDN w:val="0"/>
        <w:adjustRightInd w:val="0"/>
        <w:rPr>
          <w:rFonts w:asciiTheme="minorHAnsi" w:hAnsiTheme="minorHAnsi" w:cstheme="minorHAnsi"/>
          <w:b/>
          <w:bCs/>
          <w:kern w:val="24"/>
          <w:u w:val="single"/>
        </w:rPr>
      </w:pPr>
    </w:p>
    <w:p w14:paraId="755FCE86" w14:textId="77777777" w:rsidR="00E06E51" w:rsidRPr="00E06E51" w:rsidRDefault="00E06E51" w:rsidP="00E06E51">
      <w:pPr>
        <w:numPr>
          <w:ilvl w:val="0"/>
          <w:numId w:val="3"/>
        </w:numPr>
        <w:autoSpaceDE w:val="0"/>
        <w:autoSpaceDN w:val="0"/>
        <w:adjustRightInd w:val="0"/>
        <w:ind w:left="540" w:hanging="540"/>
        <w:rPr>
          <w:rFonts w:asciiTheme="minorHAnsi" w:hAnsiTheme="minorHAnsi" w:cstheme="minorHAnsi"/>
          <w:kern w:val="24"/>
        </w:rPr>
      </w:pPr>
      <w:r w:rsidRPr="00E06E51">
        <w:rPr>
          <w:rFonts w:asciiTheme="minorHAnsi" w:hAnsiTheme="minorHAnsi" w:cstheme="minorHAnsi"/>
          <w:kern w:val="24"/>
        </w:rPr>
        <w:t>Recruitment activity low and slowing</w:t>
      </w:r>
    </w:p>
    <w:p w14:paraId="755FCE87" w14:textId="77777777" w:rsidR="00E06E51" w:rsidRPr="00E06E51" w:rsidRDefault="00E06E51" w:rsidP="00E06E51">
      <w:pPr>
        <w:numPr>
          <w:ilvl w:val="0"/>
          <w:numId w:val="3"/>
        </w:numPr>
        <w:autoSpaceDE w:val="0"/>
        <w:autoSpaceDN w:val="0"/>
        <w:adjustRightInd w:val="0"/>
        <w:ind w:left="540" w:hanging="540"/>
        <w:rPr>
          <w:rFonts w:asciiTheme="minorHAnsi" w:hAnsiTheme="minorHAnsi" w:cstheme="minorHAnsi"/>
          <w:kern w:val="24"/>
        </w:rPr>
      </w:pPr>
      <w:r w:rsidRPr="00E06E51">
        <w:rPr>
          <w:rFonts w:asciiTheme="minorHAnsi" w:hAnsiTheme="minorHAnsi" w:cstheme="minorHAnsi"/>
          <w:kern w:val="24"/>
        </w:rPr>
        <w:t xml:space="preserve">Unemployment rate well above state average </w:t>
      </w:r>
    </w:p>
    <w:p w14:paraId="755FCE88" w14:textId="77777777" w:rsidR="00E06E51" w:rsidRPr="00E06E51" w:rsidRDefault="00E06E51" w:rsidP="00E06E51">
      <w:pPr>
        <w:numPr>
          <w:ilvl w:val="0"/>
          <w:numId w:val="3"/>
        </w:numPr>
        <w:autoSpaceDE w:val="0"/>
        <w:autoSpaceDN w:val="0"/>
        <w:adjustRightInd w:val="0"/>
        <w:ind w:left="540" w:hanging="540"/>
        <w:rPr>
          <w:rFonts w:asciiTheme="minorHAnsi" w:hAnsiTheme="minorHAnsi" w:cstheme="minorHAnsi"/>
          <w:kern w:val="24"/>
        </w:rPr>
      </w:pPr>
      <w:r w:rsidRPr="00E06E51">
        <w:rPr>
          <w:rFonts w:asciiTheme="minorHAnsi" w:hAnsiTheme="minorHAnsi" w:cstheme="minorHAnsi"/>
          <w:kern w:val="24"/>
        </w:rPr>
        <w:t>Most vacancies filled and strong competition for jobs (yet many applicants are considered unsuitable)</w:t>
      </w:r>
    </w:p>
    <w:p w14:paraId="755FCE89" w14:textId="77777777" w:rsidR="00E06E51" w:rsidRPr="00E06E51" w:rsidRDefault="00E06E51" w:rsidP="00E06E51">
      <w:pPr>
        <w:numPr>
          <w:ilvl w:val="0"/>
          <w:numId w:val="3"/>
        </w:numPr>
        <w:autoSpaceDE w:val="0"/>
        <w:autoSpaceDN w:val="0"/>
        <w:adjustRightInd w:val="0"/>
        <w:ind w:left="540" w:hanging="540"/>
        <w:rPr>
          <w:rFonts w:asciiTheme="minorHAnsi" w:hAnsiTheme="minorHAnsi" w:cstheme="minorHAnsi"/>
          <w:kern w:val="24"/>
        </w:rPr>
      </w:pPr>
      <w:r w:rsidRPr="00E06E51">
        <w:rPr>
          <w:rFonts w:asciiTheme="minorHAnsi" w:hAnsiTheme="minorHAnsi" w:cstheme="minorHAnsi"/>
          <w:kern w:val="24"/>
        </w:rPr>
        <w:t>Opportunities are limited and at the higher skill level</w:t>
      </w:r>
    </w:p>
    <w:p w14:paraId="755FCE8A" w14:textId="77777777" w:rsidR="00E06E51" w:rsidRDefault="00E06E51" w:rsidP="00E06E51">
      <w:pPr>
        <w:numPr>
          <w:ilvl w:val="0"/>
          <w:numId w:val="3"/>
        </w:numPr>
        <w:autoSpaceDE w:val="0"/>
        <w:autoSpaceDN w:val="0"/>
        <w:adjustRightInd w:val="0"/>
        <w:ind w:left="540" w:hanging="540"/>
        <w:rPr>
          <w:rFonts w:asciiTheme="minorHAnsi" w:hAnsiTheme="minorHAnsi" w:cstheme="minorHAnsi"/>
          <w:kern w:val="24"/>
        </w:rPr>
      </w:pPr>
      <w:r w:rsidRPr="00E06E51">
        <w:rPr>
          <w:rFonts w:asciiTheme="minorHAnsi" w:hAnsiTheme="minorHAnsi" w:cstheme="minorHAnsi"/>
          <w:kern w:val="24"/>
        </w:rPr>
        <w:t>Disadvantaged groups: jobless families. OTMESC, disengaged youth, Indigenous, less educated</w:t>
      </w:r>
    </w:p>
    <w:p w14:paraId="755FCE8B" w14:textId="77777777" w:rsidR="006076F2" w:rsidRPr="00E06E51" w:rsidRDefault="006076F2" w:rsidP="006076F2">
      <w:pPr>
        <w:autoSpaceDE w:val="0"/>
        <w:autoSpaceDN w:val="0"/>
        <w:adjustRightInd w:val="0"/>
        <w:ind w:left="540"/>
        <w:rPr>
          <w:rFonts w:asciiTheme="minorHAnsi" w:hAnsiTheme="minorHAnsi" w:cstheme="minorHAnsi"/>
          <w:kern w:val="24"/>
        </w:rPr>
      </w:pPr>
    </w:p>
    <w:p w14:paraId="755FCE8C" w14:textId="77777777" w:rsidR="00E06E51" w:rsidRPr="00E06E51" w:rsidRDefault="00E06E51" w:rsidP="00E06E51">
      <w:pPr>
        <w:autoSpaceDE w:val="0"/>
        <w:autoSpaceDN w:val="0"/>
        <w:adjustRightInd w:val="0"/>
        <w:ind w:left="540" w:hanging="540"/>
        <w:rPr>
          <w:rFonts w:asciiTheme="minorHAnsi" w:hAnsiTheme="minorHAnsi" w:cstheme="minorHAnsi"/>
          <w:kern w:val="24"/>
        </w:rPr>
      </w:pPr>
      <w:r w:rsidRPr="00E06E51">
        <w:rPr>
          <w:rFonts w:asciiTheme="minorHAnsi" w:hAnsiTheme="minorHAnsi" w:cstheme="minorHAnsi"/>
          <w:kern w:val="24"/>
          <w:lang w:val="en-US"/>
        </w:rPr>
        <w:t>Job seekers need to be job ready:</w:t>
      </w:r>
    </w:p>
    <w:p w14:paraId="755FCE8D" w14:textId="77777777" w:rsidR="00E06E51" w:rsidRPr="00E06E51" w:rsidRDefault="00E06E51" w:rsidP="00E06E51">
      <w:pPr>
        <w:numPr>
          <w:ilvl w:val="0"/>
          <w:numId w:val="3"/>
        </w:numPr>
        <w:autoSpaceDE w:val="0"/>
        <w:autoSpaceDN w:val="0"/>
        <w:adjustRightInd w:val="0"/>
        <w:ind w:left="1800" w:hanging="360"/>
        <w:rPr>
          <w:rFonts w:asciiTheme="minorHAnsi" w:hAnsiTheme="minorHAnsi" w:cstheme="minorHAnsi"/>
          <w:kern w:val="24"/>
        </w:rPr>
      </w:pPr>
      <w:r w:rsidRPr="00E06E51">
        <w:rPr>
          <w:rFonts w:asciiTheme="minorHAnsi" w:hAnsiTheme="minorHAnsi" w:cstheme="minorHAnsi"/>
          <w:kern w:val="24"/>
        </w:rPr>
        <w:t>education and training, further engagement with employers  about work experience and apprenticeships, literacy and Numeracy (migrants)</w:t>
      </w:r>
    </w:p>
    <w:p w14:paraId="755FCE8E" w14:textId="77777777" w:rsidR="00E06E51" w:rsidRPr="00E06E51" w:rsidRDefault="00E06E51" w:rsidP="00E06E51">
      <w:pPr>
        <w:numPr>
          <w:ilvl w:val="0"/>
          <w:numId w:val="3"/>
        </w:numPr>
        <w:autoSpaceDE w:val="0"/>
        <w:autoSpaceDN w:val="0"/>
        <w:adjustRightInd w:val="0"/>
        <w:ind w:left="1800" w:hanging="360"/>
        <w:rPr>
          <w:rFonts w:asciiTheme="minorHAnsi" w:hAnsiTheme="minorHAnsi" w:cstheme="minorHAnsi"/>
          <w:kern w:val="24"/>
        </w:rPr>
      </w:pPr>
      <w:r w:rsidRPr="00E06E51">
        <w:rPr>
          <w:rFonts w:asciiTheme="minorHAnsi" w:hAnsiTheme="minorHAnsi" w:cstheme="minorHAnsi"/>
          <w:kern w:val="24"/>
        </w:rPr>
        <w:t>relocation as an option</w:t>
      </w:r>
    </w:p>
    <w:p w14:paraId="755FCE8F" w14:textId="77777777" w:rsidR="00E06E51" w:rsidRPr="00E06E51" w:rsidRDefault="00E06E51" w:rsidP="00E06E51">
      <w:pPr>
        <w:autoSpaceDE w:val="0"/>
        <w:autoSpaceDN w:val="0"/>
        <w:adjustRightInd w:val="0"/>
        <w:rPr>
          <w:rFonts w:asciiTheme="minorHAnsi" w:hAnsiTheme="minorHAnsi" w:cstheme="minorHAnsi"/>
          <w:b/>
          <w:bCs/>
          <w:kern w:val="24"/>
          <w:u w:val="single"/>
        </w:rPr>
      </w:pPr>
    </w:p>
    <w:p w14:paraId="755FCE90" w14:textId="77777777" w:rsidR="00E06E51" w:rsidRPr="00E06E51" w:rsidRDefault="00E06E51" w:rsidP="00E06E51">
      <w:pPr>
        <w:autoSpaceDE w:val="0"/>
        <w:autoSpaceDN w:val="0"/>
        <w:adjustRightInd w:val="0"/>
        <w:rPr>
          <w:rFonts w:asciiTheme="minorHAnsi" w:hAnsiTheme="minorHAnsi" w:cstheme="minorHAnsi"/>
          <w:kern w:val="24"/>
        </w:rPr>
      </w:pPr>
    </w:p>
    <w:p w14:paraId="755FCE91" w14:textId="77777777" w:rsidR="00E06E51" w:rsidRPr="00E06E51" w:rsidRDefault="00E06E51" w:rsidP="00E06E51">
      <w:pPr>
        <w:autoSpaceDE w:val="0"/>
        <w:autoSpaceDN w:val="0"/>
        <w:adjustRightInd w:val="0"/>
        <w:rPr>
          <w:rFonts w:asciiTheme="minorHAnsi" w:hAnsiTheme="minorHAnsi" w:cstheme="minorHAnsi"/>
        </w:rPr>
      </w:pPr>
    </w:p>
    <w:p w14:paraId="755FCE92" w14:textId="77777777" w:rsidR="00E06E51" w:rsidRPr="00E06E51" w:rsidRDefault="00E06E51" w:rsidP="00E06E51">
      <w:pPr>
        <w:spacing w:line="360" w:lineRule="auto"/>
        <w:rPr>
          <w:rFonts w:asciiTheme="minorHAnsi" w:hAnsiTheme="minorHAnsi" w:cstheme="minorHAnsi"/>
        </w:rPr>
      </w:pPr>
    </w:p>
    <w:p w14:paraId="755FCE93"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E94"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32</w:t>
      </w:r>
    </w:p>
    <w:p w14:paraId="755FCE95" w14:textId="77777777" w:rsidR="00E06E51" w:rsidRPr="00E06E51" w:rsidRDefault="00E06E51" w:rsidP="00E06E51">
      <w:pPr>
        <w:spacing w:line="360" w:lineRule="auto"/>
        <w:rPr>
          <w:rFonts w:asciiTheme="minorHAnsi" w:hAnsiTheme="minorHAnsi" w:cstheme="minorHAnsi"/>
        </w:rPr>
      </w:pPr>
    </w:p>
    <w:p w14:paraId="755FCE96" w14:textId="77777777" w:rsidR="00E06E51" w:rsidRPr="00E06E51" w:rsidRDefault="006076F2" w:rsidP="00E06E51">
      <w:pPr>
        <w:spacing w:line="360" w:lineRule="auto"/>
        <w:jc w:val="center"/>
        <w:rPr>
          <w:rFonts w:asciiTheme="minorHAnsi" w:hAnsiTheme="minorHAnsi" w:cstheme="minorHAnsi"/>
        </w:rPr>
      </w:pPr>
      <w:r>
        <w:object w:dxaOrig="5415" w:dyaOrig="4050" w14:anchorId="755FCECC">
          <v:shape id="_x0000_i1056" type="#_x0000_t75" style="width:270.75pt;height:202.5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56" DrawAspect="Content" ObjectID="_1425820975" r:id="rId72"/>
        </w:object>
      </w:r>
    </w:p>
    <w:p w14:paraId="755FCE97" w14:textId="77777777" w:rsidR="00E06E51" w:rsidRPr="00E06E51" w:rsidRDefault="00E06E51" w:rsidP="00E06E51">
      <w:pPr>
        <w:spacing w:line="360" w:lineRule="auto"/>
        <w:jc w:val="center"/>
        <w:rPr>
          <w:rFonts w:asciiTheme="minorHAnsi" w:hAnsiTheme="minorHAnsi" w:cstheme="minorHAnsi"/>
        </w:rPr>
      </w:pPr>
    </w:p>
    <w:p w14:paraId="755FCE98" w14:textId="77777777" w:rsidR="00E06E51" w:rsidRPr="00E06E51" w:rsidRDefault="00E06E51" w:rsidP="00E06E51">
      <w:pPr>
        <w:autoSpaceDE w:val="0"/>
        <w:autoSpaceDN w:val="0"/>
        <w:adjustRightInd w:val="0"/>
        <w:rPr>
          <w:rFonts w:asciiTheme="minorHAnsi" w:hAnsiTheme="minorHAnsi" w:cstheme="minorHAnsi"/>
          <w:b/>
          <w:bCs/>
          <w:kern w:val="24"/>
          <w:u w:val="single"/>
        </w:rPr>
      </w:pPr>
      <w:r w:rsidRPr="00E06E51">
        <w:rPr>
          <w:rFonts w:asciiTheme="minorHAnsi" w:hAnsiTheme="minorHAnsi" w:cstheme="minorHAnsi"/>
          <w:b/>
          <w:bCs/>
          <w:kern w:val="24"/>
          <w:u w:val="single"/>
        </w:rPr>
        <w:t>Further Information</w:t>
      </w:r>
    </w:p>
    <w:p w14:paraId="755FCE99" w14:textId="77777777" w:rsidR="00E06E51" w:rsidRPr="00E06E51" w:rsidRDefault="00E06E51" w:rsidP="00E06E51">
      <w:pPr>
        <w:autoSpaceDE w:val="0"/>
        <w:autoSpaceDN w:val="0"/>
        <w:adjustRightInd w:val="0"/>
        <w:rPr>
          <w:rFonts w:asciiTheme="minorHAnsi" w:hAnsiTheme="minorHAnsi" w:cstheme="minorHAnsi"/>
          <w:b/>
          <w:bCs/>
          <w:kern w:val="24"/>
          <w:u w:val="single"/>
        </w:rPr>
      </w:pPr>
    </w:p>
    <w:p w14:paraId="755FCE9A" w14:textId="77777777" w:rsidR="006076F2" w:rsidRDefault="006076F2" w:rsidP="006076F2">
      <w:pPr>
        <w:autoSpaceDE w:val="0"/>
        <w:autoSpaceDN w:val="0"/>
        <w:adjustRightInd w:val="0"/>
        <w:rPr>
          <w:rFonts w:ascii="Calibri" w:hAnsi="Calibri" w:cs="Calibri"/>
          <w:color w:val="000000"/>
          <w:kern w:val="24"/>
        </w:rPr>
      </w:pPr>
      <w:r>
        <w:rPr>
          <w:rFonts w:ascii="Calibri" w:hAnsi="Calibri" w:cs="Calibri"/>
          <w:color w:val="000000"/>
          <w:kern w:val="24"/>
        </w:rPr>
        <w:t>More information on labour market conditions and other research on small areas can be found on these websites:</w:t>
      </w:r>
    </w:p>
    <w:p w14:paraId="755FCE9B" w14:textId="77777777" w:rsidR="006076F2" w:rsidRDefault="006076F2" w:rsidP="006076F2">
      <w:pPr>
        <w:autoSpaceDE w:val="0"/>
        <w:autoSpaceDN w:val="0"/>
        <w:adjustRightInd w:val="0"/>
        <w:rPr>
          <w:rFonts w:ascii="Calibri" w:hAnsi="Calibri" w:cs="Calibri"/>
          <w:color w:val="000000"/>
          <w:kern w:val="24"/>
        </w:rPr>
      </w:pPr>
    </w:p>
    <w:p w14:paraId="755FCE9C" w14:textId="77777777" w:rsidR="006076F2" w:rsidRDefault="006076F2" w:rsidP="006076F2">
      <w:pPr>
        <w:numPr>
          <w:ilvl w:val="0"/>
          <w:numId w:val="1"/>
        </w:numPr>
        <w:autoSpaceDE w:val="0"/>
        <w:autoSpaceDN w:val="0"/>
        <w:adjustRightInd w:val="0"/>
        <w:ind w:left="1170" w:hanging="450"/>
        <w:rPr>
          <w:rFonts w:ascii="Calibri" w:hAnsi="Calibri" w:cs="Calibri"/>
          <w:color w:val="000000"/>
          <w:kern w:val="24"/>
        </w:rPr>
      </w:pPr>
      <w:r>
        <w:rPr>
          <w:rFonts w:ascii="Calibri" w:hAnsi="Calibri" w:cs="Calibri"/>
          <w:color w:val="000000"/>
          <w:kern w:val="24"/>
        </w:rPr>
        <w:t>www.deewr.gov.au/LMIP</w:t>
      </w:r>
    </w:p>
    <w:p w14:paraId="755FCE9D" w14:textId="77777777" w:rsidR="006076F2" w:rsidRDefault="006076F2" w:rsidP="006076F2">
      <w:pPr>
        <w:numPr>
          <w:ilvl w:val="0"/>
          <w:numId w:val="1"/>
        </w:numPr>
        <w:autoSpaceDE w:val="0"/>
        <w:autoSpaceDN w:val="0"/>
        <w:adjustRightInd w:val="0"/>
        <w:ind w:left="1170" w:hanging="450"/>
        <w:rPr>
          <w:rFonts w:ascii="Calibri" w:hAnsi="Calibri" w:cs="Calibri"/>
          <w:color w:val="000000"/>
          <w:kern w:val="24"/>
        </w:rPr>
      </w:pPr>
      <w:r>
        <w:rPr>
          <w:rFonts w:ascii="Calibri" w:hAnsi="Calibri" w:cs="Calibri"/>
          <w:color w:val="000000"/>
          <w:kern w:val="24"/>
        </w:rPr>
        <w:t>www.deewr.gov.au/SkillShortages</w:t>
      </w:r>
    </w:p>
    <w:p w14:paraId="755FCE9E" w14:textId="77777777" w:rsidR="006076F2" w:rsidRDefault="006076F2" w:rsidP="006076F2">
      <w:pPr>
        <w:numPr>
          <w:ilvl w:val="0"/>
          <w:numId w:val="1"/>
        </w:numPr>
        <w:autoSpaceDE w:val="0"/>
        <w:autoSpaceDN w:val="0"/>
        <w:adjustRightInd w:val="0"/>
        <w:ind w:left="1170" w:hanging="450"/>
        <w:rPr>
          <w:rFonts w:ascii="Calibri" w:hAnsi="Calibri" w:cs="Calibri"/>
          <w:color w:val="000000"/>
          <w:kern w:val="24"/>
        </w:rPr>
      </w:pPr>
      <w:r>
        <w:rPr>
          <w:rFonts w:ascii="Calibri" w:hAnsi="Calibri" w:cs="Calibri"/>
          <w:color w:val="000000"/>
          <w:kern w:val="24"/>
        </w:rPr>
        <w:t>www.deewr.gov.au/RegionalReports</w:t>
      </w:r>
    </w:p>
    <w:p w14:paraId="755FCE9F" w14:textId="77777777" w:rsidR="006076F2" w:rsidRDefault="006076F2" w:rsidP="006076F2">
      <w:pPr>
        <w:numPr>
          <w:ilvl w:val="0"/>
          <w:numId w:val="1"/>
        </w:numPr>
        <w:autoSpaceDE w:val="0"/>
        <w:autoSpaceDN w:val="0"/>
        <w:adjustRightInd w:val="0"/>
        <w:ind w:left="1170" w:hanging="450"/>
        <w:rPr>
          <w:rFonts w:ascii="Calibri" w:hAnsi="Calibri" w:cs="Calibri"/>
          <w:color w:val="000000"/>
          <w:kern w:val="24"/>
        </w:rPr>
      </w:pPr>
      <w:r w:rsidRPr="006076F2">
        <w:rPr>
          <w:rFonts w:ascii="Calibri" w:hAnsi="Calibri" w:cs="Calibri"/>
          <w:color w:val="000000"/>
          <w:kern w:val="24"/>
        </w:rPr>
        <w:t>www.deewr.gov.au/australianjobs</w:t>
      </w:r>
    </w:p>
    <w:p w14:paraId="755FCEA0" w14:textId="77777777" w:rsidR="006076F2" w:rsidRPr="006076F2" w:rsidRDefault="006076F2" w:rsidP="006076F2">
      <w:pPr>
        <w:numPr>
          <w:ilvl w:val="0"/>
          <w:numId w:val="1"/>
        </w:numPr>
        <w:autoSpaceDE w:val="0"/>
        <w:autoSpaceDN w:val="0"/>
        <w:adjustRightInd w:val="0"/>
        <w:ind w:left="1170" w:hanging="450"/>
        <w:rPr>
          <w:rFonts w:ascii="Calibri" w:hAnsi="Calibri" w:cs="Calibri"/>
          <w:color w:val="000000"/>
          <w:kern w:val="24"/>
        </w:rPr>
      </w:pPr>
      <w:r w:rsidRPr="006076F2">
        <w:rPr>
          <w:rFonts w:asciiTheme="minorHAnsi" w:hAnsiTheme="minorHAnsi" w:cstheme="minorHAnsi"/>
          <w:color w:val="000000"/>
          <w:kern w:val="24"/>
        </w:rPr>
        <w:t>www.deewr.gov.au/news/aussie-jobs</w:t>
      </w:r>
    </w:p>
    <w:p w14:paraId="755FCEA1" w14:textId="77777777" w:rsidR="006076F2" w:rsidRDefault="006076F2" w:rsidP="006076F2">
      <w:pPr>
        <w:numPr>
          <w:ilvl w:val="0"/>
          <w:numId w:val="1"/>
        </w:numPr>
        <w:autoSpaceDE w:val="0"/>
        <w:autoSpaceDN w:val="0"/>
        <w:adjustRightInd w:val="0"/>
        <w:ind w:left="1170" w:hanging="450"/>
        <w:rPr>
          <w:rFonts w:ascii="Calibri" w:hAnsi="Calibri" w:cs="Calibri"/>
          <w:color w:val="000000"/>
          <w:kern w:val="24"/>
        </w:rPr>
      </w:pPr>
      <w:r>
        <w:rPr>
          <w:rFonts w:ascii="Calibri" w:hAnsi="Calibri" w:cs="Calibri"/>
          <w:color w:val="000000"/>
          <w:kern w:val="24"/>
        </w:rPr>
        <w:t>www.joboutlook.gov.au</w:t>
      </w:r>
    </w:p>
    <w:p w14:paraId="755FCEA2" w14:textId="77777777" w:rsidR="006076F2" w:rsidRDefault="006076F2" w:rsidP="006076F2">
      <w:pPr>
        <w:autoSpaceDE w:val="0"/>
        <w:autoSpaceDN w:val="0"/>
        <w:adjustRightInd w:val="0"/>
        <w:rPr>
          <w:rFonts w:ascii="Calibri" w:hAnsi="Calibri" w:cs="Calibri"/>
          <w:color w:val="000000"/>
          <w:kern w:val="24"/>
        </w:rPr>
      </w:pPr>
    </w:p>
    <w:p w14:paraId="755FCEA3" w14:textId="77777777" w:rsidR="006076F2" w:rsidRDefault="006076F2" w:rsidP="006076F2">
      <w:pPr>
        <w:autoSpaceDE w:val="0"/>
        <w:autoSpaceDN w:val="0"/>
        <w:adjustRightInd w:val="0"/>
        <w:rPr>
          <w:rFonts w:ascii="Calibri" w:hAnsi="Calibri" w:cs="Calibri"/>
          <w:color w:val="000000"/>
          <w:kern w:val="24"/>
        </w:rPr>
      </w:pPr>
      <w:r>
        <w:rPr>
          <w:rFonts w:ascii="Calibri" w:hAnsi="Calibri" w:cs="Calibri"/>
          <w:color w:val="000000"/>
          <w:kern w:val="24"/>
        </w:rPr>
        <w:t>A report on the survey findings for the Greater Shepparton LGA and North Eastern Victoria Priority Employment Area will be placed on the regional reports section of the DEEWR&gt;Regional Reports website.</w:t>
      </w:r>
    </w:p>
    <w:p w14:paraId="755FCEA4" w14:textId="77777777" w:rsidR="00E06E51" w:rsidRPr="00E06E51" w:rsidRDefault="00E06E51" w:rsidP="00E06E51">
      <w:pPr>
        <w:autoSpaceDE w:val="0"/>
        <w:autoSpaceDN w:val="0"/>
        <w:adjustRightInd w:val="0"/>
        <w:rPr>
          <w:rFonts w:asciiTheme="minorHAnsi" w:hAnsiTheme="minorHAnsi" w:cstheme="minorHAnsi"/>
        </w:rPr>
      </w:pPr>
    </w:p>
    <w:p w14:paraId="755FCEA5" w14:textId="77777777" w:rsidR="00E06E51" w:rsidRPr="00E06E51" w:rsidRDefault="00E06E51" w:rsidP="00E06E51">
      <w:pPr>
        <w:spacing w:line="360" w:lineRule="auto"/>
        <w:rPr>
          <w:rFonts w:asciiTheme="minorHAnsi" w:hAnsiTheme="minorHAnsi" w:cstheme="minorHAnsi"/>
        </w:rPr>
      </w:pPr>
    </w:p>
    <w:p w14:paraId="755FCEA6" w14:textId="77777777" w:rsidR="00E06E51" w:rsidRPr="00E06E51" w:rsidRDefault="00E06E51">
      <w:pPr>
        <w:rPr>
          <w:rFonts w:asciiTheme="minorHAnsi" w:hAnsiTheme="minorHAnsi" w:cstheme="minorHAnsi"/>
        </w:rPr>
      </w:pPr>
      <w:r w:rsidRPr="00E06E51">
        <w:rPr>
          <w:rFonts w:asciiTheme="minorHAnsi" w:hAnsiTheme="minorHAnsi" w:cstheme="minorHAnsi"/>
        </w:rPr>
        <w:br w:type="page"/>
      </w:r>
    </w:p>
    <w:p w14:paraId="755FCEA7" w14:textId="77777777" w:rsidR="00E06E51" w:rsidRPr="00E06E51" w:rsidRDefault="00E06E51" w:rsidP="00E06E51">
      <w:pPr>
        <w:spacing w:line="360" w:lineRule="auto"/>
        <w:rPr>
          <w:rFonts w:asciiTheme="minorHAnsi" w:hAnsiTheme="minorHAnsi" w:cstheme="minorHAnsi"/>
        </w:rPr>
      </w:pPr>
      <w:r w:rsidRPr="00E06E51">
        <w:rPr>
          <w:rFonts w:asciiTheme="minorHAnsi" w:hAnsiTheme="minorHAnsi" w:cstheme="minorHAnsi"/>
        </w:rPr>
        <w:lastRenderedPageBreak/>
        <w:t>Slide 33</w:t>
      </w:r>
    </w:p>
    <w:p w14:paraId="755FCEA8" w14:textId="77777777" w:rsidR="00E06E51" w:rsidRPr="00E06E51" w:rsidRDefault="00E06E51" w:rsidP="00E06E51">
      <w:pPr>
        <w:spacing w:line="360" w:lineRule="auto"/>
        <w:rPr>
          <w:rFonts w:asciiTheme="minorHAnsi" w:hAnsiTheme="minorHAnsi" w:cstheme="minorHAnsi"/>
        </w:rPr>
      </w:pPr>
    </w:p>
    <w:p w14:paraId="755FCEA9" w14:textId="77777777" w:rsidR="00E06E51" w:rsidRPr="00E06E51" w:rsidRDefault="00E06E51" w:rsidP="00E06E51">
      <w:pPr>
        <w:spacing w:line="360" w:lineRule="auto"/>
        <w:jc w:val="center"/>
        <w:rPr>
          <w:rFonts w:asciiTheme="minorHAnsi" w:hAnsiTheme="minorHAnsi" w:cstheme="minorHAnsi"/>
        </w:rPr>
      </w:pPr>
      <w:r w:rsidRPr="00E06E51">
        <w:rPr>
          <w:rFonts w:asciiTheme="minorHAnsi" w:hAnsiTheme="minorHAnsi" w:cstheme="minorHAnsi"/>
        </w:rPr>
        <w:object w:dxaOrig="7216" w:dyaOrig="5409" w14:anchorId="755FCECD">
          <v:shape id="_x0000_i1057" type="#_x0000_t75" style="width:270.75pt;height:202.5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12" ShapeID="_x0000_i1057" DrawAspect="Content" ObjectID="_1425820976" r:id="rId74"/>
        </w:object>
      </w:r>
    </w:p>
    <w:p w14:paraId="755FCEAA" w14:textId="77777777" w:rsidR="00E06E51" w:rsidRPr="00E06E51" w:rsidRDefault="00E06E51" w:rsidP="00E06E51">
      <w:pPr>
        <w:spacing w:line="360" w:lineRule="auto"/>
        <w:jc w:val="center"/>
        <w:rPr>
          <w:rFonts w:asciiTheme="minorHAnsi" w:hAnsiTheme="minorHAnsi" w:cstheme="minorHAnsi"/>
        </w:rPr>
      </w:pPr>
    </w:p>
    <w:p w14:paraId="755FCEAB" w14:textId="77777777" w:rsidR="00E06E51" w:rsidRPr="00E06E51" w:rsidRDefault="00E06E51" w:rsidP="00E06E51">
      <w:pPr>
        <w:spacing w:line="360" w:lineRule="auto"/>
        <w:rPr>
          <w:rFonts w:asciiTheme="minorHAnsi" w:hAnsiTheme="minorHAnsi" w:cstheme="minorHAnsi"/>
        </w:rPr>
      </w:pPr>
    </w:p>
    <w:p w14:paraId="755FCEAC" w14:textId="77777777" w:rsidR="00E06E51" w:rsidRPr="00E06E51" w:rsidRDefault="00E06E51" w:rsidP="00E06E51">
      <w:pPr>
        <w:spacing w:line="360" w:lineRule="auto"/>
        <w:rPr>
          <w:rFonts w:asciiTheme="minorHAnsi" w:hAnsiTheme="minorHAnsi" w:cstheme="minorHAnsi"/>
        </w:rPr>
      </w:pPr>
    </w:p>
    <w:sectPr w:rsidR="00E06E51" w:rsidRPr="00E06E51" w:rsidSect="0044203F">
      <w:pgSz w:w="11906" w:h="16838" w:code="9"/>
      <w:pgMar w:top="1418" w:right="1134" w:bottom="1418" w:left="1418"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1B0A5F2"/>
    <w:lvl w:ilvl="0">
      <w:numFmt w:val="bullet"/>
      <w:lvlText w:val="*"/>
      <w:lvlJc w:val="left"/>
    </w:lvl>
  </w:abstractNum>
  <w:num w:numId="1">
    <w:abstractNumId w:val="0"/>
    <w:lvlOverride w:ilvl="0">
      <w:lvl w:ilvl="0">
        <w:numFmt w:val="bullet"/>
        <w:lvlText w:val="•"/>
        <w:legacy w:legacy="1" w:legacySpace="0" w:legacyIndent="0"/>
        <w:lvlJc w:val="left"/>
        <w:rPr>
          <w:rFonts w:ascii="Calibri" w:hAnsi="Calibri" w:cs="Calibri" w:hint="default"/>
          <w:sz w:val="24"/>
        </w:rPr>
      </w:lvl>
    </w:lvlOverride>
  </w:num>
  <w:num w:numId="2">
    <w:abstractNumId w:val="0"/>
    <w:lvlOverride w:ilvl="0">
      <w:lvl w:ilvl="0">
        <w:numFmt w:val="bullet"/>
        <w:lvlText w:val="–"/>
        <w:legacy w:legacy="1" w:legacySpace="0" w:legacyIndent="0"/>
        <w:lvlJc w:val="left"/>
        <w:rPr>
          <w:rFonts w:ascii="Calibri" w:hAnsi="Calibri" w:cs="Calibri" w:hint="default"/>
          <w:sz w:val="24"/>
        </w:rPr>
      </w:lvl>
    </w:lvlOverride>
  </w:num>
  <w:num w:numId="3">
    <w:abstractNumId w:val="0"/>
    <w:lvlOverride w:ilvl="0">
      <w:lvl w:ilvl="0">
        <w:numFmt w:val="bullet"/>
        <w:lvlText w:val="•"/>
        <w:legacy w:legacy="1" w:legacySpace="0" w:legacyIndent="0"/>
        <w:lvlJc w:val="left"/>
        <w:rPr>
          <w:rFonts w:ascii="Arial" w:hAnsi="Arial" w:cs="Arial"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E51"/>
    <w:rsid w:val="002F4CAC"/>
    <w:rsid w:val="003431A0"/>
    <w:rsid w:val="0044203F"/>
    <w:rsid w:val="006076F2"/>
    <w:rsid w:val="00AF3DA1"/>
    <w:rsid w:val="00C33767"/>
    <w:rsid w:val="00D16FCF"/>
    <w:rsid w:val="00E06E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9"/>
    <o:shapelayout v:ext="edit">
      <o:idmap v:ext="edit" data="1"/>
    </o:shapelayout>
  </w:shapeDefaults>
  <w:decimalSymbol w:val="."/>
  <w:listSeparator w:val=","/>
  <w14:docId w14:val="755FC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076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076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80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PowerPoint_Slide5.sldx"/><Relationship Id="rId26" Type="http://schemas.openxmlformats.org/officeDocument/2006/relationships/package" Target="embeddings/Microsoft_PowerPoint_Slide9.sld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PowerPoint_Slide13.sldx"/><Relationship Id="rId42" Type="http://schemas.openxmlformats.org/officeDocument/2006/relationships/package" Target="embeddings/Microsoft_PowerPoint_Slide17.sldx"/><Relationship Id="rId47" Type="http://schemas.openxmlformats.org/officeDocument/2006/relationships/image" Target="media/image20.emf"/><Relationship Id="rId50" Type="http://schemas.openxmlformats.org/officeDocument/2006/relationships/package" Target="embeddings/Microsoft_PowerPoint_Slide21.sldx"/><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package" Target="embeddings/Microsoft_PowerPoint_Slide30.sldx"/><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2.emf"/><Relationship Id="rId2" Type="http://schemas.openxmlformats.org/officeDocument/2006/relationships/customXml" Target="../customXml/item2.xml"/><Relationship Id="rId16" Type="http://schemas.openxmlformats.org/officeDocument/2006/relationships/package" Target="embeddings/Microsoft_PowerPoint_Slide4.sldx"/><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package" Target="embeddings/Microsoft_PowerPoint_Slide8.sldx"/><Relationship Id="rId32" Type="http://schemas.openxmlformats.org/officeDocument/2006/relationships/package" Target="embeddings/Microsoft_PowerPoint_Slide12.sldx"/><Relationship Id="rId37" Type="http://schemas.openxmlformats.org/officeDocument/2006/relationships/image" Target="media/image15.emf"/><Relationship Id="rId40" Type="http://schemas.openxmlformats.org/officeDocument/2006/relationships/package" Target="embeddings/Microsoft_PowerPoint_Slide16.sld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PowerPoint_Slide25.sldx"/><Relationship Id="rId66" Type="http://schemas.openxmlformats.org/officeDocument/2006/relationships/package" Target="embeddings/Microsoft_PowerPoint_Slide29.sldx"/><Relationship Id="rId74" Type="http://schemas.openxmlformats.org/officeDocument/2006/relationships/package" Target="embeddings/Microsoft_PowerPoint_Slide33.sldx"/><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10.sldx"/><Relationship Id="rId36" Type="http://schemas.openxmlformats.org/officeDocument/2006/relationships/package" Target="embeddings/Microsoft_PowerPoint_Slide14.sldx"/><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image" Target="media/image27.emf"/><Relationship Id="rId10" Type="http://schemas.openxmlformats.org/officeDocument/2006/relationships/package" Target="embeddings/Microsoft_PowerPoint_Slide1.sldx"/><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package" Target="embeddings/Microsoft_PowerPoint_Slide18.sldx"/><Relationship Id="rId52" Type="http://schemas.openxmlformats.org/officeDocument/2006/relationships/package" Target="embeddings/Microsoft_PowerPoint_Slide22.sldx"/><Relationship Id="rId60" Type="http://schemas.openxmlformats.org/officeDocument/2006/relationships/package" Target="embeddings/Microsoft_PowerPoint_Slide26.sldx"/><Relationship Id="rId65" Type="http://schemas.openxmlformats.org/officeDocument/2006/relationships/image" Target="media/image29.emf"/><Relationship Id="rId73" Type="http://schemas.openxmlformats.org/officeDocument/2006/relationships/image" Target="media/image33.emf"/><Relationship Id="rId4" Type="http://schemas.openxmlformats.org/officeDocument/2006/relationships/numbering" Target="numbering.xml"/><Relationship Id="rId9" Type="http://schemas.openxmlformats.org/officeDocument/2006/relationships/image" Target="media/image1.emf"/><Relationship Id="rId14" Type="http://schemas.openxmlformats.org/officeDocument/2006/relationships/package" Target="embeddings/Microsoft_PowerPoint_Slide3.sldx"/><Relationship Id="rId22" Type="http://schemas.openxmlformats.org/officeDocument/2006/relationships/package" Target="embeddings/Microsoft_PowerPoint_Slide7.sldx"/><Relationship Id="rId27" Type="http://schemas.openxmlformats.org/officeDocument/2006/relationships/image" Target="media/image10.emf"/><Relationship Id="rId30" Type="http://schemas.openxmlformats.org/officeDocument/2006/relationships/package" Target="embeddings/Microsoft_PowerPoint_Slide11.sl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PowerPoint_Slide20.sldx"/><Relationship Id="rId56" Type="http://schemas.openxmlformats.org/officeDocument/2006/relationships/package" Target="embeddings/Microsoft_PowerPoint_Slide24.sldx"/><Relationship Id="rId64" Type="http://schemas.openxmlformats.org/officeDocument/2006/relationships/package" Target="embeddings/Microsoft_PowerPoint_Slide28.sldx"/><Relationship Id="rId69" Type="http://schemas.openxmlformats.org/officeDocument/2006/relationships/image" Target="media/image31.emf"/><Relationship Id="rId8" Type="http://schemas.openxmlformats.org/officeDocument/2006/relationships/webSettings" Target="webSettings.xml"/><Relationship Id="rId51" Type="http://schemas.openxmlformats.org/officeDocument/2006/relationships/image" Target="media/image22.emf"/><Relationship Id="rId72" Type="http://schemas.openxmlformats.org/officeDocument/2006/relationships/package" Target="embeddings/Microsoft_PowerPoint_Slide32.sldx"/><Relationship Id="rId3" Type="http://schemas.openxmlformats.org/officeDocument/2006/relationships/customXml" Target="../customXml/item3.xml"/><Relationship Id="rId12" Type="http://schemas.openxmlformats.org/officeDocument/2006/relationships/package" Target="embeddings/Microsoft_PowerPoint_Slide2.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PowerPoint_Slide15.sldx"/><Relationship Id="rId46" Type="http://schemas.openxmlformats.org/officeDocument/2006/relationships/package" Target="embeddings/Microsoft_PowerPoint_Slide19.sld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PowerPoint_Slide6.sldx"/><Relationship Id="rId41" Type="http://schemas.openxmlformats.org/officeDocument/2006/relationships/image" Target="media/image17.emf"/><Relationship Id="rId54" Type="http://schemas.openxmlformats.org/officeDocument/2006/relationships/package" Target="embeddings/Microsoft_PowerPoint_Slide23.sldx"/><Relationship Id="rId62" Type="http://schemas.openxmlformats.org/officeDocument/2006/relationships/package" Target="embeddings/Microsoft_PowerPoint_Slide27.sldx"/><Relationship Id="rId70" Type="http://schemas.openxmlformats.org/officeDocument/2006/relationships/package" Target="embeddings/Microsoft_PowerPoint_Slide31.sldx"/><Relationship Id="rId75"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091A16-C02D-4078-8D01-268980844AC9}">
  <ds:schemaRefs>
    <ds:schemaRef ds:uri="http://schemas.microsoft.com/office/2006/documentManagement/types"/>
    <ds:schemaRef ds:uri="http://www.w3.org/XML/1998/namespace"/>
    <ds:schemaRef ds:uri="http://schemas.microsoft.com/office/2006/metadata/properties"/>
    <ds:schemaRef ds:uri="http://purl.org/dc/elements/1.1/"/>
    <ds:schemaRef ds:uri="http://schemas.openxmlformats.org/package/2006/metadata/core-properties"/>
    <ds:schemaRef ds:uri="http://purl.org/dc/dcmityp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009D8B27-52B8-43DC-90D6-8D4BECA16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16E16B0-2EF1-4D12-AADA-E6CF02D7B2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9C187B35.dotm</Template>
  <TotalTime>0</TotalTime>
  <Pages>33</Pages>
  <Words>3884</Words>
  <Characters>22142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25975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Alanna Hewlett</dc:creator>
  <cp:lastModifiedBy>Melissa Beban</cp:lastModifiedBy>
  <cp:revision>2</cp:revision>
  <dcterms:created xsi:type="dcterms:W3CDTF">2013-03-26T05:33:00Z</dcterms:created>
  <dcterms:modified xsi:type="dcterms:W3CDTF">2013-03-26T05:33:00Z</dcterms:modified>
</cp:coreProperties>
</file>