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CBB" w:rsidRDefault="008B4F3F" w:rsidP="008B4F3F">
      <w:pPr>
        <w:spacing w:line="360" w:lineRule="auto"/>
      </w:pPr>
      <w:r>
        <w:t>Slide 1</w:t>
      </w:r>
    </w:p>
    <w:p w:rsidR="008B4F3F" w:rsidRDefault="008B4F3F" w:rsidP="008B4F3F">
      <w:pPr>
        <w:spacing w:line="360" w:lineRule="auto"/>
        <w:jc w:val="center"/>
      </w:pPr>
      <w:r>
        <w:object w:dxaOrig="721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35pt;height:203.1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5" DrawAspect="Content" ObjectID="_1428298520" r:id="rId7"/>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roofErr w:type="gramStart"/>
      <w:r>
        <w:rPr>
          <w:rFonts w:ascii="Calibri" w:hAnsi="Calibri" w:cs="Calibri"/>
          <w:color w:val="000000"/>
          <w:kern w:val="24"/>
          <w:sz w:val="24"/>
          <w:szCs w:val="24"/>
        </w:rPr>
        <w:t>Survey of Employers’ Recruitment Experiences in the Sydney West and Blue Mountains Priority Employment Area (PEA).</w:t>
      </w:r>
      <w:proofErr w:type="gramEnd"/>
      <w:r>
        <w:rPr>
          <w:rFonts w:ascii="Calibri" w:hAnsi="Calibri" w:cs="Calibri"/>
          <w:color w:val="000000"/>
          <w:kern w:val="24"/>
          <w:sz w:val="24"/>
          <w:szCs w:val="24"/>
        </w:rPr>
        <w:t xml:space="preserve"> This area was surveyed in November 2012. </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Presenter: Ivan Neville, Branch Manager, Labour Market Research and Analysis Branch</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Australian Government</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Department of Education, Employment and Workplace Relations</w:t>
      </w: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2</w:t>
      </w:r>
    </w:p>
    <w:p w:rsidR="008B4F3F" w:rsidRDefault="008B4F3F" w:rsidP="008B4F3F">
      <w:pPr>
        <w:spacing w:line="360" w:lineRule="auto"/>
        <w:jc w:val="center"/>
      </w:pPr>
      <w:r>
        <w:object w:dxaOrig="7216" w:dyaOrig="5409">
          <v:shape id="_x0000_i1026" type="#_x0000_t75" style="width:270.35pt;height:203.1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6" DrawAspect="Content" ObjectID="_1428298521" r:id="rId9"/>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Map of Sydney West and Blue Mountains PEA</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This map shows the Sydney West and Blue Mountains Priority Employment Area (PEA) and surrounds. The PEA comprises two Labour Force Regions: North Western Sydney (light brown) and Central Western Sydney (gold).</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Local Government Areas in the Sydney West and Blue Mountains PEA</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The PEA comprises seven Local Government Areas, as shown on the right hand side:</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Auburn</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Blacktown</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Blue Mountains</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Hawkesbury</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Holroyd</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Parramatta</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Penrith</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3</w:t>
      </w:r>
    </w:p>
    <w:p w:rsidR="008B4F3F" w:rsidRDefault="008B4F3F" w:rsidP="008B4F3F">
      <w:pPr>
        <w:spacing w:line="360" w:lineRule="auto"/>
        <w:jc w:val="center"/>
      </w:pPr>
      <w:r>
        <w:object w:dxaOrig="7216" w:dyaOrig="5409">
          <v:shape id="_x0000_i1027" type="#_x0000_t75" style="width:270.35pt;height:203.1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7" DrawAspect="Content" ObjectID="_1428298522" r:id="rId11"/>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Times New Roman" w:cs="Calibri"/>
          <w:color w:val="000000"/>
          <w:kern w:val="24"/>
          <w:sz w:val="24"/>
          <w:szCs w:val="24"/>
        </w:rPr>
      </w:pPr>
      <w:r>
        <w:rPr>
          <w:rFonts w:ascii="Calibri" w:hAnsi="Times New Roman" w:cs="Calibri"/>
          <w:b/>
          <w:bCs/>
          <w:color w:val="000000"/>
          <w:kern w:val="24"/>
          <w:sz w:val="24"/>
          <w:szCs w:val="24"/>
          <w:u w:val="single"/>
        </w:rPr>
        <w:t>Sydney West and Blue Mountains Priority Employment Area:</w:t>
      </w:r>
    </w:p>
    <w:p w:rsidR="008B4F3F" w:rsidRDefault="008B4F3F" w:rsidP="008B4F3F">
      <w:pPr>
        <w:autoSpaceDE w:val="0"/>
        <w:autoSpaceDN w:val="0"/>
        <w:adjustRightInd w:val="0"/>
        <w:spacing w:after="0" w:line="240" w:lineRule="auto"/>
        <w:rPr>
          <w:rFonts w:ascii="Calibri" w:hAnsi="Times New Roman" w:cs="Calibri"/>
          <w:color w:val="000000"/>
          <w:kern w:val="24"/>
          <w:sz w:val="24"/>
          <w:szCs w:val="24"/>
        </w:rPr>
      </w:pPr>
      <w:r>
        <w:rPr>
          <w:rFonts w:ascii="Calibri" w:hAnsi="Calibri" w:cs="Calibri"/>
          <w:i/>
          <w:iCs/>
          <w:color w:val="000000"/>
          <w:kern w:val="24"/>
          <w:sz w:val="24"/>
          <w:szCs w:val="24"/>
        </w:rPr>
        <w:t xml:space="preserve">Source: </w:t>
      </w:r>
      <w:r>
        <w:rPr>
          <w:rFonts w:ascii="Calibri" w:hAnsi="Calibri" w:cs="Calibri"/>
          <w:color w:val="000000"/>
          <w:kern w:val="24"/>
          <w:sz w:val="24"/>
          <w:szCs w:val="24"/>
        </w:rPr>
        <w:t xml:space="preserve">ABS, </w:t>
      </w:r>
      <w:r>
        <w:rPr>
          <w:rFonts w:ascii="Calibri" w:hAnsi="Calibri" w:cs="Calibri"/>
          <w:i/>
          <w:iCs/>
          <w:color w:val="000000"/>
          <w:kern w:val="24"/>
          <w:sz w:val="24"/>
          <w:szCs w:val="24"/>
        </w:rPr>
        <w:t xml:space="preserve">Estimated Residential Population, </w:t>
      </w:r>
      <w:r>
        <w:rPr>
          <w:rFonts w:ascii="Calibri" w:hAnsi="Calibri" w:cs="Calibri"/>
          <w:color w:val="000000"/>
          <w:kern w:val="24"/>
          <w:sz w:val="24"/>
          <w:szCs w:val="24"/>
        </w:rPr>
        <w:t>2011</w:t>
      </w:r>
      <w:r>
        <w:rPr>
          <w:rFonts w:ascii="Calibri" w:hAnsi="Calibri" w:cs="Calibri"/>
          <w:i/>
          <w:iCs/>
          <w:color w:val="000000"/>
          <w:kern w:val="24"/>
          <w:sz w:val="24"/>
          <w:szCs w:val="24"/>
        </w:rPr>
        <w:t xml:space="preserve">; </w:t>
      </w:r>
      <w:r>
        <w:rPr>
          <w:rFonts w:ascii="Calibri" w:hAnsi="Calibri" w:cs="Calibri"/>
          <w:color w:val="000000"/>
          <w:kern w:val="24"/>
          <w:sz w:val="24"/>
          <w:szCs w:val="24"/>
        </w:rPr>
        <w:t>ABS</w:t>
      </w:r>
      <w:r>
        <w:rPr>
          <w:rFonts w:ascii="Calibri" w:hAnsi="Calibri" w:cs="Calibri"/>
          <w:i/>
          <w:iCs/>
          <w:color w:val="000000"/>
          <w:kern w:val="24"/>
          <w:sz w:val="24"/>
          <w:szCs w:val="24"/>
        </w:rPr>
        <w:t xml:space="preserve">, Census of Population and Housing, </w:t>
      </w:r>
      <w:r>
        <w:rPr>
          <w:rFonts w:ascii="Calibri" w:hAnsi="Calibri" w:cs="Calibri"/>
          <w:color w:val="000000"/>
          <w:kern w:val="24"/>
          <w:sz w:val="24"/>
          <w:szCs w:val="24"/>
        </w:rPr>
        <w:t>2011</w:t>
      </w:r>
      <w:r>
        <w:rPr>
          <w:rFonts w:ascii="Calibri" w:hAnsi="Calibri" w:cs="Calibri"/>
          <w:i/>
          <w:iCs/>
          <w:color w:val="000000"/>
          <w:kern w:val="24"/>
          <w:sz w:val="24"/>
          <w:szCs w:val="24"/>
        </w:rPr>
        <w:t>.</w:t>
      </w:r>
      <w:r>
        <w:rPr>
          <w:rFonts w:ascii="Calibri" w:hAnsi="Times New Roman" w:cs="Calibri"/>
          <w:color w:val="000000"/>
          <w:kern w:val="24"/>
          <w:sz w:val="24"/>
          <w:szCs w:val="24"/>
        </w:rPr>
        <w:t> </w:t>
      </w:r>
    </w:p>
    <w:p w:rsidR="008B4F3F" w:rsidRDefault="008B4F3F" w:rsidP="008B4F3F">
      <w:pPr>
        <w:autoSpaceDE w:val="0"/>
        <w:autoSpaceDN w:val="0"/>
        <w:adjustRightInd w:val="0"/>
        <w:spacing w:after="0" w:line="240" w:lineRule="auto"/>
        <w:rPr>
          <w:rFonts w:ascii="Calibri" w:hAnsi="Times New Roman" w:cs="Calibri"/>
          <w:color w:val="000000"/>
          <w:kern w:val="24"/>
          <w:sz w:val="24"/>
          <w:szCs w:val="24"/>
        </w:rPr>
      </w:pPr>
    </w:p>
    <w:p w:rsidR="008B4F3F" w:rsidRDefault="008B4F3F" w:rsidP="008B4F3F">
      <w:pPr>
        <w:numPr>
          <w:ilvl w:val="0"/>
          <w:numId w:val="1"/>
        </w:numPr>
        <w:autoSpaceDE w:val="0"/>
        <w:autoSpaceDN w:val="0"/>
        <w:adjustRightInd w:val="0"/>
        <w:spacing w:after="0" w:line="240" w:lineRule="auto"/>
        <w:ind w:left="260" w:hanging="260"/>
        <w:rPr>
          <w:rFonts w:ascii="Calibri" w:hAnsi="Times New Roman" w:cs="Calibri"/>
          <w:color w:val="000000"/>
          <w:kern w:val="24"/>
          <w:sz w:val="24"/>
          <w:szCs w:val="24"/>
        </w:rPr>
      </w:pPr>
      <w:r>
        <w:rPr>
          <w:rFonts w:ascii="Calibri" w:hAnsi="Times New Roman" w:cs="Calibri"/>
          <w:color w:val="000000"/>
          <w:kern w:val="24"/>
          <w:sz w:val="24"/>
          <w:szCs w:val="24"/>
        </w:rPr>
        <w:t>The Sydney West and Blue Mountains PEA has experienced strong population growth between 2006 and 2011 (11 per cent)</w:t>
      </w:r>
    </w:p>
    <w:p w:rsidR="008B4F3F" w:rsidRDefault="008B4F3F" w:rsidP="008B4F3F">
      <w:pPr>
        <w:numPr>
          <w:ilvl w:val="0"/>
          <w:numId w:val="1"/>
        </w:numPr>
        <w:autoSpaceDE w:val="0"/>
        <w:autoSpaceDN w:val="0"/>
        <w:adjustRightInd w:val="0"/>
        <w:spacing w:after="0" w:line="240" w:lineRule="auto"/>
        <w:ind w:left="260" w:hanging="260"/>
        <w:rPr>
          <w:rFonts w:ascii="Calibri" w:hAnsi="Times New Roman" w:cs="Calibri"/>
          <w:color w:val="000000"/>
          <w:kern w:val="24"/>
          <w:sz w:val="24"/>
          <w:szCs w:val="24"/>
        </w:rPr>
      </w:pPr>
      <w:r>
        <w:rPr>
          <w:rFonts w:ascii="Calibri" w:hAnsi="Times New Roman" w:cs="Calibri"/>
          <w:color w:val="000000"/>
          <w:kern w:val="24"/>
          <w:sz w:val="24"/>
          <w:szCs w:val="24"/>
        </w:rPr>
        <w:t>The median age of the PEA, at 34 years, is younger than the State (38 years) and national averages (37 years)</w:t>
      </w:r>
    </w:p>
    <w:p w:rsidR="008B4F3F" w:rsidRDefault="008B4F3F" w:rsidP="008B4F3F">
      <w:pPr>
        <w:numPr>
          <w:ilvl w:val="0"/>
          <w:numId w:val="1"/>
        </w:numPr>
        <w:autoSpaceDE w:val="0"/>
        <w:autoSpaceDN w:val="0"/>
        <w:adjustRightInd w:val="0"/>
        <w:spacing w:after="0" w:line="240" w:lineRule="auto"/>
        <w:ind w:left="955" w:hanging="260"/>
        <w:rPr>
          <w:rFonts w:ascii="Calibri" w:hAnsi="Times New Roman" w:cs="Calibri"/>
          <w:color w:val="000000"/>
          <w:kern w:val="24"/>
          <w:sz w:val="24"/>
          <w:szCs w:val="24"/>
        </w:rPr>
      </w:pPr>
      <w:r>
        <w:rPr>
          <w:rFonts w:ascii="Calibri" w:hAnsi="Times New Roman" w:cs="Calibri"/>
          <w:color w:val="000000"/>
          <w:kern w:val="24"/>
          <w:sz w:val="24"/>
          <w:szCs w:val="24"/>
        </w:rPr>
        <w:t>The Blue Mountains LGA stands out as a much older area, with a median age of 42 years</w:t>
      </w:r>
    </w:p>
    <w:p w:rsidR="008B4F3F" w:rsidRDefault="008B4F3F" w:rsidP="008B4F3F">
      <w:pPr>
        <w:numPr>
          <w:ilvl w:val="0"/>
          <w:numId w:val="1"/>
        </w:numPr>
        <w:autoSpaceDE w:val="0"/>
        <w:autoSpaceDN w:val="0"/>
        <w:adjustRightInd w:val="0"/>
        <w:spacing w:after="0" w:line="240" w:lineRule="auto"/>
        <w:ind w:left="260" w:hanging="260"/>
        <w:rPr>
          <w:rFonts w:ascii="Calibri" w:hAnsi="Times New Roman" w:cs="Calibri"/>
          <w:color w:val="000000"/>
          <w:kern w:val="24"/>
          <w:sz w:val="24"/>
          <w:szCs w:val="24"/>
        </w:rPr>
      </w:pPr>
      <w:r>
        <w:rPr>
          <w:rFonts w:ascii="Calibri" w:hAnsi="Times New Roman" w:cs="Calibri"/>
          <w:color w:val="000000"/>
          <w:kern w:val="24"/>
          <w:sz w:val="24"/>
          <w:szCs w:val="24"/>
        </w:rPr>
        <w:t>More than one third (36 per cent) of the working age population is from an Other Than Main English Speaking Country (OTMESC)</w:t>
      </w:r>
    </w:p>
    <w:p w:rsidR="008B4F3F" w:rsidRDefault="008B4F3F" w:rsidP="008B4F3F">
      <w:pPr>
        <w:numPr>
          <w:ilvl w:val="0"/>
          <w:numId w:val="1"/>
        </w:numPr>
        <w:autoSpaceDE w:val="0"/>
        <w:autoSpaceDN w:val="0"/>
        <w:adjustRightInd w:val="0"/>
        <w:spacing w:after="0" w:line="240" w:lineRule="auto"/>
        <w:ind w:left="955" w:hanging="260"/>
        <w:rPr>
          <w:rFonts w:ascii="Calibri" w:hAnsi="Times New Roman" w:cs="Calibri"/>
          <w:color w:val="000000"/>
          <w:kern w:val="24"/>
          <w:sz w:val="24"/>
          <w:szCs w:val="24"/>
        </w:rPr>
      </w:pPr>
      <w:r>
        <w:rPr>
          <w:rFonts w:ascii="Calibri" w:hAnsi="Times New Roman" w:cs="Calibri"/>
          <w:color w:val="000000"/>
          <w:kern w:val="24"/>
          <w:sz w:val="24"/>
          <w:szCs w:val="24"/>
        </w:rPr>
        <w:t>The Auburn LGA has a large proportion of its working age population from OTMESC countries (at 69 per cent)</w:t>
      </w: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4</w:t>
      </w:r>
    </w:p>
    <w:p w:rsidR="008B4F3F" w:rsidRDefault="008B4F3F" w:rsidP="008B4F3F">
      <w:pPr>
        <w:spacing w:line="360" w:lineRule="auto"/>
        <w:jc w:val="center"/>
      </w:pPr>
      <w:r>
        <w:object w:dxaOrig="7216" w:dyaOrig="5409">
          <v:shape id="_x0000_i1028" type="#_x0000_t75" style="width:270.35pt;height:203.1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8" DrawAspect="Content" ObjectID="_1428298523" r:id="rId13"/>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Unemployment Rate:</w:t>
      </w:r>
    </w:p>
    <w:p w:rsidR="008B4F3F" w:rsidRDefault="008B4F3F" w:rsidP="008B4F3F">
      <w:pPr>
        <w:autoSpaceDE w:val="0"/>
        <w:autoSpaceDN w:val="0"/>
        <w:adjustRightInd w:val="0"/>
        <w:spacing w:after="0" w:line="240" w:lineRule="auto"/>
        <w:rPr>
          <w:rFonts w:ascii="Calibri" w:hAnsi="Calibri" w:cs="Calibri"/>
          <w:i/>
          <w:iCs/>
          <w:color w:val="000000"/>
          <w:kern w:val="24"/>
          <w:sz w:val="24"/>
          <w:szCs w:val="24"/>
        </w:rPr>
      </w:pPr>
      <w:r>
        <w:rPr>
          <w:rFonts w:ascii="Calibri" w:hAnsi="Calibri" w:cs="Calibri"/>
          <w:i/>
          <w:iCs/>
          <w:color w:val="000000"/>
          <w:kern w:val="24"/>
          <w:sz w:val="24"/>
          <w:szCs w:val="24"/>
        </w:rPr>
        <w:t xml:space="preserve">Source: ABS Labour Force, Electronic Delivery, cat. </w:t>
      </w:r>
      <w:proofErr w:type="gramStart"/>
      <w:r>
        <w:rPr>
          <w:rFonts w:ascii="Calibri" w:hAnsi="Calibri" w:cs="Calibri"/>
          <w:i/>
          <w:iCs/>
          <w:color w:val="000000"/>
          <w:kern w:val="24"/>
          <w:sz w:val="24"/>
          <w:szCs w:val="24"/>
        </w:rPr>
        <w:t>no. 6291.0.55.001, March 2012, 12-month averages of original data.</w:t>
      </w:r>
      <w:proofErr w:type="gramEnd"/>
      <w:r>
        <w:rPr>
          <w:rFonts w:ascii="Calibri" w:hAnsi="Calibri" w:cs="Calibri"/>
          <w:i/>
          <w:iCs/>
          <w:color w:val="000000"/>
          <w:kern w:val="24"/>
          <w:sz w:val="24"/>
          <w:szCs w:val="24"/>
        </w:rPr>
        <w:t xml:space="preserve"> </w:t>
      </w:r>
      <w:r>
        <w:rPr>
          <w:rFonts w:ascii="Calibri" w:hAnsi="Calibri" w:cs="Calibri"/>
          <w:color w:val="000000"/>
          <w:kern w:val="24"/>
          <w:sz w:val="24"/>
          <w:szCs w:val="24"/>
        </w:rPr>
        <w:t xml:space="preserve">The Sydney West and Blue Mountains PEA </w:t>
      </w:r>
      <w:proofErr w:type="gramStart"/>
      <w:r>
        <w:rPr>
          <w:rFonts w:ascii="Calibri" w:hAnsi="Calibri" w:cs="Calibri"/>
          <w:color w:val="000000"/>
          <w:kern w:val="24"/>
          <w:sz w:val="24"/>
          <w:szCs w:val="24"/>
        </w:rPr>
        <w:t>is</w:t>
      </w:r>
      <w:proofErr w:type="gramEnd"/>
      <w:r>
        <w:rPr>
          <w:rFonts w:ascii="Calibri" w:hAnsi="Calibri" w:cs="Calibri"/>
          <w:color w:val="000000"/>
          <w:kern w:val="24"/>
          <w:sz w:val="24"/>
          <w:szCs w:val="24"/>
        </w:rPr>
        <w:t xml:space="preserve"> approximated by the Central Western Sydney an</w:t>
      </w:r>
      <w:bookmarkStart w:id="0" w:name="_GoBack"/>
      <w:bookmarkEnd w:id="0"/>
      <w:r>
        <w:rPr>
          <w:rFonts w:ascii="Calibri" w:hAnsi="Calibri" w:cs="Calibri"/>
          <w:color w:val="000000"/>
          <w:kern w:val="24"/>
          <w:sz w:val="24"/>
          <w:szCs w:val="24"/>
        </w:rPr>
        <w:t>d North Western Sydney LFRs.</w:t>
      </w:r>
    </w:p>
    <w:p w:rsidR="008B4F3F" w:rsidRDefault="008B4F3F" w:rsidP="008B4F3F">
      <w:pPr>
        <w:autoSpaceDE w:val="0"/>
        <w:autoSpaceDN w:val="0"/>
        <w:adjustRightInd w:val="0"/>
        <w:spacing w:after="0" w:line="240" w:lineRule="auto"/>
        <w:rPr>
          <w:rFonts w:ascii="Calibri" w:hAnsi="Calibri" w:cs="Calibri"/>
          <w:i/>
          <w:iCs/>
          <w:color w:val="000000"/>
          <w:kern w:val="24"/>
          <w:sz w:val="24"/>
          <w:szCs w:val="24"/>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The unemployment rate in the PEA has typically remained above that in Sydney.</w:t>
      </w: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5</w:t>
      </w:r>
    </w:p>
    <w:p w:rsidR="008B4F3F" w:rsidRDefault="008B4F3F" w:rsidP="008B4F3F">
      <w:pPr>
        <w:spacing w:line="360" w:lineRule="auto"/>
        <w:jc w:val="center"/>
      </w:pPr>
      <w:r>
        <w:object w:dxaOrig="7216" w:dyaOrig="5409">
          <v:shape id="_x0000_i1029" type="#_x0000_t75" style="width:270.35pt;height:203.1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9" DrawAspect="Content" ObjectID="_1428298524" r:id="rId15"/>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Unemployment Rate by Local Government Area:</w:t>
      </w:r>
    </w:p>
    <w:p w:rsidR="008B4F3F" w:rsidRDefault="008B4F3F" w:rsidP="008B4F3F">
      <w:pPr>
        <w:autoSpaceDE w:val="0"/>
        <w:autoSpaceDN w:val="0"/>
        <w:adjustRightInd w:val="0"/>
        <w:spacing w:after="0" w:line="240" w:lineRule="auto"/>
        <w:rPr>
          <w:rFonts w:ascii="Calibri" w:hAnsi="Calibri" w:cs="Calibri"/>
          <w:i/>
          <w:iCs/>
          <w:color w:val="000000"/>
          <w:kern w:val="24"/>
          <w:sz w:val="24"/>
          <w:szCs w:val="24"/>
        </w:rPr>
      </w:pPr>
      <w:r>
        <w:rPr>
          <w:rFonts w:ascii="Calibri" w:hAnsi="Calibri" w:cs="Calibri"/>
          <w:i/>
          <w:iCs/>
          <w:color w:val="000000"/>
          <w:kern w:val="24"/>
          <w:sz w:val="24"/>
          <w:szCs w:val="24"/>
        </w:rPr>
        <w:t>Source:</w:t>
      </w:r>
      <w:r>
        <w:rPr>
          <w:rFonts w:ascii="Calibri" w:hAnsi="Calibri" w:cs="Calibri"/>
          <w:color w:val="000000"/>
          <w:kern w:val="24"/>
          <w:sz w:val="24"/>
          <w:szCs w:val="24"/>
        </w:rPr>
        <w:t xml:space="preserve"> </w:t>
      </w:r>
      <w:r>
        <w:rPr>
          <w:rFonts w:ascii="Calibri" w:hAnsi="Calibri" w:cs="Calibri"/>
          <w:i/>
          <w:iCs/>
          <w:color w:val="000000"/>
          <w:kern w:val="24"/>
          <w:sz w:val="24"/>
          <w:szCs w:val="24"/>
        </w:rPr>
        <w:t>DEEWR Small Area Labour Markets, December 2012</w:t>
      </w:r>
    </w:p>
    <w:p w:rsidR="008B4F3F" w:rsidRDefault="008B4F3F" w:rsidP="008B4F3F">
      <w:pPr>
        <w:autoSpaceDE w:val="0"/>
        <w:autoSpaceDN w:val="0"/>
        <w:adjustRightInd w:val="0"/>
        <w:spacing w:after="0" w:line="240" w:lineRule="auto"/>
        <w:rPr>
          <w:rFonts w:ascii="Calibri" w:hAnsi="Calibri" w:cs="Calibri"/>
          <w:i/>
          <w:iCs/>
          <w:color w:val="000000"/>
          <w:kern w:val="24"/>
          <w:sz w:val="24"/>
          <w:szCs w:val="24"/>
        </w:rPr>
      </w:pPr>
    </w:p>
    <w:p w:rsidR="008B4F3F" w:rsidRDefault="008B4F3F" w:rsidP="008B4F3F">
      <w:pPr>
        <w:numPr>
          <w:ilvl w:val="0"/>
          <w:numId w:val="1"/>
        </w:numPr>
        <w:autoSpaceDE w:val="0"/>
        <w:autoSpaceDN w:val="0"/>
        <w:adjustRightInd w:val="0"/>
        <w:spacing w:after="0" w:line="240" w:lineRule="auto"/>
        <w:ind w:left="260" w:hanging="260"/>
        <w:rPr>
          <w:rFonts w:ascii="Calibri" w:hAnsi="Times New Roman" w:cs="Calibri"/>
          <w:color w:val="000000"/>
          <w:kern w:val="24"/>
          <w:sz w:val="24"/>
          <w:szCs w:val="24"/>
        </w:rPr>
      </w:pPr>
      <w:r>
        <w:rPr>
          <w:rFonts w:ascii="Calibri" w:hAnsi="Times New Roman" w:cs="Calibri"/>
          <w:color w:val="000000"/>
          <w:kern w:val="24"/>
          <w:sz w:val="24"/>
          <w:szCs w:val="24"/>
        </w:rPr>
        <w:t>Although the PEA has an unemployment rate comparable with the State and national averages, some pockets of disadvantage exist.</w:t>
      </w:r>
    </w:p>
    <w:p w:rsidR="008B4F3F" w:rsidRDefault="008B4F3F" w:rsidP="008B4F3F">
      <w:pPr>
        <w:numPr>
          <w:ilvl w:val="0"/>
          <w:numId w:val="1"/>
        </w:numPr>
        <w:autoSpaceDE w:val="0"/>
        <w:autoSpaceDN w:val="0"/>
        <w:adjustRightInd w:val="0"/>
        <w:spacing w:after="0" w:line="240" w:lineRule="auto"/>
        <w:ind w:left="955" w:hanging="260"/>
        <w:rPr>
          <w:rFonts w:ascii="Calibri" w:hAnsi="Times New Roman" w:cs="Calibri"/>
          <w:color w:val="000000"/>
          <w:kern w:val="24"/>
          <w:sz w:val="24"/>
          <w:szCs w:val="24"/>
        </w:rPr>
      </w:pPr>
      <w:r>
        <w:rPr>
          <w:rFonts w:ascii="Calibri" w:hAnsi="Times New Roman" w:cs="Calibri"/>
          <w:color w:val="000000"/>
          <w:kern w:val="24"/>
          <w:sz w:val="24"/>
          <w:szCs w:val="24"/>
        </w:rPr>
        <w:t>Auburn LGA (8.2 per cent)</w:t>
      </w:r>
    </w:p>
    <w:p w:rsidR="008B4F3F" w:rsidRDefault="008B4F3F" w:rsidP="008B4F3F">
      <w:pPr>
        <w:numPr>
          <w:ilvl w:val="0"/>
          <w:numId w:val="1"/>
        </w:numPr>
        <w:autoSpaceDE w:val="0"/>
        <w:autoSpaceDN w:val="0"/>
        <w:adjustRightInd w:val="0"/>
        <w:spacing w:after="0" w:line="240" w:lineRule="auto"/>
        <w:ind w:left="955" w:hanging="260"/>
        <w:rPr>
          <w:rFonts w:ascii="Calibri" w:hAnsi="Times New Roman" w:cs="Calibri"/>
          <w:i/>
          <w:iCs/>
          <w:color w:val="000000"/>
          <w:kern w:val="24"/>
          <w:sz w:val="24"/>
          <w:szCs w:val="24"/>
        </w:rPr>
      </w:pPr>
      <w:r>
        <w:rPr>
          <w:rFonts w:ascii="Calibri" w:hAnsi="Times New Roman" w:cs="Calibri"/>
          <w:i/>
          <w:iCs/>
          <w:color w:val="000000"/>
          <w:kern w:val="24"/>
          <w:sz w:val="24"/>
          <w:szCs w:val="24"/>
        </w:rPr>
        <w:t xml:space="preserve">Blacktown </w:t>
      </w:r>
      <w:r>
        <w:rPr>
          <w:rFonts w:ascii="Calibri" w:hAnsi="Times New Roman" w:cs="Calibri"/>
          <w:i/>
          <w:iCs/>
          <w:color w:val="000000"/>
          <w:kern w:val="24"/>
          <w:sz w:val="24"/>
          <w:szCs w:val="24"/>
        </w:rPr>
        <w:t>–</w:t>
      </w:r>
      <w:r>
        <w:rPr>
          <w:rFonts w:ascii="Calibri" w:hAnsi="Times New Roman" w:cs="Calibri"/>
          <w:i/>
          <w:iCs/>
          <w:color w:val="000000"/>
          <w:kern w:val="24"/>
          <w:sz w:val="24"/>
          <w:szCs w:val="24"/>
        </w:rPr>
        <w:t xml:space="preserve"> South-West  SLA (9.9 per cent)</w:t>
      </w:r>
    </w:p>
    <w:p w:rsidR="008B4F3F" w:rsidRDefault="008B4F3F" w:rsidP="008B4F3F">
      <w:pPr>
        <w:numPr>
          <w:ilvl w:val="0"/>
          <w:numId w:val="1"/>
        </w:numPr>
        <w:autoSpaceDE w:val="0"/>
        <w:autoSpaceDN w:val="0"/>
        <w:adjustRightInd w:val="0"/>
        <w:spacing w:after="0" w:line="240" w:lineRule="auto"/>
        <w:ind w:left="955" w:hanging="260"/>
        <w:rPr>
          <w:rFonts w:ascii="Calibri" w:hAnsi="Times New Roman" w:cs="Calibri"/>
          <w:i/>
          <w:iCs/>
          <w:color w:val="000000"/>
          <w:kern w:val="24"/>
          <w:sz w:val="24"/>
          <w:szCs w:val="24"/>
        </w:rPr>
      </w:pPr>
      <w:r>
        <w:rPr>
          <w:rFonts w:ascii="Calibri" w:hAnsi="Times New Roman" w:cs="Calibri"/>
          <w:i/>
          <w:iCs/>
          <w:color w:val="000000"/>
          <w:kern w:val="24"/>
          <w:sz w:val="24"/>
          <w:szCs w:val="24"/>
        </w:rPr>
        <w:t xml:space="preserve">Parramatta </w:t>
      </w:r>
      <w:r>
        <w:rPr>
          <w:rFonts w:ascii="Calibri" w:hAnsi="Times New Roman" w:cs="Calibri"/>
          <w:i/>
          <w:iCs/>
          <w:color w:val="000000"/>
          <w:kern w:val="24"/>
          <w:sz w:val="24"/>
          <w:szCs w:val="24"/>
        </w:rPr>
        <w:t>–</w:t>
      </w:r>
      <w:r>
        <w:rPr>
          <w:rFonts w:ascii="Calibri" w:hAnsi="Times New Roman" w:cs="Calibri"/>
          <w:i/>
          <w:iCs/>
          <w:color w:val="000000"/>
          <w:kern w:val="24"/>
          <w:sz w:val="24"/>
          <w:szCs w:val="24"/>
        </w:rPr>
        <w:t xml:space="preserve"> South SLA (9.5 per cent)</w:t>
      </w: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6</w:t>
      </w:r>
    </w:p>
    <w:p w:rsidR="008B4F3F" w:rsidRDefault="008B4F3F" w:rsidP="008B4F3F">
      <w:pPr>
        <w:spacing w:line="360" w:lineRule="auto"/>
        <w:jc w:val="center"/>
      </w:pPr>
      <w:r>
        <w:object w:dxaOrig="7216" w:dyaOrig="5409">
          <v:shape id="_x0000_i1030" type="#_x0000_t75" style="width:270.35pt;height:203.1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30" DrawAspect="Content" ObjectID="_1428298525" r:id="rId17"/>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Employment Growth:</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i/>
          <w:iCs/>
          <w:color w:val="000000"/>
          <w:kern w:val="24"/>
          <w:sz w:val="24"/>
          <w:szCs w:val="24"/>
        </w:rPr>
        <w:t xml:space="preserve">Source: </w:t>
      </w:r>
      <w:r>
        <w:rPr>
          <w:rFonts w:ascii="Calibri" w:hAnsi="Calibri" w:cs="Calibri"/>
          <w:color w:val="000000"/>
          <w:kern w:val="24"/>
          <w:sz w:val="24"/>
          <w:szCs w:val="24"/>
        </w:rPr>
        <w:t xml:space="preserve">ABS, </w:t>
      </w:r>
      <w:r>
        <w:rPr>
          <w:rFonts w:ascii="Calibri" w:hAnsi="Calibri" w:cs="Calibri"/>
          <w:i/>
          <w:iCs/>
          <w:color w:val="000000"/>
          <w:kern w:val="24"/>
          <w:sz w:val="24"/>
          <w:szCs w:val="24"/>
        </w:rPr>
        <w:t xml:space="preserve">Labour Force, Electronic Delivery, cat. no. 6291.0.55.001, March 2013, 12-month averages of original data; </w:t>
      </w:r>
      <w:r>
        <w:rPr>
          <w:rFonts w:ascii="Calibri" w:hAnsi="Calibri" w:cs="Calibri"/>
          <w:color w:val="000000"/>
          <w:kern w:val="24"/>
          <w:sz w:val="24"/>
          <w:szCs w:val="24"/>
        </w:rPr>
        <w:t xml:space="preserve">ABS, </w:t>
      </w:r>
      <w:r>
        <w:rPr>
          <w:rFonts w:ascii="Calibri" w:hAnsi="Calibri" w:cs="Calibri"/>
          <w:i/>
          <w:iCs/>
          <w:color w:val="000000"/>
          <w:kern w:val="24"/>
          <w:sz w:val="24"/>
          <w:szCs w:val="24"/>
        </w:rPr>
        <w:t xml:space="preserve">Labour Force, Electronic Delivery, cat. </w:t>
      </w:r>
      <w:proofErr w:type="gramStart"/>
      <w:r>
        <w:rPr>
          <w:rFonts w:ascii="Calibri" w:hAnsi="Calibri" w:cs="Calibri"/>
          <w:i/>
          <w:iCs/>
          <w:color w:val="000000"/>
          <w:kern w:val="24"/>
          <w:sz w:val="24"/>
          <w:szCs w:val="24"/>
        </w:rPr>
        <w:t>no. 6291.0.55.003, February 2013, four-quarter averages of original data.</w:t>
      </w:r>
      <w:proofErr w:type="gramEnd"/>
      <w:r>
        <w:rPr>
          <w:rFonts w:ascii="Calibri" w:hAnsi="Calibri" w:cs="Calibri"/>
          <w:i/>
          <w:iCs/>
          <w:color w:val="000000"/>
          <w:kern w:val="24"/>
          <w:sz w:val="24"/>
          <w:szCs w:val="24"/>
        </w:rPr>
        <w:t xml:space="preserve"> </w:t>
      </w:r>
      <w:r>
        <w:rPr>
          <w:rFonts w:ascii="Calibri" w:hAnsi="Calibri" w:cs="Calibri"/>
          <w:color w:val="000000"/>
          <w:kern w:val="24"/>
          <w:sz w:val="24"/>
          <w:szCs w:val="24"/>
        </w:rPr>
        <w:t xml:space="preserve">The Sydney West and Blue Mountains PEA </w:t>
      </w:r>
      <w:proofErr w:type="gramStart"/>
      <w:r>
        <w:rPr>
          <w:rFonts w:ascii="Calibri" w:hAnsi="Calibri" w:cs="Calibri"/>
          <w:color w:val="000000"/>
          <w:kern w:val="24"/>
          <w:sz w:val="24"/>
          <w:szCs w:val="24"/>
        </w:rPr>
        <w:t>is</w:t>
      </w:r>
      <w:proofErr w:type="gramEnd"/>
      <w:r>
        <w:rPr>
          <w:rFonts w:ascii="Calibri" w:hAnsi="Calibri" w:cs="Calibri"/>
          <w:color w:val="000000"/>
          <w:kern w:val="24"/>
          <w:sz w:val="24"/>
          <w:szCs w:val="24"/>
        </w:rPr>
        <w:t xml:space="preserve"> approximated by the Central Western Sydney and North Western Sydney LFRs.</w:t>
      </w:r>
    </w:p>
    <w:p w:rsidR="008B4F3F" w:rsidRDefault="008B4F3F" w:rsidP="008B4F3F">
      <w:pPr>
        <w:autoSpaceDE w:val="0"/>
        <w:autoSpaceDN w:val="0"/>
        <w:adjustRightInd w:val="0"/>
        <w:spacing w:after="0" w:line="240" w:lineRule="auto"/>
        <w:rPr>
          <w:rFonts w:ascii="Calibri" w:hAnsi="Calibri" w:cs="Calibri"/>
          <w:i/>
          <w:iCs/>
          <w:color w:val="000000"/>
          <w:kern w:val="24"/>
          <w:sz w:val="24"/>
          <w:szCs w:val="24"/>
        </w:rPr>
      </w:pP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Employment growth for people who live in the Sydney West and Blue Mountains PEA was 1.7 per cent, slightly above Sydney (1.4 per cent)</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Higher rate of employment growth in part-time employment (3.6 per cent) compared with full-time employment (1.0 per cent)</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Employment in higher skilled occupations (Managers, Professionals, Technicians and Trades Workers) rose by 10,700 (or 5 per cent) over the year to the February quarter 2013. By contrast, employment in lower skilled occupations (Sales Workers, Machinery Operators and Drivers, Labourers) fell by 2500 (or 2 per cent) over the same period</w:t>
      </w: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7</w:t>
      </w:r>
    </w:p>
    <w:p w:rsidR="008B4F3F" w:rsidRDefault="008B4F3F" w:rsidP="008B4F3F">
      <w:pPr>
        <w:spacing w:line="360" w:lineRule="auto"/>
        <w:jc w:val="center"/>
      </w:pPr>
      <w:r>
        <w:object w:dxaOrig="7216" w:dyaOrig="5409">
          <v:shape id="_x0000_i1031" type="#_x0000_t75" style="width:270.35pt;height:203.1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31" DrawAspect="Content" ObjectID="_1428298526" r:id="rId19"/>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Vulnerable people</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i/>
          <w:iCs/>
          <w:color w:val="000000"/>
          <w:kern w:val="24"/>
          <w:sz w:val="24"/>
          <w:szCs w:val="24"/>
        </w:rPr>
        <w:t xml:space="preserve">Source: </w:t>
      </w:r>
      <w:r>
        <w:rPr>
          <w:rFonts w:ascii="Calibri" w:hAnsi="Calibri" w:cs="Calibri"/>
          <w:color w:val="000000"/>
          <w:kern w:val="24"/>
          <w:sz w:val="24"/>
          <w:szCs w:val="24"/>
        </w:rPr>
        <w:t>ABS</w:t>
      </w:r>
      <w:r>
        <w:rPr>
          <w:rFonts w:ascii="Calibri" w:hAnsi="Calibri" w:cs="Calibri"/>
          <w:i/>
          <w:iCs/>
          <w:color w:val="000000"/>
          <w:kern w:val="24"/>
          <w:sz w:val="24"/>
          <w:szCs w:val="24"/>
        </w:rPr>
        <w:t xml:space="preserve">, Census of Population and Housing, </w:t>
      </w:r>
      <w:r>
        <w:rPr>
          <w:rFonts w:ascii="Calibri" w:hAnsi="Calibri" w:cs="Calibri"/>
          <w:color w:val="000000"/>
          <w:kern w:val="24"/>
          <w:sz w:val="24"/>
          <w:szCs w:val="24"/>
        </w:rPr>
        <w:t>2011</w:t>
      </w:r>
      <w:r>
        <w:rPr>
          <w:rFonts w:ascii="Calibri" w:hAnsi="Calibri" w:cs="Calibri"/>
          <w:i/>
          <w:iCs/>
          <w:color w:val="000000"/>
          <w:kern w:val="24"/>
          <w:sz w:val="24"/>
          <w:szCs w:val="24"/>
        </w:rPr>
        <w:t xml:space="preserve">; </w:t>
      </w:r>
      <w:r>
        <w:rPr>
          <w:rFonts w:ascii="Calibri" w:hAnsi="Calibri" w:cs="Calibri"/>
          <w:color w:val="000000"/>
          <w:kern w:val="24"/>
          <w:sz w:val="24"/>
          <w:szCs w:val="24"/>
        </w:rPr>
        <w:t>ABS</w:t>
      </w:r>
      <w:r>
        <w:rPr>
          <w:rFonts w:ascii="Calibri" w:hAnsi="Calibri" w:cs="Calibri"/>
          <w:i/>
          <w:iCs/>
          <w:color w:val="000000"/>
          <w:kern w:val="24"/>
          <w:sz w:val="24"/>
          <w:szCs w:val="24"/>
        </w:rPr>
        <w:t xml:space="preserve">, Labour Force, Australia, Detailed - Electronic Delivery, </w:t>
      </w:r>
      <w:r>
        <w:rPr>
          <w:rFonts w:ascii="Calibri" w:hAnsi="Calibri" w:cs="Calibri"/>
          <w:color w:val="000000"/>
          <w:kern w:val="24"/>
          <w:sz w:val="24"/>
          <w:szCs w:val="24"/>
        </w:rPr>
        <w:t>March 2013</w:t>
      </w:r>
      <w:r>
        <w:rPr>
          <w:rFonts w:ascii="Calibri" w:hAnsi="Calibri" w:cs="Calibri"/>
          <w:i/>
          <w:iCs/>
          <w:color w:val="000000"/>
          <w:kern w:val="24"/>
          <w:sz w:val="24"/>
          <w:szCs w:val="24"/>
        </w:rPr>
        <w:t xml:space="preserve">, (cat. no. 6291.0.55.001), </w:t>
      </w:r>
      <w:r>
        <w:rPr>
          <w:rFonts w:ascii="Calibri" w:hAnsi="Calibri" w:cs="Calibri"/>
          <w:color w:val="000000"/>
          <w:kern w:val="24"/>
          <w:sz w:val="24"/>
          <w:szCs w:val="24"/>
        </w:rPr>
        <w:t xml:space="preserve">12-month averages of </w:t>
      </w:r>
      <w:r>
        <w:rPr>
          <w:rFonts w:ascii="Calibri" w:hAnsi="Calibri" w:cs="Calibri"/>
          <w:i/>
          <w:iCs/>
          <w:color w:val="000000"/>
          <w:kern w:val="24"/>
          <w:sz w:val="24"/>
          <w:szCs w:val="24"/>
        </w:rPr>
        <w:t>original</w:t>
      </w:r>
      <w:r>
        <w:rPr>
          <w:rFonts w:ascii="Calibri" w:hAnsi="Calibri" w:cs="Calibri"/>
          <w:color w:val="000000"/>
          <w:kern w:val="24"/>
          <w:sz w:val="24"/>
          <w:szCs w:val="24"/>
        </w:rPr>
        <w:t xml:space="preserve"> data</w:t>
      </w:r>
      <w:r>
        <w:rPr>
          <w:rFonts w:ascii="Calibri" w:hAnsi="Calibri" w:cs="Calibri"/>
          <w:i/>
          <w:iCs/>
          <w:color w:val="000000"/>
          <w:kern w:val="24"/>
          <w:sz w:val="24"/>
          <w:szCs w:val="24"/>
        </w:rPr>
        <w:t xml:space="preserve">; DEEWR Administrative Data, </w:t>
      </w:r>
      <w:r>
        <w:rPr>
          <w:rFonts w:ascii="Calibri" w:hAnsi="Calibri" w:cs="Calibri"/>
          <w:color w:val="000000"/>
          <w:kern w:val="24"/>
          <w:sz w:val="24"/>
          <w:szCs w:val="24"/>
        </w:rPr>
        <w:t>March 2013</w:t>
      </w:r>
      <w:r>
        <w:rPr>
          <w:rFonts w:ascii="Calibri" w:hAnsi="Calibri" w:cs="Calibri"/>
          <w:i/>
          <w:iCs/>
          <w:color w:val="000000"/>
          <w:kern w:val="24"/>
          <w:sz w:val="24"/>
          <w:szCs w:val="24"/>
        </w:rPr>
        <w:t xml:space="preserve">; </w:t>
      </w:r>
      <w:r>
        <w:rPr>
          <w:rFonts w:ascii="Calibri" w:hAnsi="Calibri" w:cs="Calibri"/>
          <w:color w:val="000000"/>
          <w:kern w:val="24"/>
          <w:sz w:val="24"/>
          <w:szCs w:val="24"/>
        </w:rPr>
        <w:t xml:space="preserve">ABS, </w:t>
      </w:r>
      <w:r>
        <w:rPr>
          <w:rFonts w:ascii="Calibri" w:hAnsi="Calibri" w:cs="Calibri"/>
          <w:i/>
          <w:iCs/>
          <w:color w:val="000000"/>
          <w:kern w:val="24"/>
          <w:sz w:val="24"/>
          <w:szCs w:val="24"/>
        </w:rPr>
        <w:t xml:space="preserve">Estimated Residential Population, </w:t>
      </w:r>
      <w:r>
        <w:rPr>
          <w:rFonts w:ascii="Calibri" w:hAnsi="Calibri" w:cs="Calibri"/>
          <w:color w:val="000000"/>
          <w:kern w:val="24"/>
          <w:sz w:val="24"/>
          <w:szCs w:val="24"/>
        </w:rPr>
        <w:t>2011</w:t>
      </w:r>
      <w:r>
        <w:rPr>
          <w:rFonts w:ascii="Calibri" w:hAnsi="Calibri" w:cs="Calibri"/>
          <w:i/>
          <w:iCs/>
          <w:color w:val="000000"/>
          <w:kern w:val="24"/>
          <w:sz w:val="24"/>
          <w:szCs w:val="24"/>
        </w:rPr>
        <w:t xml:space="preserve"> </w:t>
      </w: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Long-term unemployed</w:t>
      </w:r>
    </w:p>
    <w:p w:rsidR="008B4F3F" w:rsidRDefault="008B4F3F" w:rsidP="008B4F3F">
      <w:pPr>
        <w:autoSpaceDE w:val="0"/>
        <w:autoSpaceDN w:val="0"/>
        <w:adjustRightInd w:val="0"/>
        <w:spacing w:after="0" w:line="240" w:lineRule="auto"/>
        <w:ind w:left="720"/>
        <w:rPr>
          <w:rFonts w:ascii="Calibri" w:hAnsi="Calibri" w:cs="Calibri"/>
          <w:color w:val="000000"/>
          <w:kern w:val="24"/>
          <w:sz w:val="24"/>
          <w:szCs w:val="24"/>
        </w:rPr>
      </w:pPr>
      <w:r>
        <w:rPr>
          <w:rFonts w:ascii="Calibri" w:hAnsi="Calibri" w:cs="Calibri"/>
          <w:color w:val="000000"/>
          <w:kern w:val="24"/>
          <w:sz w:val="24"/>
          <w:szCs w:val="24"/>
        </w:rPr>
        <w:t>26 per cent of unemployed have been so for at least a year</w:t>
      </w:r>
    </w:p>
    <w:p w:rsidR="008B4F3F" w:rsidRDefault="008B4F3F" w:rsidP="008B4F3F">
      <w:pPr>
        <w:autoSpaceDE w:val="0"/>
        <w:autoSpaceDN w:val="0"/>
        <w:adjustRightInd w:val="0"/>
        <w:spacing w:after="0" w:line="240" w:lineRule="auto"/>
        <w:ind w:left="720"/>
        <w:rPr>
          <w:rFonts w:ascii="Calibri" w:hAnsi="Calibri" w:cs="Calibri"/>
          <w:color w:val="000000"/>
          <w:kern w:val="24"/>
          <w:sz w:val="24"/>
          <w:szCs w:val="24"/>
        </w:rPr>
      </w:pPr>
      <w:r>
        <w:rPr>
          <w:rFonts w:ascii="Calibri" w:hAnsi="Calibri" w:cs="Calibri"/>
          <w:color w:val="000000"/>
          <w:kern w:val="24"/>
          <w:sz w:val="24"/>
          <w:szCs w:val="24"/>
        </w:rPr>
        <w:t>Average duration of unemployment is 43 weeks</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Jobless families</w:t>
      </w:r>
    </w:p>
    <w:p w:rsidR="008B4F3F" w:rsidRDefault="008B4F3F" w:rsidP="008B4F3F">
      <w:pPr>
        <w:autoSpaceDE w:val="0"/>
        <w:autoSpaceDN w:val="0"/>
        <w:adjustRightInd w:val="0"/>
        <w:spacing w:after="0" w:line="240" w:lineRule="auto"/>
        <w:ind w:left="720"/>
        <w:rPr>
          <w:rFonts w:ascii="Calibri" w:hAnsi="Calibri" w:cs="Calibri"/>
          <w:color w:val="000000"/>
          <w:kern w:val="24"/>
          <w:sz w:val="24"/>
          <w:szCs w:val="24"/>
        </w:rPr>
      </w:pPr>
      <w:r>
        <w:rPr>
          <w:rFonts w:ascii="Calibri" w:hAnsi="Calibri" w:cs="Calibri"/>
          <w:color w:val="000000"/>
          <w:kern w:val="24"/>
          <w:sz w:val="24"/>
          <w:szCs w:val="24"/>
        </w:rPr>
        <w:t>One in six families with children under 15 years jobless</w:t>
      </w:r>
    </w:p>
    <w:p w:rsidR="008B4F3F" w:rsidRDefault="008B4F3F" w:rsidP="008B4F3F">
      <w:pPr>
        <w:autoSpaceDE w:val="0"/>
        <w:autoSpaceDN w:val="0"/>
        <w:adjustRightInd w:val="0"/>
        <w:spacing w:after="0" w:line="240" w:lineRule="auto"/>
        <w:ind w:left="720"/>
        <w:rPr>
          <w:rFonts w:ascii="Calibri" w:hAnsi="Calibri" w:cs="Calibri"/>
          <w:color w:val="000000"/>
          <w:kern w:val="24"/>
          <w:sz w:val="24"/>
          <w:szCs w:val="24"/>
        </w:rPr>
      </w:pPr>
      <w:r>
        <w:rPr>
          <w:rFonts w:ascii="Calibri" w:hAnsi="Calibri" w:cs="Calibri"/>
          <w:color w:val="000000"/>
          <w:kern w:val="24"/>
          <w:sz w:val="24"/>
          <w:szCs w:val="24"/>
        </w:rPr>
        <w:t>25 per cent in Auburn LGA</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Youth disengagement</w:t>
      </w:r>
    </w:p>
    <w:p w:rsidR="008B4F3F" w:rsidRDefault="008B4F3F" w:rsidP="008B4F3F">
      <w:pPr>
        <w:autoSpaceDE w:val="0"/>
        <w:autoSpaceDN w:val="0"/>
        <w:adjustRightInd w:val="0"/>
        <w:spacing w:after="0" w:line="240" w:lineRule="auto"/>
        <w:ind w:left="720"/>
        <w:rPr>
          <w:rFonts w:ascii="Calibri" w:hAnsi="Calibri" w:cs="Calibri"/>
          <w:color w:val="000000"/>
          <w:kern w:val="24"/>
          <w:sz w:val="24"/>
          <w:szCs w:val="24"/>
        </w:rPr>
      </w:pPr>
      <w:r>
        <w:rPr>
          <w:rFonts w:ascii="Calibri" w:hAnsi="Calibri" w:cs="Calibri"/>
          <w:color w:val="000000"/>
          <w:kern w:val="24"/>
          <w:sz w:val="24"/>
          <w:szCs w:val="24"/>
        </w:rPr>
        <w:t>15 per cent of 20-24 year olds are not studying or working</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Indigenous</w:t>
      </w:r>
    </w:p>
    <w:p w:rsidR="008B4F3F" w:rsidRDefault="008B4F3F" w:rsidP="008B4F3F">
      <w:pPr>
        <w:autoSpaceDE w:val="0"/>
        <w:autoSpaceDN w:val="0"/>
        <w:adjustRightInd w:val="0"/>
        <w:spacing w:after="0" w:line="240" w:lineRule="auto"/>
        <w:ind w:left="720"/>
        <w:rPr>
          <w:rFonts w:ascii="Calibri" w:hAnsi="Calibri" w:cs="Calibri"/>
          <w:color w:val="000000"/>
          <w:kern w:val="24"/>
          <w:sz w:val="24"/>
          <w:szCs w:val="24"/>
        </w:rPr>
      </w:pPr>
      <w:r>
        <w:rPr>
          <w:rFonts w:ascii="Calibri" w:hAnsi="Calibri" w:cs="Calibri"/>
          <w:color w:val="000000"/>
          <w:kern w:val="24"/>
          <w:sz w:val="24"/>
          <w:szCs w:val="24"/>
        </w:rPr>
        <w:t>Unemployment rate of 15.2 per cent</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Centrelink beneficiaries</w:t>
      </w:r>
    </w:p>
    <w:p w:rsidR="008B4F3F" w:rsidRDefault="008B4F3F" w:rsidP="008B4F3F">
      <w:pPr>
        <w:autoSpaceDE w:val="0"/>
        <w:autoSpaceDN w:val="0"/>
        <w:adjustRightInd w:val="0"/>
        <w:spacing w:after="0" w:line="240" w:lineRule="auto"/>
        <w:ind w:left="720"/>
        <w:rPr>
          <w:rFonts w:ascii="Calibri" w:hAnsi="Calibri" w:cs="Calibri"/>
          <w:color w:val="000000"/>
          <w:kern w:val="24"/>
          <w:sz w:val="24"/>
          <w:szCs w:val="24"/>
        </w:rPr>
      </w:pPr>
      <w:r>
        <w:rPr>
          <w:rFonts w:ascii="Calibri" w:hAnsi="Calibri" w:cs="Calibri"/>
          <w:color w:val="000000"/>
          <w:kern w:val="24"/>
          <w:sz w:val="24"/>
          <w:szCs w:val="24"/>
        </w:rPr>
        <w:t>18 per cent in receipt of Centrelink benefit</w:t>
      </w:r>
    </w:p>
    <w:p w:rsidR="008B4F3F" w:rsidRDefault="008B4F3F" w:rsidP="008B4F3F">
      <w:pPr>
        <w:autoSpaceDE w:val="0"/>
        <w:autoSpaceDN w:val="0"/>
        <w:adjustRightInd w:val="0"/>
        <w:spacing w:after="0" w:line="240" w:lineRule="auto"/>
        <w:ind w:left="720"/>
        <w:rPr>
          <w:rFonts w:ascii="Calibri" w:hAnsi="Calibri" w:cs="Calibri"/>
          <w:color w:val="000000"/>
          <w:kern w:val="24"/>
          <w:sz w:val="24"/>
          <w:szCs w:val="24"/>
        </w:rPr>
      </w:pPr>
      <w:r>
        <w:rPr>
          <w:rFonts w:ascii="Calibri" w:hAnsi="Calibri" w:cs="Calibri"/>
          <w:color w:val="000000"/>
          <w:kern w:val="24"/>
          <w:sz w:val="24"/>
          <w:szCs w:val="24"/>
        </w:rPr>
        <w:t>More than 25 per cent in some areas of Blacktown and Parramatta</w:t>
      </w: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8</w:t>
      </w:r>
    </w:p>
    <w:p w:rsidR="008B4F3F" w:rsidRDefault="008B4F3F" w:rsidP="008B4F3F">
      <w:pPr>
        <w:spacing w:line="360" w:lineRule="auto"/>
        <w:jc w:val="center"/>
      </w:pPr>
      <w:r>
        <w:object w:dxaOrig="7216" w:dyaOrig="5409">
          <v:shape id="_x0000_i1032" type="#_x0000_t75" style="width:270.35pt;height:203.1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2" DrawAspect="Content" ObjectID="_1428298527" r:id="rId21"/>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i/>
          <w:iCs/>
          <w:color w:val="000000"/>
          <w:kern w:val="24"/>
          <w:sz w:val="24"/>
          <w:szCs w:val="24"/>
        </w:rPr>
      </w:pPr>
      <w:r>
        <w:rPr>
          <w:rFonts w:ascii="Calibri" w:hAnsi="Calibri" w:cs="Calibri"/>
          <w:b/>
          <w:bCs/>
          <w:color w:val="000000"/>
          <w:kern w:val="24"/>
          <w:sz w:val="24"/>
          <w:szCs w:val="24"/>
          <w:u w:val="single"/>
        </w:rPr>
        <w:t>Levels of Educational Attainment, persons aged 25-34 years</w:t>
      </w:r>
      <w:proofErr w:type="gramStart"/>
      <w:r>
        <w:rPr>
          <w:rFonts w:ascii="Calibri" w:hAnsi="Calibri" w:cs="Calibri"/>
          <w:b/>
          <w:bCs/>
          <w:color w:val="000000"/>
          <w:kern w:val="24"/>
          <w:sz w:val="24"/>
          <w:szCs w:val="24"/>
          <w:u w:val="single"/>
        </w:rPr>
        <w:t>:</w:t>
      </w:r>
      <w:proofErr w:type="gramEnd"/>
      <w:r>
        <w:rPr>
          <w:rFonts w:ascii="Calibri" w:hAnsi="Calibri" w:cs="Calibri"/>
          <w:b/>
          <w:bCs/>
          <w:color w:val="000000"/>
          <w:kern w:val="24"/>
          <w:sz w:val="24"/>
          <w:szCs w:val="24"/>
        </w:rPr>
        <w:br/>
      </w:r>
      <w:r>
        <w:rPr>
          <w:rFonts w:ascii="Calibri" w:hAnsi="Calibri" w:cs="Calibri"/>
          <w:i/>
          <w:iCs/>
          <w:color w:val="000000"/>
          <w:kern w:val="24"/>
          <w:sz w:val="24"/>
          <w:szCs w:val="24"/>
        </w:rPr>
        <w:t xml:space="preserve">Source: </w:t>
      </w:r>
      <w:r>
        <w:rPr>
          <w:rFonts w:ascii="Calibri" w:hAnsi="Calibri" w:cs="Calibri"/>
          <w:color w:val="000000"/>
          <w:kern w:val="24"/>
          <w:sz w:val="24"/>
          <w:szCs w:val="24"/>
        </w:rPr>
        <w:t xml:space="preserve">ABS, </w:t>
      </w:r>
      <w:r>
        <w:rPr>
          <w:rFonts w:ascii="Calibri" w:hAnsi="Calibri" w:cs="Calibri"/>
          <w:i/>
          <w:iCs/>
          <w:color w:val="000000"/>
          <w:kern w:val="24"/>
          <w:sz w:val="24"/>
          <w:szCs w:val="24"/>
        </w:rPr>
        <w:t xml:space="preserve">Census of Population and Housing, </w:t>
      </w:r>
      <w:r>
        <w:rPr>
          <w:rFonts w:ascii="Calibri" w:hAnsi="Calibri" w:cs="Calibri"/>
          <w:color w:val="000000"/>
          <w:kern w:val="24"/>
          <w:sz w:val="24"/>
          <w:szCs w:val="24"/>
        </w:rPr>
        <w:t>2011</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b/>
          <w:bCs/>
          <w:color w:val="000000"/>
          <w:kern w:val="24"/>
          <w:sz w:val="24"/>
          <w:szCs w:val="24"/>
        </w:rPr>
        <w:t> </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Year 12 attainment was much lower in the Hawkesbury (5</w:t>
      </w:r>
      <w:r w:rsidR="00912D52">
        <w:rPr>
          <w:rFonts w:ascii="Calibri" w:hAnsi="Calibri" w:cs="Calibri"/>
          <w:color w:val="000000"/>
          <w:kern w:val="24"/>
          <w:sz w:val="24"/>
          <w:szCs w:val="24"/>
        </w:rPr>
        <w:t>8 per cent) and Penrith (62 per </w:t>
      </w:r>
      <w:r>
        <w:rPr>
          <w:rFonts w:ascii="Calibri" w:hAnsi="Calibri" w:cs="Calibri"/>
          <w:color w:val="000000"/>
          <w:kern w:val="24"/>
          <w:sz w:val="24"/>
          <w:szCs w:val="24"/>
        </w:rPr>
        <w:t>cent) LGAs</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34 per cent of 25-34 year olds in the PEA had attained a Bachelor Degree or higher qualification</w:t>
      </w:r>
    </w:p>
    <w:p w:rsidR="008B4F3F" w:rsidRDefault="008B4F3F" w:rsidP="008B4F3F">
      <w:pPr>
        <w:numPr>
          <w:ilvl w:val="0"/>
          <w:numId w:val="1"/>
        </w:numPr>
        <w:autoSpaceDE w:val="0"/>
        <w:autoSpaceDN w:val="0"/>
        <w:adjustRightInd w:val="0"/>
        <w:spacing w:after="0" w:line="240" w:lineRule="auto"/>
        <w:ind w:left="955" w:hanging="260"/>
        <w:rPr>
          <w:rFonts w:ascii="Calibri" w:hAnsi="Calibri" w:cs="Calibri"/>
          <w:color w:val="000000"/>
          <w:kern w:val="24"/>
          <w:sz w:val="24"/>
          <w:szCs w:val="24"/>
        </w:rPr>
      </w:pPr>
      <w:r>
        <w:rPr>
          <w:rFonts w:ascii="Calibri" w:hAnsi="Calibri" w:cs="Calibri"/>
          <w:color w:val="000000"/>
          <w:kern w:val="24"/>
          <w:sz w:val="24"/>
          <w:szCs w:val="24"/>
        </w:rPr>
        <w:t>Again, Hawkesbury LGA (17 per cent) and Penrith (19 per cent) had very low levels of Bachelor Degree or higher attainment</w:t>
      </w: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9</w:t>
      </w:r>
    </w:p>
    <w:p w:rsidR="008B4F3F" w:rsidRDefault="008B4F3F" w:rsidP="008B4F3F">
      <w:pPr>
        <w:spacing w:line="360" w:lineRule="auto"/>
        <w:jc w:val="center"/>
      </w:pPr>
      <w:r>
        <w:object w:dxaOrig="7216" w:dyaOrig="5409">
          <v:shape id="_x0000_i1033" type="#_x0000_t75" style="width:270.35pt;height:203.1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3" DrawAspect="Content" ObjectID="_1428298528" r:id="rId23"/>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Educational Attainment and Labour Market Outcomes:</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i/>
          <w:iCs/>
          <w:color w:val="000000"/>
          <w:kern w:val="24"/>
          <w:sz w:val="24"/>
          <w:szCs w:val="24"/>
        </w:rPr>
        <w:t xml:space="preserve">Source: </w:t>
      </w:r>
      <w:r>
        <w:rPr>
          <w:rFonts w:ascii="Calibri" w:hAnsi="Calibri" w:cs="Calibri"/>
          <w:color w:val="000000"/>
          <w:kern w:val="24"/>
          <w:sz w:val="24"/>
          <w:szCs w:val="24"/>
        </w:rPr>
        <w:t>ABS</w:t>
      </w:r>
      <w:r>
        <w:rPr>
          <w:rFonts w:ascii="Calibri" w:hAnsi="Calibri" w:cs="Calibri"/>
          <w:i/>
          <w:iCs/>
          <w:color w:val="000000"/>
          <w:kern w:val="24"/>
          <w:sz w:val="24"/>
          <w:szCs w:val="24"/>
        </w:rPr>
        <w:t xml:space="preserve">, Census of Population and Housing, </w:t>
      </w:r>
      <w:r>
        <w:rPr>
          <w:rFonts w:ascii="Calibri" w:hAnsi="Calibri" w:cs="Calibri"/>
          <w:color w:val="000000"/>
          <w:kern w:val="24"/>
          <w:sz w:val="24"/>
          <w:szCs w:val="24"/>
        </w:rPr>
        <w:t>2011</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There is a strong relationship between educational attainment and employment outcomes</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People with higher levels of education have higher rates of labour force participation and lower unemployment rates</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This emphasises the importance of continuing education to help job seekers obtain employment and participate in the labour market</w:t>
      </w:r>
    </w:p>
    <w:p w:rsidR="008B4F3F" w:rsidRDefault="008B4F3F" w:rsidP="008B4F3F">
      <w:pPr>
        <w:autoSpaceDE w:val="0"/>
        <w:autoSpaceDN w:val="0"/>
        <w:adjustRightInd w:val="0"/>
        <w:spacing w:after="0" w:line="240" w:lineRule="auto"/>
        <w:rPr>
          <w:rFonts w:ascii="Calibri" w:hAnsi="Calibri" w:cs="Calibri"/>
          <w:color w:val="000000"/>
          <w:sz w:val="20"/>
          <w:szCs w:val="20"/>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10</w:t>
      </w:r>
    </w:p>
    <w:p w:rsidR="008B4F3F" w:rsidRDefault="008B4F3F" w:rsidP="008B4F3F">
      <w:pPr>
        <w:spacing w:line="360" w:lineRule="auto"/>
        <w:jc w:val="center"/>
      </w:pPr>
      <w:r>
        <w:object w:dxaOrig="7216" w:dyaOrig="5409">
          <v:shape id="_x0000_i1034" type="#_x0000_t75" style="width:270.35pt;height:203.1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4" DrawAspect="Content" ObjectID="_1428298529" r:id="rId25"/>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41,000 New Migrant Arrivals in Last 5 Years:</w:t>
      </w:r>
    </w:p>
    <w:p w:rsidR="008B4F3F" w:rsidRDefault="008B4F3F" w:rsidP="008B4F3F">
      <w:pPr>
        <w:autoSpaceDE w:val="0"/>
        <w:autoSpaceDN w:val="0"/>
        <w:adjustRightInd w:val="0"/>
        <w:spacing w:after="0" w:line="240" w:lineRule="auto"/>
        <w:rPr>
          <w:rFonts w:ascii="Calibri" w:hAnsi="Calibri" w:cs="Calibri"/>
          <w:kern w:val="24"/>
          <w:sz w:val="24"/>
          <w:szCs w:val="24"/>
        </w:rPr>
      </w:pPr>
      <w:r>
        <w:rPr>
          <w:rFonts w:ascii="Calibri" w:hAnsi="Calibri" w:cs="Calibri"/>
          <w:i/>
          <w:iCs/>
          <w:color w:val="000000"/>
          <w:kern w:val="24"/>
          <w:sz w:val="24"/>
          <w:szCs w:val="24"/>
        </w:rPr>
        <w:t xml:space="preserve">Source: </w:t>
      </w:r>
      <w:r>
        <w:rPr>
          <w:rFonts w:ascii="Calibri" w:hAnsi="Calibri" w:cs="Calibri"/>
          <w:i/>
          <w:iCs/>
          <w:kern w:val="24"/>
          <w:sz w:val="24"/>
          <w:szCs w:val="24"/>
        </w:rPr>
        <w:t xml:space="preserve">Department of Immigration and Citizenship. Settlement reporting: http://www.immi.gov.au/settlement/, March 2008 to March 2013, viewed 9 April 2013. </w:t>
      </w:r>
      <w:r>
        <w:rPr>
          <w:rFonts w:ascii="Calibri" w:hAnsi="Calibri" w:cs="Calibri"/>
          <w:kern w:val="24"/>
          <w:sz w:val="24"/>
          <w:szCs w:val="24"/>
        </w:rPr>
        <w:t>Proportions exclude ‘Other’ and ‘Unknown’ categories.</w:t>
      </w:r>
    </w:p>
    <w:p w:rsidR="008B4F3F" w:rsidRDefault="008B4F3F" w:rsidP="008B4F3F">
      <w:pPr>
        <w:autoSpaceDE w:val="0"/>
        <w:autoSpaceDN w:val="0"/>
        <w:adjustRightInd w:val="0"/>
        <w:spacing w:after="0" w:line="240" w:lineRule="auto"/>
        <w:rPr>
          <w:rFonts w:ascii="Calibri" w:hAnsi="Calibri" w:cs="Calibri"/>
          <w:i/>
          <w:iCs/>
          <w:color w:val="000000"/>
          <w:kern w:val="24"/>
          <w:sz w:val="24"/>
          <w:szCs w:val="24"/>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Over the 5 years to March 2013, a total of 41,000 migrants settled in the Sydney West and Blue Mountains PEA. The proportion of Humanitarian migrants (13 per cent) was much higher than for the Sydney SD (7 per cent).</w:t>
      </w: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11</w:t>
      </w:r>
    </w:p>
    <w:p w:rsidR="008B4F3F" w:rsidRDefault="008B4F3F" w:rsidP="008B4F3F">
      <w:pPr>
        <w:spacing w:line="360" w:lineRule="auto"/>
        <w:jc w:val="center"/>
      </w:pPr>
      <w:r>
        <w:object w:dxaOrig="7216" w:dyaOrig="5409">
          <v:shape id="_x0000_i1035" type="#_x0000_t75" style="width:270.35pt;height:203.1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5" DrawAspect="Content" ObjectID="_1428298530" r:id="rId27"/>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Migrants Underutilised: Labour market outcomes for people with a Bachelor Degree or higher</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i/>
          <w:iCs/>
          <w:color w:val="000000"/>
          <w:kern w:val="24"/>
          <w:sz w:val="24"/>
          <w:szCs w:val="24"/>
        </w:rPr>
        <w:t xml:space="preserve">Source: </w:t>
      </w:r>
      <w:r>
        <w:rPr>
          <w:rFonts w:ascii="Calibri" w:hAnsi="Calibri" w:cs="Calibri"/>
          <w:color w:val="000000"/>
          <w:kern w:val="24"/>
          <w:sz w:val="24"/>
          <w:szCs w:val="24"/>
        </w:rPr>
        <w:t xml:space="preserve">ABS, </w:t>
      </w:r>
      <w:r>
        <w:rPr>
          <w:rFonts w:ascii="Calibri" w:hAnsi="Calibri" w:cs="Calibri"/>
          <w:i/>
          <w:iCs/>
          <w:color w:val="000000"/>
          <w:kern w:val="24"/>
          <w:sz w:val="24"/>
          <w:szCs w:val="24"/>
        </w:rPr>
        <w:t xml:space="preserve">Census of Population and Housing, </w:t>
      </w:r>
      <w:r>
        <w:rPr>
          <w:rFonts w:ascii="Calibri" w:hAnsi="Calibri" w:cs="Calibri"/>
          <w:color w:val="000000"/>
          <w:kern w:val="24"/>
          <w:sz w:val="24"/>
          <w:szCs w:val="24"/>
        </w:rPr>
        <w:t>2011</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This chart illustrates migrant underutilisation by comparing labour market participation of those with a Bachelor Degree by whether they were a migrant from an Other Than Main English Speaking Country or not</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i/>
          <w:iCs/>
          <w:color w:val="000000"/>
          <w:kern w:val="24"/>
          <w:sz w:val="24"/>
          <w:szCs w:val="24"/>
        </w:rPr>
        <w:t xml:space="preserve">Lower Skilled Occupations </w:t>
      </w:r>
      <w:r>
        <w:rPr>
          <w:rFonts w:ascii="Calibri" w:hAnsi="Calibri" w:cs="Calibri"/>
          <w:color w:val="000000"/>
          <w:kern w:val="24"/>
          <w:sz w:val="24"/>
          <w:szCs w:val="24"/>
        </w:rPr>
        <w:t>refers to</w:t>
      </w:r>
      <w:r>
        <w:rPr>
          <w:rFonts w:ascii="Calibri" w:hAnsi="Calibri" w:cs="Calibri"/>
          <w:i/>
          <w:iCs/>
          <w:color w:val="000000"/>
          <w:kern w:val="24"/>
          <w:sz w:val="24"/>
          <w:szCs w:val="24"/>
        </w:rPr>
        <w:t xml:space="preserve"> </w:t>
      </w:r>
      <w:r>
        <w:rPr>
          <w:rFonts w:ascii="Calibri" w:hAnsi="Calibri" w:cs="Calibri"/>
          <w:color w:val="000000"/>
          <w:kern w:val="24"/>
          <w:sz w:val="24"/>
          <w:szCs w:val="24"/>
        </w:rPr>
        <w:t>Sales Workers, Machinery Operators and Drivers and Labourers</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Overall, 36 per cent of working age (15-64) OTMESC migrants had obtained a Bachelor Degree or higher</w:t>
      </w:r>
    </w:p>
    <w:p w:rsidR="008B4F3F" w:rsidRDefault="008B4F3F" w:rsidP="008B4F3F">
      <w:pPr>
        <w:numPr>
          <w:ilvl w:val="0"/>
          <w:numId w:val="1"/>
        </w:numPr>
        <w:autoSpaceDE w:val="0"/>
        <w:autoSpaceDN w:val="0"/>
        <w:adjustRightInd w:val="0"/>
        <w:spacing w:after="0" w:line="240" w:lineRule="auto"/>
        <w:ind w:left="955" w:hanging="260"/>
        <w:rPr>
          <w:rFonts w:ascii="Calibri" w:hAnsi="Calibri" w:cs="Calibri"/>
          <w:i/>
          <w:iCs/>
          <w:color w:val="000000"/>
          <w:kern w:val="24"/>
          <w:sz w:val="24"/>
          <w:szCs w:val="24"/>
        </w:rPr>
      </w:pPr>
      <w:r>
        <w:rPr>
          <w:rFonts w:ascii="Calibri" w:hAnsi="Calibri" w:cs="Calibri"/>
          <w:color w:val="000000"/>
          <w:kern w:val="24"/>
          <w:sz w:val="24"/>
          <w:szCs w:val="24"/>
        </w:rPr>
        <w:t xml:space="preserve">There was a lower level of labour market participation for highly qualified OTMESC persons compared with the Non-OTMESC population. For </w:t>
      </w:r>
      <w:proofErr w:type="gramStart"/>
      <w:r>
        <w:rPr>
          <w:rFonts w:ascii="Calibri" w:hAnsi="Calibri" w:cs="Calibri"/>
          <w:color w:val="000000"/>
          <w:kern w:val="24"/>
          <w:sz w:val="24"/>
          <w:szCs w:val="24"/>
        </w:rPr>
        <w:t>both males</w:t>
      </w:r>
      <w:proofErr w:type="gramEnd"/>
      <w:r>
        <w:rPr>
          <w:rFonts w:ascii="Calibri" w:hAnsi="Calibri" w:cs="Calibri"/>
          <w:color w:val="000000"/>
          <w:kern w:val="24"/>
          <w:sz w:val="24"/>
          <w:szCs w:val="24"/>
        </w:rPr>
        <w:t xml:space="preserve"> and females, a larger proportion of the OTMESC population with a Bachelor Degree or higher were either not in the labour force, unemployed or employed in a lower-skilled occupation.</w:t>
      </w: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12</w:t>
      </w:r>
    </w:p>
    <w:p w:rsidR="008B4F3F" w:rsidRDefault="008B4F3F" w:rsidP="008B4F3F">
      <w:pPr>
        <w:spacing w:line="360" w:lineRule="auto"/>
        <w:jc w:val="center"/>
      </w:pPr>
      <w:r>
        <w:object w:dxaOrig="7216" w:dyaOrig="5409">
          <v:shape id="_x0000_i1036" type="#_x0000_t75" style="width:270.35pt;height:203.1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6" DrawAspect="Content" ObjectID="_1428298531" r:id="rId29"/>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Labour Market Outcomes and English Proficiency:</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i/>
          <w:iCs/>
          <w:color w:val="000000"/>
          <w:kern w:val="24"/>
          <w:sz w:val="24"/>
          <w:szCs w:val="24"/>
        </w:rPr>
        <w:t xml:space="preserve">Source: </w:t>
      </w:r>
      <w:r>
        <w:rPr>
          <w:rFonts w:ascii="Calibri" w:hAnsi="Calibri" w:cs="Calibri"/>
          <w:color w:val="000000"/>
          <w:kern w:val="24"/>
          <w:sz w:val="24"/>
          <w:szCs w:val="24"/>
        </w:rPr>
        <w:t xml:space="preserve">ABS, </w:t>
      </w:r>
      <w:r>
        <w:rPr>
          <w:rFonts w:ascii="Calibri" w:hAnsi="Calibri" w:cs="Calibri"/>
          <w:i/>
          <w:iCs/>
          <w:color w:val="000000"/>
          <w:kern w:val="24"/>
          <w:sz w:val="24"/>
          <w:szCs w:val="24"/>
        </w:rPr>
        <w:t xml:space="preserve">Census of Population and Housing, </w:t>
      </w:r>
      <w:r>
        <w:rPr>
          <w:rFonts w:ascii="Calibri" w:hAnsi="Calibri" w:cs="Calibri"/>
          <w:color w:val="000000"/>
          <w:kern w:val="24"/>
          <w:sz w:val="24"/>
          <w:szCs w:val="24"/>
        </w:rPr>
        <w:t>2011, working age population (15-64)</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People who speak English very well tend to have better labour market outcomes than those who do not speak English well or at all.</w:t>
      </w: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13</w:t>
      </w:r>
    </w:p>
    <w:p w:rsidR="008B4F3F" w:rsidRDefault="008B4F3F" w:rsidP="008B4F3F">
      <w:pPr>
        <w:spacing w:line="360" w:lineRule="auto"/>
        <w:jc w:val="center"/>
      </w:pPr>
      <w:r>
        <w:object w:dxaOrig="7216" w:dyaOrig="5409">
          <v:shape id="_x0000_i1037" type="#_x0000_t75" style="width:270.35pt;height:203.1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7" DrawAspect="Content" ObjectID="_1428298532" r:id="rId31"/>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Travelling for Work:</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i/>
          <w:iCs/>
          <w:color w:val="000000"/>
          <w:kern w:val="24"/>
          <w:sz w:val="24"/>
          <w:szCs w:val="24"/>
        </w:rPr>
        <w:t xml:space="preserve">Source: </w:t>
      </w:r>
      <w:r>
        <w:rPr>
          <w:rFonts w:ascii="Calibri" w:hAnsi="Calibri" w:cs="Calibri"/>
          <w:color w:val="000000"/>
          <w:kern w:val="24"/>
          <w:sz w:val="24"/>
          <w:szCs w:val="24"/>
        </w:rPr>
        <w:t xml:space="preserve">ABS, </w:t>
      </w:r>
      <w:r>
        <w:rPr>
          <w:rFonts w:ascii="Calibri" w:hAnsi="Calibri" w:cs="Calibri"/>
          <w:i/>
          <w:iCs/>
          <w:color w:val="000000"/>
          <w:kern w:val="24"/>
          <w:sz w:val="24"/>
          <w:szCs w:val="24"/>
        </w:rPr>
        <w:t xml:space="preserve">Census of Population and Housing, </w:t>
      </w:r>
      <w:r>
        <w:rPr>
          <w:rFonts w:ascii="Calibri" w:hAnsi="Calibri" w:cs="Calibri"/>
          <w:color w:val="000000"/>
          <w:kern w:val="24"/>
          <w:sz w:val="24"/>
          <w:szCs w:val="24"/>
        </w:rPr>
        <w:t>2006 and 2011</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 xml:space="preserve">The PEA is part of Sydney, the largest and most diverse labour market in Australia. Large numbers of people leave or enter the PEA for work. In 2011, the PEA was a net exporter of labour: </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150,000 people who live in the PEA work outside the PEA</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120,000 people who live outside the PEA work in the PEA</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The number of people leaving the PEA for work is likely to continue unless current trends change. Between 2006 and 2011, the number of employed people who live in the PEA increased by 10%, but the number of people whose job was in the PEA increased by 6%.</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 xml:space="preserve">Recent initiatives towards decentralisation of jobs away from the Sydney </w:t>
      </w:r>
      <w:proofErr w:type="spellStart"/>
      <w:r>
        <w:rPr>
          <w:rFonts w:ascii="Calibri" w:hAnsi="Calibri" w:cs="Calibri"/>
          <w:color w:val="000000"/>
          <w:kern w:val="24"/>
          <w:sz w:val="24"/>
          <w:szCs w:val="24"/>
        </w:rPr>
        <w:t>CBD</w:t>
      </w:r>
      <w:proofErr w:type="spellEnd"/>
      <w:r>
        <w:rPr>
          <w:rFonts w:ascii="Calibri" w:hAnsi="Calibri" w:cs="Calibri"/>
          <w:color w:val="000000"/>
          <w:kern w:val="24"/>
          <w:sz w:val="24"/>
          <w:szCs w:val="24"/>
        </w:rPr>
        <w:t xml:space="preserve"> may help reduce the number of people who leave the PEA for work.</w:t>
      </w: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14</w:t>
      </w:r>
    </w:p>
    <w:p w:rsidR="008B4F3F" w:rsidRDefault="008B4F3F" w:rsidP="008B4F3F">
      <w:pPr>
        <w:spacing w:line="360" w:lineRule="auto"/>
        <w:jc w:val="center"/>
      </w:pPr>
      <w:r>
        <w:object w:dxaOrig="7216" w:dyaOrig="5409">
          <v:shape id="_x0000_i1038" type="#_x0000_t75" style="width:270.35pt;height:203.1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8" DrawAspect="Content" ObjectID="_1428298533" r:id="rId33"/>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Employment by Industry:</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 xml:space="preserve">Source: ABS, </w:t>
      </w:r>
      <w:r>
        <w:rPr>
          <w:rFonts w:ascii="Calibri" w:hAnsi="Calibri" w:cs="Calibri"/>
          <w:i/>
          <w:iCs/>
          <w:color w:val="000000"/>
          <w:kern w:val="24"/>
          <w:sz w:val="24"/>
          <w:szCs w:val="24"/>
        </w:rPr>
        <w:t xml:space="preserve">Census of Population and Housing, </w:t>
      </w:r>
      <w:r>
        <w:rPr>
          <w:rFonts w:ascii="Calibri" w:hAnsi="Calibri" w:cs="Calibri"/>
          <w:color w:val="000000"/>
          <w:kern w:val="24"/>
          <w:sz w:val="24"/>
          <w:szCs w:val="24"/>
        </w:rPr>
        <w:t>2011</w:t>
      </w:r>
    </w:p>
    <w:p w:rsidR="008B4F3F" w:rsidRDefault="008B4F3F" w:rsidP="008B4F3F">
      <w:pPr>
        <w:autoSpaceDE w:val="0"/>
        <w:autoSpaceDN w:val="0"/>
        <w:adjustRightInd w:val="0"/>
        <w:spacing w:after="0" w:line="240" w:lineRule="auto"/>
        <w:rPr>
          <w:rFonts w:ascii="Calibri" w:hAnsi="Calibri" w:cs="Calibri"/>
          <w:color w:val="000000"/>
          <w:kern w:val="24"/>
          <w:sz w:val="24"/>
          <w:szCs w:val="24"/>
          <w:u w:val="single"/>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roofErr w:type="gramStart"/>
      <w:r>
        <w:rPr>
          <w:rFonts w:ascii="Calibri" w:hAnsi="Calibri" w:cs="Calibri"/>
          <w:color w:val="000000"/>
          <w:kern w:val="24"/>
          <w:sz w:val="24"/>
          <w:szCs w:val="24"/>
        </w:rPr>
        <w:t>This slide shows</w:t>
      </w:r>
      <w:proofErr w:type="gramEnd"/>
      <w:r>
        <w:rPr>
          <w:rFonts w:ascii="Calibri" w:hAnsi="Calibri" w:cs="Calibri"/>
          <w:color w:val="000000"/>
          <w:kern w:val="24"/>
          <w:sz w:val="24"/>
          <w:szCs w:val="24"/>
        </w:rPr>
        <w:t xml:space="preserve"> the heavy reliance placed on manufacturing in the PEA. Some 14 per cent of jobs located in the PEA are in the manufacturing industry, an industry that has been hard-hit by the economic downturn and the strong Australian dollar.</w:t>
      </w: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15</w:t>
      </w:r>
    </w:p>
    <w:p w:rsidR="008B4F3F" w:rsidRDefault="008B4F3F" w:rsidP="008B4F3F">
      <w:pPr>
        <w:spacing w:line="360" w:lineRule="auto"/>
        <w:jc w:val="center"/>
      </w:pPr>
      <w:r>
        <w:object w:dxaOrig="7216" w:dyaOrig="5409">
          <v:shape id="_x0000_i1039" type="#_x0000_t75" style="width:270.35pt;height:203.1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9" DrawAspect="Content" ObjectID="_1428298534" r:id="rId35"/>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Employment Growth by Industry:</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 xml:space="preserve">Source: ABS, </w:t>
      </w:r>
      <w:r>
        <w:rPr>
          <w:rFonts w:ascii="Calibri" w:hAnsi="Calibri" w:cs="Calibri"/>
          <w:i/>
          <w:iCs/>
          <w:color w:val="000000"/>
          <w:kern w:val="24"/>
          <w:sz w:val="24"/>
          <w:szCs w:val="24"/>
        </w:rPr>
        <w:t xml:space="preserve">Census of Population and Housing, </w:t>
      </w:r>
      <w:r>
        <w:rPr>
          <w:rFonts w:ascii="Calibri" w:hAnsi="Calibri" w:cs="Calibri"/>
          <w:color w:val="000000"/>
          <w:kern w:val="24"/>
          <w:sz w:val="24"/>
          <w:szCs w:val="24"/>
        </w:rPr>
        <w:t>2011</w:t>
      </w:r>
    </w:p>
    <w:p w:rsidR="008B4F3F" w:rsidRDefault="008B4F3F" w:rsidP="008B4F3F">
      <w:pPr>
        <w:autoSpaceDE w:val="0"/>
        <w:autoSpaceDN w:val="0"/>
        <w:adjustRightInd w:val="0"/>
        <w:spacing w:after="0" w:line="240" w:lineRule="auto"/>
        <w:rPr>
          <w:rFonts w:ascii="Calibri" w:hAnsi="Calibri" w:cs="Calibri"/>
          <w:color w:val="000000"/>
          <w:kern w:val="24"/>
          <w:sz w:val="24"/>
          <w:szCs w:val="24"/>
          <w:u w:val="single"/>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The Health Care and Social Assistance industry has shown strong growth over the intercensal period (2006 to 2011). By contrast, employment in manufacturing in the PEA has fallen by 4440.</w:t>
      </w: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16</w:t>
      </w:r>
    </w:p>
    <w:p w:rsidR="008B4F3F" w:rsidRDefault="008B4F3F" w:rsidP="008B4F3F">
      <w:pPr>
        <w:spacing w:line="360" w:lineRule="auto"/>
        <w:jc w:val="center"/>
      </w:pPr>
      <w:r>
        <w:object w:dxaOrig="7216" w:dyaOrig="5409">
          <v:shape id="_x0000_i1040" type="#_x0000_t75" style="width:270.35pt;height:203.1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40" DrawAspect="Content" ObjectID="_1428298535" r:id="rId37"/>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Strong Competition for Vacancies:</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i/>
          <w:iCs/>
          <w:color w:val="000000"/>
          <w:kern w:val="24"/>
          <w:sz w:val="24"/>
          <w:szCs w:val="24"/>
        </w:rPr>
        <w:t xml:space="preserve">Source: </w:t>
      </w:r>
      <w:r>
        <w:rPr>
          <w:rFonts w:ascii="Calibri" w:hAnsi="Calibri" w:cs="Calibri"/>
          <w:color w:val="000000"/>
          <w:kern w:val="24"/>
          <w:sz w:val="24"/>
          <w:szCs w:val="24"/>
        </w:rPr>
        <w:t xml:space="preserve">DEEWR, </w:t>
      </w:r>
      <w:r>
        <w:rPr>
          <w:rFonts w:ascii="Calibri" w:hAnsi="Calibri" w:cs="Calibri"/>
          <w:i/>
          <w:iCs/>
          <w:color w:val="000000"/>
          <w:kern w:val="24"/>
          <w:sz w:val="24"/>
          <w:szCs w:val="24"/>
        </w:rPr>
        <w:t xml:space="preserve">Survey of Employers’ Recruitment Experiences, </w:t>
      </w:r>
      <w:r>
        <w:rPr>
          <w:rFonts w:ascii="Calibri" w:hAnsi="Calibri" w:cs="Calibri"/>
          <w:color w:val="000000"/>
          <w:kern w:val="24"/>
          <w:sz w:val="24"/>
          <w:szCs w:val="24"/>
        </w:rPr>
        <w:t>November 2012</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Recruitment activity in the PEA is relatively subdued</w:t>
      </w:r>
    </w:p>
    <w:p w:rsidR="008B4F3F" w:rsidRDefault="008B4F3F" w:rsidP="008B4F3F">
      <w:pPr>
        <w:numPr>
          <w:ilvl w:val="0"/>
          <w:numId w:val="1"/>
        </w:numPr>
        <w:autoSpaceDE w:val="0"/>
        <w:autoSpaceDN w:val="0"/>
        <w:adjustRightInd w:val="0"/>
        <w:spacing w:after="0" w:line="240" w:lineRule="auto"/>
        <w:ind w:left="955" w:hanging="260"/>
        <w:rPr>
          <w:rFonts w:ascii="Calibri" w:hAnsi="Calibri" w:cs="Calibri"/>
          <w:color w:val="000000"/>
          <w:kern w:val="24"/>
          <w:sz w:val="24"/>
          <w:szCs w:val="24"/>
        </w:rPr>
      </w:pPr>
      <w:r>
        <w:rPr>
          <w:rFonts w:ascii="Calibri" w:hAnsi="Calibri" w:cs="Calibri"/>
          <w:color w:val="000000"/>
          <w:kern w:val="24"/>
          <w:sz w:val="24"/>
          <w:szCs w:val="24"/>
        </w:rPr>
        <w:t>15 vacancies per 100 staff</w:t>
      </w:r>
    </w:p>
    <w:p w:rsidR="008B4F3F" w:rsidRDefault="008B4F3F" w:rsidP="008B4F3F">
      <w:pPr>
        <w:numPr>
          <w:ilvl w:val="0"/>
          <w:numId w:val="1"/>
        </w:numPr>
        <w:autoSpaceDE w:val="0"/>
        <w:autoSpaceDN w:val="0"/>
        <w:adjustRightInd w:val="0"/>
        <w:spacing w:after="0" w:line="240" w:lineRule="auto"/>
        <w:ind w:left="235" w:hanging="260"/>
        <w:rPr>
          <w:rFonts w:ascii="Calibri" w:hAnsi="Calibri" w:cs="Calibri"/>
          <w:color w:val="000000"/>
          <w:kern w:val="24"/>
          <w:sz w:val="24"/>
          <w:szCs w:val="24"/>
        </w:rPr>
      </w:pPr>
      <w:r>
        <w:rPr>
          <w:rFonts w:ascii="Calibri" w:hAnsi="Calibri" w:cs="Calibri"/>
          <w:color w:val="000000"/>
          <w:kern w:val="24"/>
          <w:sz w:val="24"/>
          <w:szCs w:val="24"/>
        </w:rPr>
        <w:t>Strong competition for vacancies</w:t>
      </w:r>
    </w:p>
    <w:p w:rsidR="008B4F3F" w:rsidRDefault="008B4F3F" w:rsidP="008B4F3F">
      <w:pPr>
        <w:numPr>
          <w:ilvl w:val="0"/>
          <w:numId w:val="1"/>
        </w:numPr>
        <w:autoSpaceDE w:val="0"/>
        <w:autoSpaceDN w:val="0"/>
        <w:adjustRightInd w:val="0"/>
        <w:spacing w:after="0" w:line="240" w:lineRule="auto"/>
        <w:ind w:left="955" w:hanging="260"/>
        <w:rPr>
          <w:rFonts w:ascii="Calibri" w:hAnsi="Calibri" w:cs="Calibri"/>
          <w:color w:val="000000"/>
          <w:kern w:val="24"/>
          <w:sz w:val="24"/>
          <w:szCs w:val="24"/>
        </w:rPr>
      </w:pPr>
      <w:r>
        <w:rPr>
          <w:rFonts w:ascii="Calibri" w:hAnsi="Calibri" w:cs="Calibri"/>
          <w:color w:val="000000"/>
          <w:kern w:val="24"/>
          <w:sz w:val="24"/>
          <w:szCs w:val="24"/>
        </w:rPr>
        <w:t>Average of 12.6 applicants per vacancy</w:t>
      </w:r>
    </w:p>
    <w:p w:rsidR="008B4F3F" w:rsidRDefault="008B4F3F" w:rsidP="008B4F3F">
      <w:pPr>
        <w:autoSpaceDE w:val="0"/>
        <w:autoSpaceDN w:val="0"/>
        <w:adjustRightInd w:val="0"/>
        <w:spacing w:after="0" w:line="240" w:lineRule="auto"/>
        <w:ind w:left="695"/>
        <w:rPr>
          <w:rFonts w:ascii="Calibri" w:hAnsi="Calibri" w:cs="Calibri"/>
          <w:color w:val="000000"/>
          <w:kern w:val="24"/>
          <w:sz w:val="24"/>
          <w:szCs w:val="24"/>
        </w:rPr>
      </w:pP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4.9% of vacancies were unfilled in 2012</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35% employers reported difficulty filling vacancies</w:t>
      </w: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17</w:t>
      </w:r>
    </w:p>
    <w:p w:rsidR="008B4F3F" w:rsidRDefault="008B4F3F" w:rsidP="008B4F3F">
      <w:pPr>
        <w:spacing w:line="360" w:lineRule="auto"/>
        <w:jc w:val="center"/>
      </w:pPr>
      <w:r>
        <w:object w:dxaOrig="7216" w:dyaOrig="5409">
          <v:shape id="_x0000_i1041" type="#_x0000_t75" style="width:270.35pt;height:203.1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41" DrawAspect="Content" ObjectID="_1428298536" r:id="rId39"/>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Recruitment Difficulty Easing:</w:t>
      </w:r>
    </w:p>
    <w:p w:rsidR="008B4F3F" w:rsidRDefault="008B4F3F" w:rsidP="008B4F3F">
      <w:pPr>
        <w:autoSpaceDE w:val="0"/>
        <w:autoSpaceDN w:val="0"/>
        <w:adjustRightInd w:val="0"/>
        <w:spacing w:after="0" w:line="240" w:lineRule="auto"/>
        <w:rPr>
          <w:rFonts w:ascii="Calibri" w:hAnsi="Calibri" w:cs="Calibri"/>
          <w:i/>
          <w:iCs/>
          <w:color w:val="000000"/>
          <w:kern w:val="24"/>
          <w:sz w:val="24"/>
          <w:szCs w:val="24"/>
        </w:rPr>
      </w:pPr>
      <w:r>
        <w:rPr>
          <w:rFonts w:ascii="Calibri" w:hAnsi="Calibri" w:cs="Calibri"/>
          <w:i/>
          <w:iCs/>
          <w:color w:val="000000"/>
          <w:kern w:val="24"/>
          <w:sz w:val="24"/>
          <w:szCs w:val="24"/>
        </w:rPr>
        <w:t xml:space="preserve">Source: </w:t>
      </w:r>
      <w:r>
        <w:rPr>
          <w:rFonts w:ascii="Calibri" w:hAnsi="Calibri" w:cs="Calibri"/>
          <w:color w:val="000000"/>
          <w:kern w:val="24"/>
          <w:sz w:val="24"/>
          <w:szCs w:val="24"/>
        </w:rPr>
        <w:t xml:space="preserve">DEEWR, </w:t>
      </w:r>
      <w:r>
        <w:rPr>
          <w:rFonts w:ascii="Calibri" w:hAnsi="Calibri" w:cs="Calibri"/>
          <w:i/>
          <w:iCs/>
          <w:color w:val="000000"/>
          <w:kern w:val="24"/>
          <w:sz w:val="24"/>
          <w:szCs w:val="24"/>
        </w:rPr>
        <w:t xml:space="preserve">Survey of Employers’ Recruitment Experiences, </w:t>
      </w:r>
      <w:r>
        <w:rPr>
          <w:rFonts w:ascii="Calibri" w:hAnsi="Calibri" w:cs="Calibri"/>
          <w:color w:val="000000"/>
          <w:kern w:val="24"/>
          <w:sz w:val="24"/>
          <w:szCs w:val="24"/>
        </w:rPr>
        <w:t>November 2012</w:t>
      </w:r>
    </w:p>
    <w:p w:rsidR="008B4F3F" w:rsidRDefault="008B4F3F" w:rsidP="008B4F3F">
      <w:pPr>
        <w:autoSpaceDE w:val="0"/>
        <w:autoSpaceDN w:val="0"/>
        <w:adjustRightInd w:val="0"/>
        <w:spacing w:after="0" w:line="240" w:lineRule="auto"/>
        <w:rPr>
          <w:rFonts w:ascii="Calibri" w:hAnsi="Calibri" w:cs="Calibri"/>
          <w:i/>
          <w:iCs/>
          <w:color w:val="000000"/>
          <w:kern w:val="24"/>
          <w:sz w:val="24"/>
          <w:szCs w:val="24"/>
        </w:rPr>
      </w:pP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Recruitment difficulty in the PEA has eased over the last year</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Much of this is due to fewer employers reporting difficulty recruiting for higher skilled occupations</w:t>
      </w: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18</w:t>
      </w:r>
    </w:p>
    <w:p w:rsidR="008B4F3F" w:rsidRDefault="008B4F3F" w:rsidP="008B4F3F">
      <w:pPr>
        <w:spacing w:line="360" w:lineRule="auto"/>
        <w:jc w:val="center"/>
      </w:pPr>
      <w:r>
        <w:object w:dxaOrig="7216" w:dyaOrig="5409">
          <v:shape id="_x0000_i1042" type="#_x0000_t75" style="width:270.35pt;height:203.1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42" DrawAspect="Content" ObjectID="_1428298537" r:id="rId41"/>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Occupations Difficult to Fill:</w:t>
      </w:r>
    </w:p>
    <w:p w:rsidR="008B4F3F" w:rsidRDefault="008B4F3F" w:rsidP="008B4F3F">
      <w:pPr>
        <w:autoSpaceDE w:val="0"/>
        <w:autoSpaceDN w:val="0"/>
        <w:adjustRightInd w:val="0"/>
        <w:spacing w:after="0" w:line="240" w:lineRule="auto"/>
        <w:rPr>
          <w:rFonts w:ascii="Calibri" w:hAnsi="Calibri" w:cs="Calibri"/>
          <w:i/>
          <w:iCs/>
          <w:color w:val="000000"/>
          <w:kern w:val="24"/>
          <w:sz w:val="24"/>
          <w:szCs w:val="24"/>
        </w:rPr>
      </w:pPr>
      <w:r>
        <w:rPr>
          <w:rFonts w:ascii="Calibri" w:hAnsi="Calibri" w:cs="Calibri"/>
          <w:i/>
          <w:iCs/>
          <w:color w:val="000000"/>
          <w:kern w:val="24"/>
          <w:sz w:val="24"/>
          <w:szCs w:val="24"/>
        </w:rPr>
        <w:t xml:space="preserve">Source: </w:t>
      </w:r>
      <w:r>
        <w:rPr>
          <w:rFonts w:ascii="Calibri" w:hAnsi="Calibri" w:cs="Calibri"/>
          <w:color w:val="000000"/>
          <w:kern w:val="24"/>
          <w:sz w:val="24"/>
          <w:szCs w:val="24"/>
        </w:rPr>
        <w:t xml:space="preserve">DEEWR, </w:t>
      </w:r>
      <w:r>
        <w:rPr>
          <w:rFonts w:ascii="Calibri" w:hAnsi="Calibri" w:cs="Calibri"/>
          <w:i/>
          <w:iCs/>
          <w:color w:val="000000"/>
          <w:kern w:val="24"/>
          <w:sz w:val="24"/>
          <w:szCs w:val="24"/>
        </w:rPr>
        <w:t xml:space="preserve">Survey of Employers’ Recruitment Experiences, </w:t>
      </w:r>
      <w:r>
        <w:rPr>
          <w:rFonts w:ascii="Calibri" w:hAnsi="Calibri" w:cs="Calibri"/>
          <w:color w:val="000000"/>
          <w:kern w:val="24"/>
          <w:sz w:val="24"/>
          <w:szCs w:val="24"/>
        </w:rPr>
        <w:t>November 2012</w:t>
      </w:r>
    </w:p>
    <w:p w:rsidR="008B4F3F" w:rsidRDefault="008B4F3F" w:rsidP="008B4F3F">
      <w:pPr>
        <w:autoSpaceDE w:val="0"/>
        <w:autoSpaceDN w:val="0"/>
        <w:adjustRightInd w:val="0"/>
        <w:spacing w:after="0" w:line="240" w:lineRule="auto"/>
        <w:rPr>
          <w:rFonts w:ascii="Calibri" w:hAnsi="Calibri" w:cs="Calibri"/>
          <w:i/>
          <w:iCs/>
          <w:color w:val="000000"/>
          <w:kern w:val="24"/>
          <w:sz w:val="24"/>
          <w:szCs w:val="24"/>
        </w:rPr>
      </w:pP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The most commonly cited occupations included Chefs, Early Childhood (pre-Primary School) Teachers, Structural Steel and Welding Trades Workers, Waiters, Receptionists and Truck Drivers</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Most common reason for recruitment difficulty: hard to find people with necessary skills (60 per cent)</w:t>
      </w: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19</w:t>
      </w:r>
    </w:p>
    <w:p w:rsidR="008B4F3F" w:rsidRDefault="008B4F3F" w:rsidP="008B4F3F">
      <w:pPr>
        <w:spacing w:line="360" w:lineRule="auto"/>
        <w:jc w:val="center"/>
      </w:pPr>
      <w:r>
        <w:object w:dxaOrig="7216" w:dyaOrig="5409">
          <v:shape id="_x0000_i1043" type="#_x0000_t75" style="width:270.35pt;height:203.1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43" DrawAspect="Content" ObjectID="_1428298538" r:id="rId43"/>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Strong Competition for Vacancies:</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i/>
          <w:iCs/>
          <w:color w:val="000000"/>
          <w:kern w:val="24"/>
          <w:sz w:val="24"/>
          <w:szCs w:val="24"/>
        </w:rPr>
        <w:t xml:space="preserve">Source: </w:t>
      </w:r>
      <w:r>
        <w:rPr>
          <w:rFonts w:ascii="Calibri" w:hAnsi="Calibri" w:cs="Calibri"/>
          <w:color w:val="000000"/>
          <w:kern w:val="24"/>
          <w:sz w:val="24"/>
          <w:szCs w:val="24"/>
        </w:rPr>
        <w:t xml:space="preserve">DEEWR, </w:t>
      </w:r>
      <w:r>
        <w:rPr>
          <w:rFonts w:ascii="Calibri" w:hAnsi="Calibri" w:cs="Calibri"/>
          <w:i/>
          <w:iCs/>
          <w:color w:val="000000"/>
          <w:kern w:val="24"/>
          <w:sz w:val="24"/>
          <w:szCs w:val="24"/>
        </w:rPr>
        <w:t xml:space="preserve">Survey of Employers’ Recruitment Experiences, </w:t>
      </w:r>
      <w:r>
        <w:rPr>
          <w:rFonts w:ascii="Calibri" w:hAnsi="Calibri" w:cs="Calibri"/>
          <w:color w:val="000000"/>
          <w:kern w:val="24"/>
          <w:sz w:val="24"/>
          <w:szCs w:val="24"/>
        </w:rPr>
        <w:t>November 2012</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The average number of applicants per vacancy (12.6) was higher than the previous survey (9.3) and the average for all regions surveyed (8.2). Competition for vacancies was particularly high for Clerical and Administrative Workers and Machinery Operators and Drivers.</w:t>
      </w: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20</w:t>
      </w:r>
    </w:p>
    <w:p w:rsidR="008B4F3F" w:rsidRDefault="008B4F3F" w:rsidP="008B4F3F">
      <w:pPr>
        <w:spacing w:line="360" w:lineRule="auto"/>
        <w:jc w:val="center"/>
      </w:pPr>
      <w:r>
        <w:object w:dxaOrig="7216" w:dyaOrig="5409">
          <v:shape id="_x0000_i1044" type="#_x0000_t75" style="width:270.35pt;height:203.1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44" DrawAspect="Content" ObjectID="_1428298539" r:id="rId45"/>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Most Applicants Unsuitable:</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i/>
          <w:iCs/>
          <w:color w:val="000000"/>
          <w:kern w:val="24"/>
          <w:sz w:val="24"/>
          <w:szCs w:val="24"/>
        </w:rPr>
        <w:t xml:space="preserve">Source: </w:t>
      </w:r>
      <w:r>
        <w:rPr>
          <w:rFonts w:ascii="Calibri" w:hAnsi="Calibri" w:cs="Calibri"/>
          <w:color w:val="000000"/>
          <w:kern w:val="24"/>
          <w:sz w:val="24"/>
          <w:szCs w:val="24"/>
        </w:rPr>
        <w:t xml:space="preserve">DEEWR, </w:t>
      </w:r>
      <w:r>
        <w:rPr>
          <w:rFonts w:ascii="Calibri" w:hAnsi="Calibri" w:cs="Calibri"/>
          <w:i/>
          <w:iCs/>
          <w:color w:val="000000"/>
          <w:kern w:val="24"/>
          <w:sz w:val="24"/>
          <w:szCs w:val="24"/>
        </w:rPr>
        <w:t xml:space="preserve">Survey of Employers’ Recruitment Experiences, </w:t>
      </w:r>
      <w:r>
        <w:rPr>
          <w:rFonts w:ascii="Calibri" w:hAnsi="Calibri" w:cs="Calibri"/>
          <w:color w:val="000000"/>
          <w:kern w:val="24"/>
          <w:sz w:val="24"/>
          <w:szCs w:val="24"/>
        </w:rPr>
        <w:t>November 2012</w:t>
      </w: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79% of all applicants were considered unsuitable</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The most often cited reasons for applicant unsuitability were:</w:t>
      </w:r>
    </w:p>
    <w:p w:rsidR="008B4F3F" w:rsidRDefault="008B4F3F" w:rsidP="008B4F3F">
      <w:pPr>
        <w:autoSpaceDE w:val="0"/>
        <w:autoSpaceDN w:val="0"/>
        <w:adjustRightInd w:val="0"/>
        <w:spacing w:after="0" w:line="240" w:lineRule="auto"/>
        <w:ind w:left="720"/>
        <w:rPr>
          <w:rFonts w:ascii="Calibri" w:hAnsi="Calibri" w:cs="Calibri"/>
          <w:color w:val="000000"/>
          <w:kern w:val="24"/>
          <w:sz w:val="24"/>
          <w:szCs w:val="24"/>
        </w:rPr>
      </w:pPr>
      <w:r>
        <w:rPr>
          <w:rFonts w:ascii="Calibri" w:hAnsi="Calibri" w:cs="Calibri"/>
          <w:color w:val="000000"/>
          <w:kern w:val="24"/>
          <w:sz w:val="24"/>
          <w:szCs w:val="24"/>
        </w:rPr>
        <w:t>Insufficient experience (70%)</w:t>
      </w:r>
    </w:p>
    <w:p w:rsidR="008B4F3F" w:rsidRDefault="008B4F3F" w:rsidP="008B4F3F">
      <w:pPr>
        <w:autoSpaceDE w:val="0"/>
        <w:autoSpaceDN w:val="0"/>
        <w:adjustRightInd w:val="0"/>
        <w:spacing w:after="0" w:line="240" w:lineRule="auto"/>
        <w:ind w:left="720"/>
        <w:rPr>
          <w:rFonts w:ascii="Calibri" w:hAnsi="Calibri" w:cs="Calibri"/>
          <w:color w:val="000000"/>
          <w:kern w:val="24"/>
          <w:sz w:val="24"/>
          <w:szCs w:val="24"/>
        </w:rPr>
      </w:pPr>
      <w:r>
        <w:rPr>
          <w:rFonts w:ascii="Calibri" w:hAnsi="Calibri" w:cs="Calibri"/>
          <w:color w:val="000000"/>
          <w:kern w:val="24"/>
          <w:sz w:val="24"/>
          <w:szCs w:val="24"/>
        </w:rPr>
        <w:t>Insufficient qualifications or training (30%)</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Job seekers should consider relevant work experience and training to increase chances of employment</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21</w:t>
      </w:r>
    </w:p>
    <w:p w:rsidR="008B4F3F" w:rsidRDefault="008B4F3F" w:rsidP="008B4F3F">
      <w:pPr>
        <w:spacing w:line="360" w:lineRule="auto"/>
        <w:jc w:val="center"/>
      </w:pPr>
      <w:r>
        <w:object w:dxaOrig="7216" w:dyaOrig="5409">
          <v:shape id="_x0000_i1045" type="#_x0000_t75" style="width:270.35pt;height:203.1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45" DrawAspect="Content" ObjectID="_1428298540" r:id="rId47"/>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Times New Roman" w:cs="Calibri"/>
          <w:b/>
          <w:bCs/>
          <w:color w:val="000000"/>
          <w:kern w:val="24"/>
          <w:sz w:val="24"/>
          <w:szCs w:val="24"/>
          <w:u w:val="single"/>
        </w:rPr>
      </w:pPr>
      <w:r>
        <w:rPr>
          <w:rFonts w:ascii="Calibri" w:hAnsi="Times New Roman" w:cs="Calibri"/>
          <w:b/>
          <w:bCs/>
          <w:color w:val="000000"/>
          <w:kern w:val="24"/>
          <w:sz w:val="24"/>
          <w:szCs w:val="24"/>
          <w:u w:val="single"/>
        </w:rPr>
        <w:t>Basic Employability Skills:</w:t>
      </w:r>
    </w:p>
    <w:p w:rsidR="008B4F3F" w:rsidRDefault="008B4F3F" w:rsidP="008B4F3F">
      <w:pPr>
        <w:autoSpaceDE w:val="0"/>
        <w:autoSpaceDN w:val="0"/>
        <w:adjustRightInd w:val="0"/>
        <w:spacing w:after="0" w:line="240" w:lineRule="auto"/>
        <w:rPr>
          <w:rFonts w:ascii="Calibri" w:hAnsi="Times New Roman" w:cs="Calibri"/>
          <w:i/>
          <w:iCs/>
          <w:color w:val="000000"/>
          <w:kern w:val="24"/>
          <w:sz w:val="24"/>
          <w:szCs w:val="24"/>
        </w:rPr>
      </w:pPr>
      <w:r>
        <w:rPr>
          <w:rFonts w:ascii="Calibri" w:hAnsi="Times New Roman" w:cs="Calibri"/>
          <w:i/>
          <w:iCs/>
          <w:color w:val="000000"/>
          <w:kern w:val="24"/>
          <w:sz w:val="24"/>
          <w:szCs w:val="24"/>
        </w:rPr>
        <w:t xml:space="preserve">Source: </w:t>
      </w:r>
      <w:r>
        <w:rPr>
          <w:rFonts w:ascii="Calibri" w:hAnsi="Times New Roman" w:cs="Calibri"/>
          <w:color w:val="000000"/>
          <w:kern w:val="24"/>
          <w:sz w:val="24"/>
          <w:szCs w:val="24"/>
        </w:rPr>
        <w:t>DEEWR</w:t>
      </w:r>
      <w:r>
        <w:rPr>
          <w:rFonts w:ascii="Calibri" w:hAnsi="Times New Roman" w:cs="Calibri"/>
          <w:i/>
          <w:iCs/>
          <w:color w:val="000000"/>
          <w:kern w:val="24"/>
          <w:sz w:val="24"/>
          <w:szCs w:val="24"/>
        </w:rPr>
        <w:t>, Survey of Employers</w:t>
      </w:r>
      <w:r>
        <w:rPr>
          <w:rFonts w:ascii="Calibri" w:hAnsi="Times New Roman" w:cs="Calibri"/>
          <w:i/>
          <w:iCs/>
          <w:color w:val="000000"/>
          <w:kern w:val="24"/>
          <w:sz w:val="24"/>
          <w:szCs w:val="24"/>
        </w:rPr>
        <w:t>’</w:t>
      </w:r>
      <w:r>
        <w:rPr>
          <w:rFonts w:ascii="Calibri" w:hAnsi="Times New Roman" w:cs="Calibri"/>
          <w:i/>
          <w:iCs/>
          <w:color w:val="000000"/>
          <w:kern w:val="24"/>
          <w:sz w:val="24"/>
          <w:szCs w:val="24"/>
        </w:rPr>
        <w:t xml:space="preserve"> Recruitment Experiences, All regions surveyed in the 12 months to December 2010</w:t>
      </w:r>
    </w:p>
    <w:p w:rsidR="008B4F3F" w:rsidRDefault="008B4F3F" w:rsidP="008B4F3F">
      <w:pPr>
        <w:autoSpaceDE w:val="0"/>
        <w:autoSpaceDN w:val="0"/>
        <w:adjustRightInd w:val="0"/>
        <w:spacing w:after="0" w:line="240" w:lineRule="auto"/>
        <w:rPr>
          <w:rFonts w:ascii="Calibri" w:hAnsi="Times New Roman" w:cs="Calibri"/>
          <w:color w:val="000000"/>
          <w:kern w:val="24"/>
          <w:sz w:val="24"/>
          <w:szCs w:val="24"/>
        </w:rPr>
      </w:pPr>
    </w:p>
    <w:p w:rsidR="008B4F3F" w:rsidRDefault="008B4F3F" w:rsidP="008B4F3F">
      <w:pPr>
        <w:autoSpaceDE w:val="0"/>
        <w:autoSpaceDN w:val="0"/>
        <w:adjustRightInd w:val="0"/>
        <w:spacing w:after="0" w:line="240" w:lineRule="auto"/>
        <w:rPr>
          <w:rFonts w:ascii="Calibri" w:hAnsi="Times New Roman" w:cs="Calibri"/>
          <w:color w:val="000000"/>
          <w:kern w:val="24"/>
          <w:sz w:val="24"/>
          <w:szCs w:val="24"/>
        </w:rPr>
      </w:pPr>
      <w:r>
        <w:rPr>
          <w:rFonts w:ascii="Calibri" w:hAnsi="Times New Roman" w:cs="Calibri"/>
          <w:color w:val="000000"/>
          <w:kern w:val="24"/>
          <w:sz w:val="24"/>
          <w:szCs w:val="24"/>
        </w:rPr>
        <w:t>Most importance placed on:</w:t>
      </w:r>
    </w:p>
    <w:p w:rsidR="008B4F3F" w:rsidRDefault="008B4F3F" w:rsidP="008B4F3F">
      <w:pPr>
        <w:numPr>
          <w:ilvl w:val="0"/>
          <w:numId w:val="2"/>
        </w:numPr>
        <w:autoSpaceDE w:val="0"/>
        <w:autoSpaceDN w:val="0"/>
        <w:adjustRightInd w:val="0"/>
        <w:spacing w:after="0" w:line="240" w:lineRule="auto"/>
        <w:ind w:left="1129" w:hanging="434"/>
        <w:rPr>
          <w:rFonts w:ascii="Calibri" w:hAnsi="Times New Roman" w:cs="Calibri"/>
          <w:color w:val="000000"/>
          <w:sz w:val="24"/>
          <w:szCs w:val="24"/>
        </w:rPr>
      </w:pPr>
      <w:r>
        <w:rPr>
          <w:rFonts w:ascii="Calibri" w:hAnsi="Times New Roman" w:cs="Calibri"/>
          <w:color w:val="000000"/>
          <w:sz w:val="24"/>
          <w:szCs w:val="24"/>
        </w:rPr>
        <w:t>30% personal traits and qualities only</w:t>
      </w:r>
    </w:p>
    <w:p w:rsidR="008B4F3F" w:rsidRDefault="008B4F3F" w:rsidP="008B4F3F">
      <w:pPr>
        <w:numPr>
          <w:ilvl w:val="0"/>
          <w:numId w:val="2"/>
        </w:numPr>
        <w:autoSpaceDE w:val="0"/>
        <w:autoSpaceDN w:val="0"/>
        <w:adjustRightInd w:val="0"/>
        <w:spacing w:after="0" w:line="240" w:lineRule="auto"/>
        <w:ind w:left="1129" w:hanging="434"/>
        <w:rPr>
          <w:rFonts w:ascii="Calibri" w:hAnsi="Times New Roman" w:cs="Calibri"/>
          <w:color w:val="000000"/>
          <w:sz w:val="24"/>
          <w:szCs w:val="24"/>
        </w:rPr>
      </w:pPr>
      <w:r>
        <w:rPr>
          <w:rFonts w:ascii="Calibri" w:hAnsi="Times New Roman" w:cs="Calibri"/>
          <w:color w:val="000000"/>
          <w:sz w:val="24"/>
          <w:szCs w:val="24"/>
        </w:rPr>
        <w:t>28% technical skills only</w:t>
      </w:r>
    </w:p>
    <w:p w:rsidR="008B4F3F" w:rsidRDefault="008B4F3F" w:rsidP="008B4F3F">
      <w:pPr>
        <w:numPr>
          <w:ilvl w:val="0"/>
          <w:numId w:val="2"/>
        </w:numPr>
        <w:autoSpaceDE w:val="0"/>
        <w:autoSpaceDN w:val="0"/>
        <w:adjustRightInd w:val="0"/>
        <w:spacing w:after="0" w:line="240" w:lineRule="auto"/>
        <w:ind w:left="1129" w:hanging="434"/>
        <w:rPr>
          <w:rFonts w:ascii="Calibri" w:hAnsi="Times New Roman" w:cs="Calibri"/>
          <w:color w:val="000000"/>
          <w:sz w:val="24"/>
          <w:szCs w:val="24"/>
        </w:rPr>
      </w:pPr>
      <w:r>
        <w:rPr>
          <w:rFonts w:ascii="Calibri" w:hAnsi="Times New Roman" w:cs="Calibri"/>
          <w:color w:val="000000"/>
          <w:sz w:val="24"/>
          <w:szCs w:val="24"/>
        </w:rPr>
        <w:t>41% both equally important</w:t>
      </w:r>
    </w:p>
    <w:p w:rsidR="008B4F3F" w:rsidRDefault="008B4F3F" w:rsidP="008B4F3F">
      <w:pPr>
        <w:autoSpaceDE w:val="0"/>
        <w:autoSpaceDN w:val="0"/>
        <w:adjustRightInd w:val="0"/>
        <w:spacing w:after="0" w:line="240" w:lineRule="auto"/>
        <w:rPr>
          <w:rFonts w:ascii="Calibri" w:hAnsi="Times New Roman" w:cs="Calibri"/>
          <w:color w:val="000000"/>
          <w:kern w:val="24"/>
          <w:sz w:val="24"/>
          <w:szCs w:val="24"/>
        </w:rPr>
      </w:pPr>
      <w:r>
        <w:rPr>
          <w:rFonts w:ascii="Calibri" w:hAnsi="Times New Roman" w:cs="Calibri"/>
          <w:color w:val="000000"/>
          <w:kern w:val="24"/>
          <w:sz w:val="24"/>
          <w:szCs w:val="24"/>
        </w:rPr>
        <w:t>Personal traits and qualities applicants lacked:</w:t>
      </w:r>
    </w:p>
    <w:p w:rsidR="008B4F3F" w:rsidRDefault="008B4F3F" w:rsidP="008B4F3F">
      <w:pPr>
        <w:numPr>
          <w:ilvl w:val="0"/>
          <w:numId w:val="2"/>
        </w:numPr>
        <w:autoSpaceDE w:val="0"/>
        <w:autoSpaceDN w:val="0"/>
        <w:adjustRightInd w:val="0"/>
        <w:spacing w:after="0" w:line="240" w:lineRule="auto"/>
        <w:ind w:left="1129" w:hanging="434"/>
        <w:rPr>
          <w:rFonts w:ascii="Calibri" w:hAnsi="Times New Roman" w:cs="Calibri"/>
          <w:color w:val="000000"/>
          <w:sz w:val="24"/>
          <w:szCs w:val="24"/>
        </w:rPr>
      </w:pPr>
      <w:r>
        <w:rPr>
          <w:rFonts w:ascii="Calibri" w:hAnsi="Times New Roman" w:cs="Calibri"/>
          <w:color w:val="000000"/>
          <w:sz w:val="24"/>
          <w:szCs w:val="24"/>
        </w:rPr>
        <w:t>Enthusiasm</w:t>
      </w:r>
    </w:p>
    <w:p w:rsidR="008B4F3F" w:rsidRDefault="008B4F3F" w:rsidP="008B4F3F">
      <w:pPr>
        <w:numPr>
          <w:ilvl w:val="0"/>
          <w:numId w:val="2"/>
        </w:numPr>
        <w:autoSpaceDE w:val="0"/>
        <w:autoSpaceDN w:val="0"/>
        <w:adjustRightInd w:val="0"/>
        <w:spacing w:after="0" w:line="240" w:lineRule="auto"/>
        <w:ind w:left="1129" w:hanging="434"/>
        <w:rPr>
          <w:rFonts w:ascii="Calibri" w:hAnsi="Times New Roman" w:cs="Calibri"/>
          <w:color w:val="000000"/>
          <w:sz w:val="24"/>
          <w:szCs w:val="24"/>
        </w:rPr>
      </w:pPr>
      <w:r>
        <w:rPr>
          <w:rFonts w:ascii="Calibri" w:hAnsi="Times New Roman" w:cs="Calibri"/>
          <w:color w:val="000000"/>
          <w:sz w:val="24"/>
          <w:szCs w:val="24"/>
        </w:rPr>
        <w:t>Motivation</w:t>
      </w:r>
    </w:p>
    <w:p w:rsidR="008B4F3F" w:rsidRDefault="008B4F3F" w:rsidP="008B4F3F">
      <w:pPr>
        <w:numPr>
          <w:ilvl w:val="0"/>
          <w:numId w:val="2"/>
        </w:numPr>
        <w:autoSpaceDE w:val="0"/>
        <w:autoSpaceDN w:val="0"/>
        <w:adjustRightInd w:val="0"/>
        <w:spacing w:after="0" w:line="240" w:lineRule="auto"/>
        <w:ind w:left="1129" w:hanging="434"/>
        <w:rPr>
          <w:rFonts w:ascii="Calibri" w:hAnsi="Times New Roman" w:cs="Calibri"/>
          <w:color w:val="000000"/>
          <w:sz w:val="24"/>
          <w:szCs w:val="24"/>
        </w:rPr>
      </w:pPr>
      <w:r>
        <w:rPr>
          <w:rFonts w:ascii="Calibri" w:hAnsi="Times New Roman" w:cs="Calibri"/>
          <w:color w:val="000000"/>
          <w:sz w:val="24"/>
          <w:szCs w:val="24"/>
        </w:rPr>
        <w:t>Communication</w:t>
      </w:r>
    </w:p>
    <w:p w:rsidR="008B4F3F" w:rsidRDefault="008B4F3F" w:rsidP="008B4F3F">
      <w:pPr>
        <w:numPr>
          <w:ilvl w:val="0"/>
          <w:numId w:val="2"/>
        </w:numPr>
        <w:autoSpaceDE w:val="0"/>
        <w:autoSpaceDN w:val="0"/>
        <w:adjustRightInd w:val="0"/>
        <w:spacing w:after="0" w:line="240" w:lineRule="auto"/>
        <w:ind w:left="1129" w:hanging="434"/>
        <w:rPr>
          <w:rFonts w:ascii="Calibri" w:hAnsi="Times New Roman" w:cs="Calibri"/>
          <w:color w:val="000000"/>
          <w:sz w:val="24"/>
          <w:szCs w:val="24"/>
        </w:rPr>
      </w:pPr>
      <w:r>
        <w:rPr>
          <w:rFonts w:ascii="Calibri" w:hAnsi="Times New Roman" w:cs="Calibri"/>
          <w:color w:val="000000"/>
          <w:sz w:val="24"/>
          <w:szCs w:val="24"/>
        </w:rPr>
        <w:t>Confidence</w:t>
      </w:r>
    </w:p>
    <w:p w:rsidR="008B4F3F" w:rsidRDefault="008B4F3F" w:rsidP="008B4F3F">
      <w:pPr>
        <w:numPr>
          <w:ilvl w:val="0"/>
          <w:numId w:val="2"/>
        </w:numPr>
        <w:autoSpaceDE w:val="0"/>
        <w:autoSpaceDN w:val="0"/>
        <w:adjustRightInd w:val="0"/>
        <w:spacing w:after="0" w:line="240" w:lineRule="auto"/>
        <w:ind w:left="1129" w:hanging="434"/>
        <w:rPr>
          <w:rFonts w:ascii="Calibri" w:hAnsi="Times New Roman" w:cs="Calibri"/>
          <w:color w:val="000000"/>
          <w:sz w:val="24"/>
          <w:szCs w:val="24"/>
        </w:rPr>
      </w:pPr>
      <w:r>
        <w:rPr>
          <w:rFonts w:ascii="Calibri" w:hAnsi="Times New Roman" w:cs="Calibri"/>
          <w:color w:val="000000"/>
          <w:sz w:val="24"/>
          <w:szCs w:val="24"/>
        </w:rPr>
        <w:t>Teamwork</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22</w:t>
      </w:r>
    </w:p>
    <w:p w:rsidR="008B4F3F" w:rsidRDefault="008B4F3F" w:rsidP="008B4F3F">
      <w:pPr>
        <w:spacing w:line="360" w:lineRule="auto"/>
        <w:jc w:val="center"/>
      </w:pPr>
      <w:r>
        <w:object w:dxaOrig="7216" w:dyaOrig="5409">
          <v:shape id="_x0000_i1046" type="#_x0000_t75" style="width:270.35pt;height:203.1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46" DrawAspect="Content" ObjectID="_1428298541" r:id="rId49"/>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Most employers recruit formally:</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i/>
          <w:iCs/>
          <w:color w:val="000000"/>
          <w:kern w:val="24"/>
          <w:sz w:val="24"/>
          <w:szCs w:val="24"/>
        </w:rPr>
        <w:t xml:space="preserve">Source: </w:t>
      </w:r>
      <w:r>
        <w:rPr>
          <w:rFonts w:ascii="Calibri" w:hAnsi="Calibri" w:cs="Calibri"/>
          <w:color w:val="000000"/>
          <w:kern w:val="24"/>
          <w:sz w:val="24"/>
          <w:szCs w:val="24"/>
        </w:rPr>
        <w:t xml:space="preserve">DEEWR, </w:t>
      </w:r>
      <w:r>
        <w:rPr>
          <w:rFonts w:ascii="Calibri" w:hAnsi="Calibri" w:cs="Calibri"/>
          <w:i/>
          <w:iCs/>
          <w:color w:val="000000"/>
          <w:kern w:val="24"/>
          <w:sz w:val="24"/>
          <w:szCs w:val="24"/>
        </w:rPr>
        <w:t xml:space="preserve">Survey of Employers’ Recruitment Experiences, </w:t>
      </w:r>
      <w:r>
        <w:rPr>
          <w:rFonts w:ascii="Calibri" w:hAnsi="Calibri" w:cs="Calibri"/>
          <w:color w:val="000000"/>
          <w:kern w:val="24"/>
          <w:sz w:val="24"/>
          <w:szCs w:val="24"/>
        </w:rPr>
        <w:t>November 2012</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Formal methods of recruitment include advertising online or in a newspaper.</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79 per cent of employers surveyed used formal methods of recruitment, receiving an average of 15.3 applicants per vacancy</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By contrast, one in five (21 per cent) employers used informal methods only (word of mouth, approached by job seeker), receiving an average of just 1.5 applicants per vacancy</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Job seekers can increase their chances of employment by engaging these informal methods used by employers</w:t>
      </w: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23</w:t>
      </w:r>
    </w:p>
    <w:p w:rsidR="008B4F3F" w:rsidRDefault="008B4F3F" w:rsidP="008B4F3F">
      <w:pPr>
        <w:spacing w:line="360" w:lineRule="auto"/>
        <w:jc w:val="center"/>
      </w:pPr>
      <w:r>
        <w:object w:dxaOrig="7216" w:dyaOrig="5409">
          <v:shape id="_x0000_i1047" type="#_x0000_t75" style="width:270.35pt;height:203.1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47" DrawAspect="Content" ObjectID="_1428298542" r:id="rId51"/>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Recruitment Expectations Subdued:</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i/>
          <w:iCs/>
          <w:color w:val="000000"/>
          <w:kern w:val="24"/>
          <w:sz w:val="24"/>
          <w:szCs w:val="24"/>
        </w:rPr>
        <w:t xml:space="preserve">Source: </w:t>
      </w:r>
      <w:r>
        <w:rPr>
          <w:rFonts w:ascii="Calibri" w:hAnsi="Calibri" w:cs="Calibri"/>
          <w:color w:val="000000"/>
          <w:kern w:val="24"/>
          <w:sz w:val="24"/>
          <w:szCs w:val="24"/>
        </w:rPr>
        <w:t xml:space="preserve">DEEWR, </w:t>
      </w:r>
      <w:r>
        <w:rPr>
          <w:rFonts w:ascii="Calibri" w:hAnsi="Calibri" w:cs="Calibri"/>
          <w:i/>
          <w:iCs/>
          <w:color w:val="000000"/>
          <w:kern w:val="24"/>
          <w:sz w:val="24"/>
          <w:szCs w:val="24"/>
        </w:rPr>
        <w:t xml:space="preserve">Survey of Employers’ Recruitment Experiences, </w:t>
      </w:r>
      <w:r>
        <w:rPr>
          <w:rFonts w:ascii="Calibri" w:hAnsi="Calibri" w:cs="Calibri"/>
          <w:color w:val="000000"/>
          <w:kern w:val="24"/>
          <w:sz w:val="24"/>
          <w:szCs w:val="24"/>
        </w:rPr>
        <w:t>November 2012</w:t>
      </w:r>
    </w:p>
    <w:p w:rsidR="008B4F3F" w:rsidRDefault="008B4F3F" w:rsidP="008B4F3F">
      <w:pPr>
        <w:autoSpaceDE w:val="0"/>
        <w:autoSpaceDN w:val="0"/>
        <w:adjustRightInd w:val="0"/>
        <w:spacing w:after="0" w:line="240" w:lineRule="auto"/>
        <w:rPr>
          <w:rFonts w:ascii="Calibri" w:hAnsi="Calibri" w:cs="Calibri"/>
          <w:i/>
          <w:iCs/>
          <w:color w:val="000000"/>
          <w:kern w:val="24"/>
          <w:sz w:val="24"/>
          <w:szCs w:val="24"/>
        </w:rPr>
      </w:pP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Survey results suggest a continuation of below-average recruitment activity</w:t>
      </w:r>
    </w:p>
    <w:p w:rsidR="008B4F3F" w:rsidRDefault="008B4F3F" w:rsidP="008B4F3F">
      <w:pPr>
        <w:numPr>
          <w:ilvl w:val="0"/>
          <w:numId w:val="1"/>
        </w:numPr>
        <w:autoSpaceDE w:val="0"/>
        <w:autoSpaceDN w:val="0"/>
        <w:adjustRightInd w:val="0"/>
        <w:spacing w:after="0" w:line="240" w:lineRule="auto"/>
        <w:ind w:left="955" w:hanging="260"/>
        <w:rPr>
          <w:rFonts w:ascii="Calibri" w:hAnsi="Calibri" w:cs="Calibri"/>
          <w:color w:val="000000"/>
          <w:kern w:val="24"/>
          <w:sz w:val="24"/>
          <w:szCs w:val="24"/>
        </w:rPr>
      </w:pPr>
      <w:r>
        <w:rPr>
          <w:rFonts w:ascii="Calibri" w:hAnsi="Calibri" w:cs="Calibri"/>
          <w:color w:val="000000"/>
          <w:kern w:val="24"/>
          <w:sz w:val="24"/>
          <w:szCs w:val="24"/>
        </w:rPr>
        <w:t>Just 41 per cent expect to recruit</w:t>
      </w:r>
    </w:p>
    <w:p w:rsidR="008B4F3F" w:rsidRDefault="008B4F3F" w:rsidP="008B4F3F">
      <w:pPr>
        <w:numPr>
          <w:ilvl w:val="0"/>
          <w:numId w:val="1"/>
        </w:numPr>
        <w:autoSpaceDE w:val="0"/>
        <w:autoSpaceDN w:val="0"/>
        <w:adjustRightInd w:val="0"/>
        <w:spacing w:after="0" w:line="240" w:lineRule="auto"/>
        <w:ind w:left="955" w:hanging="260"/>
        <w:rPr>
          <w:rFonts w:ascii="Calibri" w:hAnsi="Calibri" w:cs="Calibri"/>
          <w:color w:val="000000"/>
          <w:kern w:val="24"/>
          <w:sz w:val="24"/>
          <w:szCs w:val="24"/>
        </w:rPr>
      </w:pPr>
      <w:r>
        <w:rPr>
          <w:rFonts w:ascii="Calibri" w:hAnsi="Calibri" w:cs="Calibri"/>
          <w:color w:val="000000"/>
          <w:kern w:val="24"/>
          <w:sz w:val="24"/>
          <w:szCs w:val="24"/>
        </w:rPr>
        <w:t>Only one in five expect to increase staff numbers</w:t>
      </w:r>
    </w:p>
    <w:p w:rsidR="008B4F3F" w:rsidRDefault="008B4F3F" w:rsidP="008B4F3F">
      <w:pPr>
        <w:numPr>
          <w:ilvl w:val="0"/>
          <w:numId w:val="1"/>
        </w:numPr>
        <w:autoSpaceDE w:val="0"/>
        <w:autoSpaceDN w:val="0"/>
        <w:adjustRightInd w:val="0"/>
        <w:spacing w:after="0" w:line="240" w:lineRule="auto"/>
        <w:ind w:left="260" w:hanging="260"/>
        <w:rPr>
          <w:rFonts w:ascii="Calibri" w:hAnsi="Calibri" w:cs="Calibri"/>
          <w:color w:val="000000"/>
          <w:kern w:val="24"/>
          <w:sz w:val="24"/>
          <w:szCs w:val="24"/>
        </w:rPr>
      </w:pPr>
      <w:r>
        <w:rPr>
          <w:rFonts w:ascii="Calibri" w:hAnsi="Calibri" w:cs="Calibri"/>
          <w:color w:val="000000"/>
          <w:kern w:val="24"/>
          <w:sz w:val="24"/>
          <w:szCs w:val="24"/>
        </w:rPr>
        <w:t>Recruitment outlook more favourable in Accommodation and Food Services and Health Care and Social Assistance industries, with around one third of businesses expecting to increase staff numbers</w:t>
      </w: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24</w:t>
      </w:r>
    </w:p>
    <w:p w:rsidR="008B4F3F" w:rsidRDefault="008B4F3F" w:rsidP="008B4F3F">
      <w:pPr>
        <w:spacing w:line="360" w:lineRule="auto"/>
        <w:jc w:val="center"/>
      </w:pPr>
      <w:r>
        <w:object w:dxaOrig="7216" w:dyaOrig="5409">
          <v:shape id="_x0000_i1048" type="#_x0000_t75" style="width:270.35pt;height:203.1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048" DrawAspect="Content" ObjectID="_1428298543" r:id="rId53"/>
        </w:object>
      </w:r>
    </w:p>
    <w:p w:rsidR="008B4F3F" w:rsidRDefault="008B4F3F" w:rsidP="008B4F3F">
      <w:pPr>
        <w:spacing w:line="360" w:lineRule="auto"/>
        <w:jc w:val="center"/>
      </w:pPr>
    </w:p>
    <w:p w:rsidR="008B4F3F" w:rsidRPr="00F7595D" w:rsidRDefault="008B4F3F" w:rsidP="008B4F3F">
      <w:pPr>
        <w:autoSpaceDE w:val="0"/>
        <w:autoSpaceDN w:val="0"/>
        <w:adjustRightInd w:val="0"/>
        <w:spacing w:after="0" w:line="240" w:lineRule="auto"/>
        <w:ind w:left="521" w:hanging="521"/>
        <w:rPr>
          <w:rFonts w:ascii="Calibri" w:hAnsi="Calibri" w:cs="Calibri"/>
          <w:b/>
          <w:bCs/>
          <w:color w:val="000000"/>
          <w:sz w:val="24"/>
          <w:szCs w:val="20"/>
          <w:u w:val="single"/>
        </w:rPr>
      </w:pPr>
      <w:r w:rsidRPr="00F7595D">
        <w:rPr>
          <w:rFonts w:ascii="Calibri" w:hAnsi="Calibri" w:cs="Calibri"/>
          <w:b/>
          <w:bCs/>
          <w:color w:val="000000"/>
          <w:sz w:val="24"/>
          <w:szCs w:val="20"/>
          <w:u w:val="single"/>
        </w:rPr>
        <w:t>Conclusion:</w:t>
      </w:r>
    </w:p>
    <w:p w:rsidR="008B4F3F" w:rsidRDefault="008B4F3F" w:rsidP="008B4F3F">
      <w:pPr>
        <w:autoSpaceDE w:val="0"/>
        <w:autoSpaceDN w:val="0"/>
        <w:adjustRightInd w:val="0"/>
        <w:spacing w:after="0" w:line="240" w:lineRule="auto"/>
        <w:ind w:left="521" w:hanging="521"/>
        <w:rPr>
          <w:rFonts w:ascii="Calibri" w:hAnsi="Calibri" w:cs="Calibri"/>
          <w:b/>
          <w:bCs/>
          <w:color w:val="000000"/>
          <w:sz w:val="20"/>
          <w:szCs w:val="20"/>
          <w:u w:val="single"/>
        </w:rPr>
      </w:pPr>
    </w:p>
    <w:p w:rsidR="008B4F3F" w:rsidRDefault="008B4F3F" w:rsidP="008B4F3F">
      <w:pPr>
        <w:numPr>
          <w:ilvl w:val="0"/>
          <w:numId w:val="3"/>
        </w:numPr>
        <w:autoSpaceDE w:val="0"/>
        <w:autoSpaceDN w:val="0"/>
        <w:adjustRightInd w:val="0"/>
        <w:spacing w:after="0" w:line="240" w:lineRule="auto"/>
        <w:ind w:left="521" w:hanging="521"/>
        <w:rPr>
          <w:rFonts w:ascii="Calibri" w:hAnsi="Times New Roman" w:cs="Calibri"/>
          <w:color w:val="000000"/>
          <w:kern w:val="24"/>
          <w:sz w:val="24"/>
          <w:szCs w:val="24"/>
        </w:rPr>
      </w:pPr>
      <w:r>
        <w:rPr>
          <w:rFonts w:ascii="Calibri" w:hAnsi="Times New Roman" w:cs="Calibri"/>
          <w:color w:val="000000"/>
          <w:kern w:val="24"/>
          <w:sz w:val="24"/>
          <w:szCs w:val="24"/>
        </w:rPr>
        <w:t>Recruitment in the PEA subdued, although unemployment rate only slightly above Sydney</w:t>
      </w:r>
      <w:r>
        <w:rPr>
          <w:rFonts w:ascii="Calibri" w:hAnsi="Times New Roman" w:cs="Calibri"/>
          <w:color w:val="000000"/>
          <w:kern w:val="24"/>
          <w:sz w:val="24"/>
          <w:szCs w:val="24"/>
        </w:rPr>
        <w:t>’</w:t>
      </w:r>
      <w:r>
        <w:rPr>
          <w:rFonts w:ascii="Calibri" w:hAnsi="Times New Roman" w:cs="Calibri"/>
          <w:color w:val="000000"/>
          <w:kern w:val="24"/>
          <w:sz w:val="24"/>
          <w:szCs w:val="24"/>
        </w:rPr>
        <w:t>s</w:t>
      </w:r>
    </w:p>
    <w:p w:rsidR="008B4F3F" w:rsidRDefault="008B4F3F" w:rsidP="008B4F3F">
      <w:pPr>
        <w:numPr>
          <w:ilvl w:val="0"/>
          <w:numId w:val="3"/>
        </w:numPr>
        <w:autoSpaceDE w:val="0"/>
        <w:autoSpaceDN w:val="0"/>
        <w:adjustRightInd w:val="0"/>
        <w:spacing w:after="0" w:line="240" w:lineRule="auto"/>
        <w:ind w:left="521" w:hanging="521"/>
        <w:rPr>
          <w:rFonts w:ascii="Calibri" w:hAnsi="Calibri" w:cs="Calibri"/>
          <w:color w:val="000000"/>
          <w:kern w:val="24"/>
          <w:sz w:val="24"/>
          <w:szCs w:val="24"/>
          <w:lang w:val="en-US"/>
        </w:rPr>
      </w:pPr>
      <w:r>
        <w:rPr>
          <w:rFonts w:ascii="Calibri" w:hAnsi="Calibri" w:cs="Calibri"/>
          <w:color w:val="000000"/>
          <w:kern w:val="24"/>
          <w:sz w:val="24"/>
          <w:szCs w:val="24"/>
          <w:lang w:val="en-US"/>
        </w:rPr>
        <w:t>Considerable opportunities still exist</w:t>
      </w:r>
    </w:p>
    <w:p w:rsidR="008B4F3F" w:rsidRDefault="008B4F3F" w:rsidP="008B4F3F">
      <w:pPr>
        <w:numPr>
          <w:ilvl w:val="0"/>
          <w:numId w:val="2"/>
        </w:numPr>
        <w:autoSpaceDE w:val="0"/>
        <w:autoSpaceDN w:val="0"/>
        <w:adjustRightInd w:val="0"/>
        <w:spacing w:after="0" w:line="240" w:lineRule="auto"/>
        <w:ind w:left="1215" w:hanging="521"/>
        <w:rPr>
          <w:rFonts w:ascii="Calibri" w:hAnsi="Calibri" w:cs="Calibri"/>
          <w:color w:val="000000"/>
          <w:kern w:val="24"/>
          <w:sz w:val="24"/>
          <w:szCs w:val="24"/>
        </w:rPr>
      </w:pPr>
      <w:r>
        <w:rPr>
          <w:rFonts w:ascii="Calibri" w:hAnsi="Calibri" w:cs="Calibri"/>
          <w:color w:val="000000"/>
          <w:kern w:val="24"/>
          <w:sz w:val="24"/>
          <w:szCs w:val="24"/>
        </w:rPr>
        <w:t>Part of the largest and most diverse labour market in Australia</w:t>
      </w:r>
    </w:p>
    <w:p w:rsidR="008B4F3F" w:rsidRPr="00F7595D" w:rsidRDefault="008B4F3F" w:rsidP="008B4F3F">
      <w:pPr>
        <w:numPr>
          <w:ilvl w:val="0"/>
          <w:numId w:val="2"/>
        </w:numPr>
        <w:autoSpaceDE w:val="0"/>
        <w:autoSpaceDN w:val="0"/>
        <w:adjustRightInd w:val="0"/>
        <w:spacing w:after="0" w:line="240" w:lineRule="auto"/>
        <w:ind w:left="1215" w:hanging="521"/>
        <w:rPr>
          <w:rFonts w:ascii="Calibri" w:hAnsi="Calibri" w:cs="Calibri"/>
          <w:color w:val="000000" w:themeColor="text1"/>
          <w:kern w:val="24"/>
          <w:sz w:val="24"/>
          <w:szCs w:val="24"/>
        </w:rPr>
      </w:pPr>
      <w:r>
        <w:rPr>
          <w:rFonts w:ascii="Calibri" w:hAnsi="Calibri" w:cs="Calibri"/>
          <w:color w:val="000000"/>
          <w:kern w:val="24"/>
          <w:sz w:val="24"/>
          <w:szCs w:val="24"/>
        </w:rPr>
        <w:t xml:space="preserve">Many occupations, mostly higher skilled, remain difficult to recruit for and in </w:t>
      </w:r>
      <w:r w:rsidRPr="00F7595D">
        <w:rPr>
          <w:rFonts w:ascii="Calibri" w:hAnsi="Calibri" w:cs="Calibri"/>
          <w:color w:val="000000" w:themeColor="text1"/>
          <w:kern w:val="24"/>
          <w:sz w:val="24"/>
          <w:szCs w:val="24"/>
        </w:rPr>
        <w:t>demand</w:t>
      </w:r>
    </w:p>
    <w:p w:rsidR="008B4F3F" w:rsidRDefault="008B4F3F" w:rsidP="008B4F3F">
      <w:pPr>
        <w:numPr>
          <w:ilvl w:val="0"/>
          <w:numId w:val="2"/>
        </w:numPr>
        <w:autoSpaceDE w:val="0"/>
        <w:autoSpaceDN w:val="0"/>
        <w:adjustRightInd w:val="0"/>
        <w:spacing w:after="0" w:line="240" w:lineRule="auto"/>
        <w:ind w:left="1215" w:hanging="521"/>
        <w:rPr>
          <w:rFonts w:ascii="Calibri" w:hAnsi="Calibri" w:cs="Calibri"/>
          <w:color w:val="FF0000"/>
          <w:kern w:val="24"/>
          <w:sz w:val="24"/>
          <w:szCs w:val="24"/>
        </w:rPr>
      </w:pPr>
      <w:r w:rsidRPr="00F7595D">
        <w:rPr>
          <w:rFonts w:ascii="Calibri" w:hAnsi="Calibri" w:cs="Calibri"/>
          <w:color w:val="000000" w:themeColor="text1"/>
          <w:kern w:val="24"/>
          <w:sz w:val="24"/>
          <w:szCs w:val="24"/>
        </w:rPr>
        <w:t xml:space="preserve">High recruiting industries, including Health Care and Social Assistance &amp; Accommodation </w:t>
      </w:r>
      <w:r>
        <w:rPr>
          <w:rFonts w:ascii="Calibri" w:hAnsi="Calibri" w:cs="Calibri"/>
          <w:color w:val="000000"/>
          <w:kern w:val="24"/>
          <w:sz w:val="24"/>
          <w:szCs w:val="24"/>
        </w:rPr>
        <w:t>and Food Services</w:t>
      </w:r>
    </w:p>
    <w:p w:rsidR="008B4F3F" w:rsidRDefault="008B4F3F" w:rsidP="008B4F3F">
      <w:pPr>
        <w:numPr>
          <w:ilvl w:val="0"/>
          <w:numId w:val="3"/>
        </w:numPr>
        <w:autoSpaceDE w:val="0"/>
        <w:autoSpaceDN w:val="0"/>
        <w:adjustRightInd w:val="0"/>
        <w:spacing w:after="0" w:line="240" w:lineRule="auto"/>
        <w:ind w:left="521" w:hanging="521"/>
        <w:rPr>
          <w:rFonts w:ascii="Calibri" w:hAnsi="Times New Roman" w:cs="Calibri"/>
          <w:color w:val="000000"/>
          <w:kern w:val="24"/>
          <w:sz w:val="24"/>
          <w:szCs w:val="24"/>
          <w:lang w:val="en-US"/>
        </w:rPr>
      </w:pPr>
      <w:r>
        <w:rPr>
          <w:rFonts w:ascii="Calibri" w:hAnsi="Times New Roman" w:cs="Calibri"/>
          <w:color w:val="000000"/>
          <w:kern w:val="24"/>
          <w:sz w:val="24"/>
          <w:szCs w:val="24"/>
          <w:lang w:val="en-US"/>
        </w:rPr>
        <w:t>Disadvantaged groups:</w:t>
      </w:r>
    </w:p>
    <w:p w:rsidR="008B4F3F" w:rsidRDefault="008B4F3F" w:rsidP="008B4F3F">
      <w:pPr>
        <w:numPr>
          <w:ilvl w:val="0"/>
          <w:numId w:val="2"/>
        </w:numPr>
        <w:autoSpaceDE w:val="0"/>
        <w:autoSpaceDN w:val="0"/>
        <w:adjustRightInd w:val="0"/>
        <w:spacing w:after="0" w:line="240" w:lineRule="auto"/>
        <w:ind w:left="1215" w:hanging="521"/>
        <w:rPr>
          <w:rFonts w:ascii="Calibri" w:hAnsi="Times New Roman" w:cs="Calibri"/>
          <w:color w:val="000000"/>
          <w:kern w:val="24"/>
          <w:sz w:val="24"/>
          <w:szCs w:val="24"/>
          <w:lang w:val="en-US"/>
        </w:rPr>
      </w:pPr>
      <w:r>
        <w:rPr>
          <w:rFonts w:ascii="Calibri" w:hAnsi="Times New Roman" w:cs="Calibri"/>
          <w:color w:val="000000"/>
          <w:kern w:val="24"/>
          <w:sz w:val="24"/>
          <w:szCs w:val="24"/>
          <w:lang w:val="en-US"/>
        </w:rPr>
        <w:t>Lower educated, disengaged youth, long-term unemployed, jobless families, people with disabilities</w:t>
      </w:r>
    </w:p>
    <w:p w:rsidR="008B4F3F" w:rsidRDefault="008B4F3F" w:rsidP="008B4F3F">
      <w:pPr>
        <w:numPr>
          <w:ilvl w:val="0"/>
          <w:numId w:val="2"/>
        </w:numPr>
        <w:autoSpaceDE w:val="0"/>
        <w:autoSpaceDN w:val="0"/>
        <w:adjustRightInd w:val="0"/>
        <w:spacing w:after="0" w:line="240" w:lineRule="auto"/>
        <w:ind w:left="1215" w:hanging="521"/>
        <w:rPr>
          <w:rFonts w:ascii="Calibri" w:hAnsi="Times New Roman" w:cs="Calibri"/>
          <w:color w:val="000000"/>
          <w:kern w:val="24"/>
          <w:sz w:val="24"/>
          <w:szCs w:val="24"/>
          <w:lang w:val="en-US"/>
        </w:rPr>
      </w:pPr>
      <w:proofErr w:type="spellStart"/>
      <w:r>
        <w:rPr>
          <w:rFonts w:ascii="Calibri" w:hAnsi="Times New Roman" w:cs="Calibri"/>
          <w:color w:val="000000"/>
          <w:kern w:val="24"/>
          <w:sz w:val="24"/>
          <w:szCs w:val="24"/>
          <w:lang w:val="en-US"/>
        </w:rPr>
        <w:t>Underutilisation</w:t>
      </w:r>
      <w:proofErr w:type="spellEnd"/>
      <w:r>
        <w:rPr>
          <w:rFonts w:ascii="Calibri" w:hAnsi="Times New Roman" w:cs="Calibri"/>
          <w:color w:val="000000"/>
          <w:kern w:val="24"/>
          <w:sz w:val="24"/>
          <w:szCs w:val="24"/>
          <w:lang w:val="en-US"/>
        </w:rPr>
        <w:t xml:space="preserve"> of skilled migrants</w:t>
      </w:r>
    </w:p>
    <w:p w:rsidR="008B4F3F" w:rsidRDefault="008B4F3F" w:rsidP="008B4F3F">
      <w:pPr>
        <w:numPr>
          <w:ilvl w:val="0"/>
          <w:numId w:val="2"/>
        </w:numPr>
        <w:autoSpaceDE w:val="0"/>
        <w:autoSpaceDN w:val="0"/>
        <w:adjustRightInd w:val="0"/>
        <w:spacing w:after="0" w:line="240" w:lineRule="auto"/>
        <w:ind w:left="1215" w:hanging="521"/>
        <w:rPr>
          <w:rFonts w:ascii="Calibri" w:hAnsi="Times New Roman" w:cs="Calibri"/>
          <w:color w:val="000000"/>
          <w:kern w:val="24"/>
          <w:sz w:val="24"/>
          <w:szCs w:val="24"/>
        </w:rPr>
      </w:pPr>
      <w:r>
        <w:rPr>
          <w:rFonts w:ascii="Calibri" w:hAnsi="Calibri" w:cs="Calibri"/>
          <w:color w:val="000000"/>
          <w:kern w:val="24"/>
          <w:sz w:val="24"/>
          <w:szCs w:val="24"/>
          <w:lang w:val="en-US"/>
        </w:rPr>
        <w:t>Employers not employing locally</w:t>
      </w:r>
    </w:p>
    <w:p w:rsidR="008B4F3F" w:rsidRDefault="008B4F3F" w:rsidP="008B4F3F">
      <w:pPr>
        <w:numPr>
          <w:ilvl w:val="0"/>
          <w:numId w:val="3"/>
        </w:numPr>
        <w:autoSpaceDE w:val="0"/>
        <w:autoSpaceDN w:val="0"/>
        <w:adjustRightInd w:val="0"/>
        <w:spacing w:after="0" w:line="240" w:lineRule="auto"/>
        <w:ind w:left="521" w:hanging="521"/>
        <w:rPr>
          <w:rFonts w:ascii="Calibri" w:hAnsi="Times New Roman" w:cs="Calibri"/>
          <w:color w:val="000000"/>
          <w:kern w:val="24"/>
          <w:sz w:val="24"/>
          <w:szCs w:val="24"/>
        </w:rPr>
      </w:pPr>
      <w:r>
        <w:rPr>
          <w:rFonts w:ascii="Calibri" w:hAnsi="Times New Roman" w:cs="Calibri"/>
          <w:color w:val="000000"/>
          <w:kern w:val="24"/>
          <w:sz w:val="24"/>
          <w:szCs w:val="24"/>
        </w:rPr>
        <w:t>Job seekers need to be job ready</w:t>
      </w:r>
    </w:p>
    <w:p w:rsidR="008B4F3F" w:rsidRDefault="008B4F3F" w:rsidP="008B4F3F">
      <w:pPr>
        <w:numPr>
          <w:ilvl w:val="0"/>
          <w:numId w:val="2"/>
        </w:numPr>
        <w:autoSpaceDE w:val="0"/>
        <w:autoSpaceDN w:val="0"/>
        <w:adjustRightInd w:val="0"/>
        <w:spacing w:after="0" w:line="240" w:lineRule="auto"/>
        <w:ind w:left="1215" w:hanging="521"/>
        <w:rPr>
          <w:rFonts w:ascii="Calibri" w:hAnsi="Times New Roman" w:cs="Calibri"/>
          <w:color w:val="000000"/>
          <w:kern w:val="24"/>
          <w:sz w:val="24"/>
          <w:szCs w:val="24"/>
        </w:rPr>
      </w:pPr>
      <w:r>
        <w:rPr>
          <w:rFonts w:ascii="Calibri" w:hAnsi="Times New Roman" w:cs="Calibri"/>
          <w:color w:val="000000"/>
          <w:kern w:val="24"/>
          <w:sz w:val="24"/>
          <w:szCs w:val="24"/>
          <w:lang w:val="en-US"/>
        </w:rPr>
        <w:t>Training / apprenticeships, work experience</w:t>
      </w:r>
    </w:p>
    <w:p w:rsidR="008B4F3F" w:rsidRDefault="008B4F3F" w:rsidP="008B4F3F">
      <w:pPr>
        <w:numPr>
          <w:ilvl w:val="0"/>
          <w:numId w:val="2"/>
        </w:numPr>
        <w:autoSpaceDE w:val="0"/>
        <w:autoSpaceDN w:val="0"/>
        <w:adjustRightInd w:val="0"/>
        <w:spacing w:after="0" w:line="240" w:lineRule="auto"/>
        <w:ind w:left="1215" w:hanging="521"/>
        <w:rPr>
          <w:rFonts w:ascii="Calibri" w:hAnsi="Times New Roman" w:cs="Calibri"/>
          <w:color w:val="000000"/>
          <w:kern w:val="24"/>
          <w:sz w:val="24"/>
          <w:szCs w:val="24"/>
        </w:rPr>
      </w:pPr>
      <w:r>
        <w:rPr>
          <w:rFonts w:ascii="Calibri" w:hAnsi="Times New Roman" w:cs="Calibri"/>
          <w:color w:val="000000"/>
          <w:kern w:val="24"/>
          <w:sz w:val="24"/>
          <w:szCs w:val="24"/>
        </w:rPr>
        <w:t>English proficiency</w:t>
      </w:r>
    </w:p>
    <w:p w:rsidR="008B4F3F" w:rsidRDefault="008B4F3F" w:rsidP="008B4F3F">
      <w:pPr>
        <w:numPr>
          <w:ilvl w:val="0"/>
          <w:numId w:val="2"/>
        </w:numPr>
        <w:autoSpaceDE w:val="0"/>
        <w:autoSpaceDN w:val="0"/>
        <w:adjustRightInd w:val="0"/>
        <w:spacing w:after="0" w:line="240" w:lineRule="auto"/>
        <w:ind w:left="1215" w:hanging="521"/>
        <w:rPr>
          <w:rFonts w:ascii="Calibri" w:hAnsi="Times New Roman" w:cs="Calibri"/>
          <w:color w:val="000000"/>
          <w:kern w:val="24"/>
          <w:sz w:val="24"/>
          <w:szCs w:val="24"/>
        </w:rPr>
      </w:pPr>
      <w:r>
        <w:rPr>
          <w:rFonts w:ascii="Calibri" w:hAnsi="Times New Roman" w:cs="Calibri"/>
          <w:color w:val="000000"/>
          <w:kern w:val="24"/>
          <w:sz w:val="24"/>
          <w:szCs w:val="24"/>
        </w:rPr>
        <w:t>Employability skills a must!</w:t>
      </w:r>
    </w:p>
    <w:p w:rsidR="008B4F3F" w:rsidRDefault="008B4F3F" w:rsidP="008B4F3F">
      <w:pPr>
        <w:numPr>
          <w:ilvl w:val="0"/>
          <w:numId w:val="3"/>
        </w:numPr>
        <w:autoSpaceDE w:val="0"/>
        <w:autoSpaceDN w:val="0"/>
        <w:adjustRightInd w:val="0"/>
        <w:spacing w:after="0" w:line="240" w:lineRule="auto"/>
        <w:ind w:left="521" w:hanging="521"/>
        <w:rPr>
          <w:rFonts w:ascii="Calibri" w:hAnsi="Times New Roman" w:cs="Calibri"/>
          <w:color w:val="000000"/>
          <w:kern w:val="24"/>
          <w:sz w:val="24"/>
          <w:szCs w:val="24"/>
        </w:rPr>
      </w:pPr>
      <w:r>
        <w:rPr>
          <w:rFonts w:ascii="Calibri" w:hAnsi="Times New Roman" w:cs="Calibri"/>
          <w:color w:val="000000"/>
          <w:kern w:val="24"/>
          <w:sz w:val="24"/>
          <w:szCs w:val="24"/>
        </w:rPr>
        <w:t>Stakeholders need to work together with Local Employment Coordinators: providers, educational institutions, employers, job seekers, Government at all levels</w:t>
      </w:r>
    </w:p>
    <w:p w:rsidR="008B4F3F" w:rsidRDefault="008B4F3F" w:rsidP="008B4F3F">
      <w:pPr>
        <w:autoSpaceDE w:val="0"/>
        <w:autoSpaceDN w:val="0"/>
        <w:adjustRightInd w:val="0"/>
        <w:spacing w:after="0" w:line="240" w:lineRule="auto"/>
        <w:ind w:left="521" w:hanging="521"/>
        <w:rPr>
          <w:rFonts w:ascii="Calibri" w:hAnsi="Calibri" w:cs="Calibri"/>
          <w:b/>
          <w:bCs/>
          <w:color w:val="000000"/>
          <w:sz w:val="20"/>
          <w:szCs w:val="20"/>
          <w:u w:val="single"/>
        </w:rPr>
      </w:pP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25</w:t>
      </w:r>
    </w:p>
    <w:p w:rsidR="008B4F3F" w:rsidRDefault="008B4F3F" w:rsidP="008B4F3F">
      <w:pPr>
        <w:spacing w:line="360" w:lineRule="auto"/>
        <w:jc w:val="center"/>
      </w:pPr>
      <w:r>
        <w:object w:dxaOrig="7216" w:dyaOrig="5409">
          <v:shape id="_x0000_i1049" type="#_x0000_t75" style="width:270.35pt;height:203.1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049" DrawAspect="Content" ObjectID="_1428298544" r:id="rId55"/>
        </w:object>
      </w:r>
    </w:p>
    <w:p w:rsidR="008B4F3F" w:rsidRDefault="008B4F3F" w:rsidP="008B4F3F">
      <w:pPr>
        <w:spacing w:line="360" w:lineRule="auto"/>
        <w:jc w:val="center"/>
      </w:pP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r>
        <w:rPr>
          <w:rFonts w:ascii="Calibri" w:hAnsi="Calibri" w:cs="Calibri"/>
          <w:b/>
          <w:bCs/>
          <w:color w:val="000000"/>
          <w:kern w:val="24"/>
          <w:sz w:val="24"/>
          <w:szCs w:val="24"/>
          <w:u w:val="single"/>
        </w:rPr>
        <w:t>Further Information</w:t>
      </w:r>
    </w:p>
    <w:p w:rsidR="008B4F3F" w:rsidRDefault="008B4F3F" w:rsidP="008B4F3F">
      <w:pPr>
        <w:autoSpaceDE w:val="0"/>
        <w:autoSpaceDN w:val="0"/>
        <w:adjustRightInd w:val="0"/>
        <w:spacing w:after="0" w:line="240" w:lineRule="auto"/>
        <w:rPr>
          <w:rFonts w:ascii="Calibri" w:hAnsi="Calibri" w:cs="Calibri"/>
          <w:b/>
          <w:bCs/>
          <w:color w:val="000000"/>
          <w:kern w:val="24"/>
          <w:sz w:val="24"/>
          <w:szCs w:val="24"/>
          <w:u w:val="single"/>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More information on labour market conditions and other research on small areas can be found on these web sites.</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A report on the survey findings for the Sydney West and Blue Mountains Priority Employment Area will be placed on the regional reports section of the DEEWR web site.</w:t>
      </w: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p>
    <w:p w:rsidR="008B4F3F" w:rsidRDefault="008B4F3F" w:rsidP="008B4F3F">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Thank you.</w:t>
      </w:r>
    </w:p>
    <w:p w:rsidR="008B4F3F" w:rsidRDefault="008B4F3F" w:rsidP="008B4F3F">
      <w:pPr>
        <w:autoSpaceDE w:val="0"/>
        <w:autoSpaceDN w:val="0"/>
        <w:adjustRightInd w:val="0"/>
        <w:spacing w:after="0" w:line="240" w:lineRule="auto"/>
        <w:rPr>
          <w:rFonts w:ascii="Arial" w:hAnsi="Arial" w:cs="Arial"/>
          <w:sz w:val="24"/>
          <w:szCs w:val="24"/>
        </w:rPr>
      </w:pPr>
    </w:p>
    <w:p w:rsidR="008B4F3F" w:rsidRDefault="008B4F3F" w:rsidP="008B4F3F">
      <w:pPr>
        <w:spacing w:line="360" w:lineRule="auto"/>
      </w:pPr>
    </w:p>
    <w:p w:rsidR="008B4F3F" w:rsidRDefault="008B4F3F">
      <w:r>
        <w:br w:type="page"/>
      </w:r>
    </w:p>
    <w:p w:rsidR="008B4F3F" w:rsidRDefault="008B4F3F" w:rsidP="008B4F3F">
      <w:pPr>
        <w:spacing w:line="360" w:lineRule="auto"/>
      </w:pPr>
      <w:r>
        <w:lastRenderedPageBreak/>
        <w:t>Slide 26</w:t>
      </w:r>
    </w:p>
    <w:p w:rsidR="008B4F3F" w:rsidRDefault="008B4F3F" w:rsidP="008B4F3F">
      <w:pPr>
        <w:spacing w:line="360" w:lineRule="auto"/>
        <w:jc w:val="center"/>
      </w:pPr>
      <w:r>
        <w:object w:dxaOrig="7216" w:dyaOrig="5409">
          <v:shape id="_x0000_i1050" type="#_x0000_t75" style="width:270.35pt;height:203.1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050" DrawAspect="Content" ObjectID="_1428298545" r:id="rId57"/>
        </w:object>
      </w:r>
    </w:p>
    <w:p w:rsidR="008B4F3F" w:rsidRDefault="008B4F3F" w:rsidP="008B4F3F">
      <w:pPr>
        <w:spacing w:line="360" w:lineRule="auto"/>
        <w:jc w:val="center"/>
      </w:pPr>
    </w:p>
    <w:p w:rsidR="008B4F3F" w:rsidRDefault="008B4F3F" w:rsidP="008B4F3F">
      <w:pPr>
        <w:spacing w:line="360" w:lineRule="auto"/>
      </w:pPr>
    </w:p>
    <w:p w:rsidR="008B4F3F" w:rsidRDefault="008B4F3F" w:rsidP="008B4F3F">
      <w:pPr>
        <w:spacing w:line="360" w:lineRule="auto"/>
      </w:pPr>
    </w:p>
    <w:sectPr w:rsidR="008B4F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244B62"/>
    <w:lvl w:ilvl="0">
      <w:numFmt w:val="bullet"/>
      <w:lvlText w:val="*"/>
      <w:lvlJc w:val="left"/>
    </w:lvl>
  </w:abstractNum>
  <w:num w:numId="1">
    <w:abstractNumId w:val="0"/>
    <w:lvlOverride w:ilvl="0">
      <w:lvl w:ilvl="0">
        <w:numFmt w:val="bullet"/>
        <w:lvlText w:val="•"/>
        <w:legacy w:legacy="1" w:legacySpace="0" w:legacyIndent="0"/>
        <w:lvlJc w:val="left"/>
        <w:rPr>
          <w:rFonts w:ascii="Arial" w:hAnsi="Arial" w:cs="Arial" w:hint="default"/>
          <w:sz w:val="24"/>
        </w:rPr>
      </w:lvl>
    </w:lvlOverride>
  </w:num>
  <w:num w:numId="2">
    <w:abstractNumId w:val="0"/>
    <w:lvlOverride w:ilvl="0">
      <w:lvl w:ilvl="0">
        <w:numFmt w:val="bullet"/>
        <w:lvlText w:val="–"/>
        <w:legacy w:legacy="1" w:legacySpace="0" w:legacyIndent="0"/>
        <w:lvlJc w:val="left"/>
        <w:rPr>
          <w:rFonts w:ascii="Calibri" w:hAnsi="Calibri" w:cs="Calibri" w:hint="default"/>
          <w:color w:val="000000" w:themeColor="text1"/>
          <w:sz w:val="24"/>
        </w:rPr>
      </w:lvl>
    </w:lvlOverride>
  </w:num>
  <w:num w:numId="3">
    <w:abstractNumId w:val="0"/>
    <w:lvlOverride w:ilvl="0">
      <w:lvl w:ilvl="0">
        <w:numFmt w:val="bullet"/>
        <w:lvlText w:val="•"/>
        <w:legacy w:legacy="1" w:legacySpace="0" w:legacyIndent="0"/>
        <w:lvlJc w:val="left"/>
        <w:rPr>
          <w:rFonts w:ascii="Calibri" w:hAnsi="Calibri" w:cs="Calibri"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F3F"/>
    <w:rsid w:val="00414CBB"/>
    <w:rsid w:val="008B4F3F"/>
    <w:rsid w:val="00912D52"/>
    <w:rsid w:val="00F759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4.sl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PowerPoint_Slide17.sldx"/><Relationship Id="rId21" Type="http://schemas.openxmlformats.org/officeDocument/2006/relationships/package" Target="embeddings/Microsoft_PowerPoint_Slide8.sld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Microsoft_PowerPoint_Slide21.sldx"/><Relationship Id="rId50" Type="http://schemas.openxmlformats.org/officeDocument/2006/relationships/image" Target="media/image23.emf"/><Relationship Id="rId55" Type="http://schemas.openxmlformats.org/officeDocument/2006/relationships/package" Target="embeddings/Microsoft_PowerPoint_Slide25.sldx"/><Relationship Id="rId7" Type="http://schemas.openxmlformats.org/officeDocument/2006/relationships/package" Target="embeddings/Microsoft_PowerPoint_Slide1.sldx"/><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package" Target="embeddings/Microsoft_PowerPoint_Slide12.sldx"/><Relationship Id="rId11" Type="http://schemas.openxmlformats.org/officeDocument/2006/relationships/package" Target="embeddings/Microsoft_PowerPoint_Slide3.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PowerPoint_Slide16.sldx"/><Relationship Id="rId40" Type="http://schemas.openxmlformats.org/officeDocument/2006/relationships/image" Target="media/image18.emf"/><Relationship Id="rId45" Type="http://schemas.openxmlformats.org/officeDocument/2006/relationships/package" Target="embeddings/Microsoft_PowerPoint_Slide20.sldx"/><Relationship Id="rId53" Type="http://schemas.openxmlformats.org/officeDocument/2006/relationships/package" Target="embeddings/Microsoft_PowerPoint_Slide24.sldx"/><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package" Target="embeddings/Microsoft_PowerPoint_Slide7.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1.sldx"/><Relationship Id="rId30" Type="http://schemas.openxmlformats.org/officeDocument/2006/relationships/image" Target="media/image13.emf"/><Relationship Id="rId35" Type="http://schemas.openxmlformats.org/officeDocument/2006/relationships/package" Target="embeddings/Microsoft_PowerPoint_Slide15.sldx"/><Relationship Id="rId43" Type="http://schemas.openxmlformats.org/officeDocument/2006/relationships/package" Target="embeddings/Microsoft_PowerPoint_Slide19.sldx"/><Relationship Id="rId48" Type="http://schemas.openxmlformats.org/officeDocument/2006/relationships/image" Target="media/image22.emf"/><Relationship Id="rId56" Type="http://schemas.openxmlformats.org/officeDocument/2006/relationships/image" Target="media/image26.emf"/><Relationship Id="rId8" Type="http://schemas.openxmlformats.org/officeDocument/2006/relationships/image" Target="media/image2.emf"/><Relationship Id="rId51" Type="http://schemas.openxmlformats.org/officeDocument/2006/relationships/package" Target="embeddings/Microsoft_PowerPoint_Slide23.sldx"/><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package" Target="embeddings/Microsoft_PowerPoint_Slide18.sldx"/><Relationship Id="rId54" Type="http://schemas.openxmlformats.org/officeDocument/2006/relationships/image" Target="media/image25.emf"/><Relationship Id="rId62"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PowerPoint_Slide22.sldx"/><Relationship Id="rId57" Type="http://schemas.openxmlformats.org/officeDocument/2006/relationships/package" Target="embeddings/Microsoft_PowerPoint_Slide26.sldx"/><Relationship Id="rId10" Type="http://schemas.openxmlformats.org/officeDocument/2006/relationships/image" Target="media/image3.emf"/><Relationship Id="rId31" Type="http://schemas.openxmlformats.org/officeDocument/2006/relationships/package" Target="embeddings/Microsoft_PowerPoint_Slide13.sld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package" Target="embeddings/Microsoft_PowerPoint_Slide2.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015C2B-0E70-4333-A0EF-972B22ADDDD3}"/>
</file>

<file path=customXml/itemProps2.xml><?xml version="1.0" encoding="utf-8"?>
<ds:datastoreItem xmlns:ds="http://schemas.openxmlformats.org/officeDocument/2006/customXml" ds:itemID="{B66295B7-A3FE-4984-BD9E-93C0CD6BACCC}"/>
</file>

<file path=customXml/itemProps3.xml><?xml version="1.0" encoding="utf-8"?>
<ds:datastoreItem xmlns:ds="http://schemas.openxmlformats.org/officeDocument/2006/customXml" ds:itemID="{03CAF95C-B8A5-4C24-8743-D600A8BA9786}"/>
</file>

<file path=docProps/app.xml><?xml version="1.0" encoding="utf-8"?>
<Properties xmlns="http://schemas.openxmlformats.org/officeDocument/2006/extended-properties" xmlns:vt="http://schemas.openxmlformats.org/officeDocument/2006/docPropsVTypes">
  <Template>84602BA.dotm</Template>
  <TotalTime>5</TotalTime>
  <Pages>26</Pages>
  <Words>1993</Words>
  <Characters>11363</Characters>
  <Application>Microsoft Office Word</Application>
  <DocSecurity>0</DocSecurity>
  <Lines>94</Lines>
  <Paragraphs>26</Paragraphs>
  <ScaleCrop>false</ScaleCrop>
  <Company>Australian Government</Company>
  <LinksUpToDate>false</LinksUpToDate>
  <CharactersWithSpaces>13330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Meehan</dc:creator>
  <cp:lastModifiedBy>Joel Meehan</cp:lastModifiedBy>
  <cp:revision>3</cp:revision>
  <dcterms:created xsi:type="dcterms:W3CDTF">2013-04-23T05:02:00Z</dcterms:created>
  <dcterms:modified xsi:type="dcterms:W3CDTF">2013-04-23T22:49:00Z</dcterms:modified>
</cp:coreProperties>
</file>