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2486423" w:displacedByCustomXml="next"/>
    <w:bookmarkStart w:id="1" w:name="_Toc329769405" w:displacedByCustomXml="next"/>
    <w:sdt>
      <w:sdtPr>
        <w:id w:val="685869552"/>
        <w:docPartObj>
          <w:docPartGallery w:val="Cover Pages"/>
          <w:docPartUnique/>
        </w:docPartObj>
      </w:sdtPr>
      <w:sdtEndPr/>
      <w:sdtContent>
        <w:p w:rsidR="000E0335" w:rsidRPr="00363BBE" w:rsidRDefault="000E0335" w:rsidP="000E0335">
          <w:pPr>
            <w:ind w:hanging="284"/>
            <w:rPr>
              <w:noProof/>
            </w:rPr>
          </w:pPr>
        </w:p>
        <w:p w:rsidR="000E0335" w:rsidRPr="00363BBE" w:rsidRDefault="000E0335" w:rsidP="000E0335">
          <w:pPr>
            <w:ind w:hanging="284"/>
          </w:pPr>
          <w:r w:rsidRPr="00363BBE">
            <w:rPr>
              <w:noProof/>
              <w:lang w:eastAsia="en-AU"/>
            </w:rPr>
            <w:drawing>
              <wp:inline distT="0" distB="0" distL="0" distR="0" wp14:anchorId="15BFAEFD" wp14:editId="75A8D1BC">
                <wp:extent cx="4336415" cy="561340"/>
                <wp:effectExtent l="0" t="0" r="6985" b="0"/>
                <wp:docPr id="3" name="Picture 3" descr="Australian Government Department of Education,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Employment and Workplace Relati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6415" cy="561340"/>
                        </a:xfrm>
                        <a:prstGeom prst="rect">
                          <a:avLst/>
                        </a:prstGeom>
                        <a:noFill/>
                        <a:ln>
                          <a:noFill/>
                        </a:ln>
                      </pic:spPr>
                    </pic:pic>
                  </a:graphicData>
                </a:graphic>
              </wp:inline>
            </w:drawing>
          </w:r>
        </w:p>
        <w:p w:rsidR="008225A7" w:rsidRDefault="008225A7" w:rsidP="008225A7">
          <w:pPr>
            <w:pStyle w:val="Title"/>
            <w:spacing w:before="480" w:after="120"/>
            <w:jc w:val="left"/>
            <w:rPr>
              <w:rFonts w:asciiTheme="minorHAnsi" w:eastAsia="Times New Roman" w:hAnsiTheme="minorHAnsi" w:cstheme="minorHAnsi"/>
              <w:bCs/>
              <w:color w:val="365F91" w:themeColor="accent1" w:themeShade="BF"/>
              <w:spacing w:val="0"/>
              <w:kern w:val="0"/>
              <w:sz w:val="40"/>
              <w:szCs w:val="40"/>
            </w:rPr>
          </w:pPr>
        </w:p>
        <w:p w:rsidR="008225A7" w:rsidRPr="008225A7" w:rsidRDefault="008225A7" w:rsidP="008225A7">
          <w:pPr>
            <w:rPr>
              <w:lang w:eastAsia="en-AU"/>
            </w:rPr>
          </w:pPr>
        </w:p>
        <w:p w:rsidR="004045B2" w:rsidRPr="004045B2" w:rsidRDefault="004045B2" w:rsidP="004045B2">
          <w:pPr>
            <w:keepNext/>
            <w:keepLines/>
            <w:pBdr>
              <w:bottom w:val="single" w:sz="8" w:space="1" w:color="165788"/>
            </w:pBdr>
            <w:spacing w:before="480" w:after="120" w:line="300" w:lineRule="auto"/>
            <w:ind w:left="993"/>
            <w:outlineLvl w:val="0"/>
            <w:rPr>
              <w:rFonts w:ascii="Calibri" w:eastAsia="Times New Roman" w:hAnsi="Calibri" w:cs="Times New Roman"/>
              <w:b/>
              <w:bCs/>
              <w:color w:val="165788"/>
              <w:sz w:val="40"/>
              <w:szCs w:val="40"/>
              <w:lang w:eastAsia="en-AU"/>
            </w:rPr>
          </w:pPr>
          <w:bookmarkStart w:id="2" w:name="_Toc339462192"/>
          <w:bookmarkStart w:id="3" w:name="_Toc345508528"/>
          <w:bookmarkStart w:id="4" w:name="_Toc346195459"/>
          <w:bookmarkStart w:id="5" w:name="_Toc346529973"/>
          <w:bookmarkStart w:id="6" w:name="_Toc346611098"/>
          <w:bookmarkStart w:id="7" w:name="_Toc348428581"/>
          <w:bookmarkStart w:id="8" w:name="_Toc349829979"/>
          <w:bookmarkStart w:id="9" w:name="_Toc349830496"/>
          <w:bookmarkStart w:id="10" w:name="_Toc352917806"/>
          <w:bookmarkStart w:id="11" w:name="_Toc335822985"/>
          <w:bookmarkStart w:id="12" w:name="_Toc338139775"/>
          <w:r w:rsidRPr="004045B2">
            <w:rPr>
              <w:rFonts w:ascii="Calibri" w:eastAsia="Times New Roman" w:hAnsi="Calibri" w:cs="Times New Roman"/>
              <w:b/>
              <w:bCs/>
              <w:color w:val="165788"/>
              <w:sz w:val="40"/>
              <w:szCs w:val="40"/>
              <w:lang w:eastAsia="en-AU"/>
            </w:rPr>
            <w:t>Survey of Employers’ Recruitment Experiences</w:t>
          </w:r>
          <w:bookmarkEnd w:id="2"/>
          <w:bookmarkEnd w:id="3"/>
          <w:bookmarkEnd w:id="4"/>
          <w:bookmarkEnd w:id="5"/>
          <w:bookmarkEnd w:id="6"/>
          <w:bookmarkEnd w:id="7"/>
          <w:bookmarkEnd w:id="8"/>
          <w:bookmarkEnd w:id="9"/>
          <w:bookmarkEnd w:id="10"/>
        </w:p>
        <w:p w:rsidR="004045B2" w:rsidRPr="004045B2" w:rsidRDefault="004045B2" w:rsidP="004045B2">
          <w:pPr>
            <w:keepNext/>
            <w:keepLines/>
            <w:pBdr>
              <w:bottom w:val="single" w:sz="8" w:space="1" w:color="165788"/>
            </w:pBdr>
            <w:spacing w:before="480" w:after="120" w:line="300" w:lineRule="auto"/>
            <w:ind w:left="993"/>
            <w:outlineLvl w:val="0"/>
            <w:rPr>
              <w:rFonts w:ascii="Calibri" w:eastAsia="Times New Roman" w:hAnsi="Calibri" w:cs="Times New Roman"/>
              <w:b/>
              <w:bCs/>
              <w:color w:val="165788"/>
              <w:sz w:val="40"/>
              <w:szCs w:val="40"/>
              <w:lang w:eastAsia="en-AU"/>
            </w:rPr>
          </w:pPr>
          <w:bookmarkStart w:id="13" w:name="_Toc339462193"/>
          <w:bookmarkStart w:id="14" w:name="_Toc345508529"/>
          <w:bookmarkStart w:id="15" w:name="_Toc346195460"/>
          <w:bookmarkStart w:id="16" w:name="_Toc346529974"/>
          <w:bookmarkStart w:id="17" w:name="_Toc346611099"/>
          <w:bookmarkStart w:id="18" w:name="_Toc348428582"/>
          <w:bookmarkStart w:id="19" w:name="_Toc349829980"/>
          <w:bookmarkStart w:id="20" w:name="_Toc349830497"/>
          <w:bookmarkStart w:id="21" w:name="_Toc352917807"/>
          <w:r w:rsidRPr="004045B2">
            <w:rPr>
              <w:rFonts w:ascii="Calibri" w:eastAsia="Times New Roman" w:hAnsi="Calibri" w:cs="Times New Roman"/>
              <w:b/>
              <w:bCs/>
              <w:color w:val="165788"/>
              <w:sz w:val="40"/>
              <w:szCs w:val="40"/>
              <w:lang w:eastAsia="en-AU"/>
            </w:rPr>
            <w:t xml:space="preserve">Sydney West and Blue Mountains </w:t>
          </w:r>
          <w:bookmarkEnd w:id="11"/>
          <w:bookmarkEnd w:id="12"/>
          <w:bookmarkEnd w:id="13"/>
          <w:r w:rsidRPr="004045B2">
            <w:rPr>
              <w:rFonts w:ascii="Calibri" w:eastAsia="Times New Roman" w:hAnsi="Calibri" w:cs="Times New Roman"/>
              <w:b/>
              <w:bCs/>
              <w:color w:val="165788"/>
              <w:sz w:val="40"/>
              <w:szCs w:val="40"/>
              <w:lang w:eastAsia="en-AU"/>
            </w:rPr>
            <w:t>Priority Employment Area</w:t>
          </w:r>
          <w:bookmarkEnd w:id="14"/>
          <w:bookmarkEnd w:id="15"/>
          <w:bookmarkEnd w:id="16"/>
          <w:bookmarkEnd w:id="17"/>
          <w:bookmarkEnd w:id="18"/>
          <w:bookmarkEnd w:id="19"/>
          <w:bookmarkEnd w:id="20"/>
          <w:bookmarkEnd w:id="21"/>
        </w:p>
        <w:p w:rsidR="004045B2" w:rsidRPr="004045B2" w:rsidRDefault="004045B2" w:rsidP="004045B2">
          <w:pPr>
            <w:keepNext/>
            <w:keepLines/>
            <w:tabs>
              <w:tab w:val="left" w:pos="567"/>
            </w:tabs>
            <w:spacing w:before="240" w:after="120" w:line="240" w:lineRule="auto"/>
            <w:ind w:left="993"/>
            <w:outlineLvl w:val="1"/>
            <w:rPr>
              <w:rFonts w:ascii="Calibri" w:eastAsia="Times New Roman" w:hAnsi="Calibri" w:cs="Times New Roman"/>
              <w:color w:val="165788"/>
              <w:sz w:val="32"/>
              <w:szCs w:val="26"/>
              <w:lang w:eastAsia="en-AU"/>
            </w:rPr>
          </w:pPr>
          <w:bookmarkStart w:id="22" w:name="_Toc338139776"/>
          <w:bookmarkStart w:id="23" w:name="_Toc339462194"/>
          <w:bookmarkStart w:id="24" w:name="_Toc345508530"/>
          <w:bookmarkStart w:id="25" w:name="_Toc346195461"/>
          <w:bookmarkStart w:id="26" w:name="_Toc346529975"/>
          <w:bookmarkStart w:id="27" w:name="_Toc346611100"/>
          <w:bookmarkStart w:id="28" w:name="_Toc348428583"/>
          <w:bookmarkStart w:id="29" w:name="_Toc349829981"/>
          <w:bookmarkStart w:id="30" w:name="_Toc349830498"/>
          <w:bookmarkStart w:id="31" w:name="_Toc352917808"/>
          <w:r>
            <w:rPr>
              <w:rFonts w:ascii="Calibri" w:eastAsia="Times New Roman" w:hAnsi="Calibri" w:cs="Times New Roman"/>
              <w:b/>
              <w:bCs/>
              <w:color w:val="165788"/>
              <w:sz w:val="32"/>
              <w:szCs w:val="26"/>
              <w:lang w:eastAsia="en-AU"/>
            </w:rPr>
            <w:t>November</w:t>
          </w:r>
          <w:r w:rsidRPr="004045B2">
            <w:rPr>
              <w:rFonts w:ascii="Calibri" w:eastAsia="Times New Roman" w:hAnsi="Calibri" w:cs="Times New Roman"/>
              <w:b/>
              <w:bCs/>
              <w:color w:val="165788"/>
              <w:sz w:val="32"/>
              <w:szCs w:val="26"/>
              <w:lang w:eastAsia="en-AU"/>
            </w:rPr>
            <w:t xml:space="preserve"> 201</w:t>
          </w:r>
          <w:bookmarkEnd w:id="22"/>
          <w:bookmarkEnd w:id="23"/>
          <w:bookmarkEnd w:id="24"/>
          <w:bookmarkEnd w:id="25"/>
          <w:bookmarkEnd w:id="26"/>
          <w:bookmarkEnd w:id="27"/>
          <w:r w:rsidRPr="004045B2">
            <w:rPr>
              <w:rFonts w:ascii="Calibri" w:eastAsia="Times New Roman" w:hAnsi="Calibri" w:cs="Times New Roman"/>
              <w:b/>
              <w:bCs/>
              <w:color w:val="165788"/>
              <w:sz w:val="32"/>
              <w:szCs w:val="26"/>
              <w:lang w:eastAsia="en-AU"/>
            </w:rPr>
            <w:t>2</w:t>
          </w:r>
          <w:bookmarkEnd w:id="28"/>
          <w:bookmarkEnd w:id="29"/>
          <w:bookmarkEnd w:id="30"/>
          <w:bookmarkEnd w:id="31"/>
        </w:p>
        <w:p w:rsidR="000E0335" w:rsidRPr="00363BBE" w:rsidRDefault="000E0335" w:rsidP="004045B2">
          <w:pPr>
            <w:pStyle w:val="Title"/>
            <w:spacing w:before="480" w:after="120"/>
            <w:jc w:val="left"/>
            <w:rPr>
              <w:rStyle w:val="Heading2Char"/>
            </w:rPr>
          </w:pPr>
          <w:r w:rsidRPr="00363BBE">
            <w:rPr>
              <w:b w:val="0"/>
              <w:bCs/>
              <w:noProof/>
              <w:sz w:val="32"/>
              <w:szCs w:val="26"/>
            </w:rPr>
            <w:drawing>
              <wp:anchor distT="0" distB="0" distL="114300" distR="114300" simplePos="0" relativeHeight="251659264" behindDoc="1" locked="0" layoutInCell="1" allowOverlap="1" wp14:anchorId="6883117B" wp14:editId="07428303">
                <wp:simplePos x="0" y="0"/>
                <wp:positionH relativeFrom="column">
                  <wp:posOffset>-1019175</wp:posOffset>
                </wp:positionH>
                <wp:positionV relativeFrom="paragraph">
                  <wp:posOffset>2087880</wp:posOffset>
                </wp:positionV>
                <wp:extent cx="7724775" cy="3838575"/>
                <wp:effectExtent l="19050" t="0" r="952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24775" cy="3838575"/>
                        </a:xfrm>
                        <a:prstGeom prst="rect">
                          <a:avLst/>
                        </a:prstGeom>
                        <a:noFill/>
                        <a:ln>
                          <a:noFill/>
                        </a:ln>
                      </pic:spPr>
                    </pic:pic>
                  </a:graphicData>
                </a:graphic>
              </wp:anchor>
            </w:drawing>
          </w:r>
          <w:r w:rsidRPr="00363BBE">
            <w:rPr>
              <w:b w:val="0"/>
              <w:bCs/>
              <w:noProof/>
              <w:sz w:val="32"/>
              <w:szCs w:val="26"/>
            </w:rPr>
            <w:drawing>
              <wp:anchor distT="0" distB="0" distL="114300" distR="114300" simplePos="0" relativeHeight="251660288" behindDoc="1" locked="0" layoutInCell="1" allowOverlap="1" wp14:anchorId="1DA8D013" wp14:editId="70433567">
                <wp:simplePos x="0" y="0"/>
                <wp:positionH relativeFrom="column">
                  <wp:posOffset>-1002030</wp:posOffset>
                </wp:positionH>
                <wp:positionV relativeFrom="paragraph">
                  <wp:posOffset>585470</wp:posOffset>
                </wp:positionV>
                <wp:extent cx="7738110" cy="1874520"/>
                <wp:effectExtent l="19050" t="0" r="0"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38110" cy="1874520"/>
                        </a:xfrm>
                        <a:prstGeom prst="rect">
                          <a:avLst/>
                        </a:prstGeom>
                        <a:noFill/>
                        <a:ln>
                          <a:noFill/>
                        </a:ln>
                      </pic:spPr>
                    </pic:pic>
                  </a:graphicData>
                </a:graphic>
              </wp:anchor>
            </w:drawing>
          </w:r>
          <w:r w:rsidRPr="00363BBE">
            <w:rPr>
              <w:rStyle w:val="Heading2Char"/>
            </w:rPr>
            <w:br w:type="page"/>
          </w:r>
        </w:p>
        <w:p w:rsidR="000E0335" w:rsidRPr="00363BBE" w:rsidRDefault="000E0335" w:rsidP="000E0335">
          <w:pPr>
            <w:spacing w:after="0" w:line="240" w:lineRule="auto"/>
            <w:rPr>
              <w:rFonts w:asciiTheme="majorHAnsi" w:eastAsiaTheme="majorEastAsia" w:hAnsiTheme="majorHAnsi" w:cstheme="majorBidi"/>
              <w:b/>
              <w:bCs/>
              <w:color w:val="165788"/>
              <w:sz w:val="40"/>
              <w:szCs w:val="28"/>
            </w:rPr>
            <w:sectPr w:rsidR="000E0335" w:rsidRPr="00363BBE" w:rsidSect="000E0335">
              <w:headerReference w:type="default" r:id="rId12"/>
              <w:footerReference w:type="default" r:id="rId13"/>
              <w:footerReference w:type="first" r:id="rId14"/>
              <w:pgSz w:w="11907" w:h="16839" w:code="9"/>
              <w:pgMar w:top="1440" w:right="1559" w:bottom="1440" w:left="1440" w:header="709" w:footer="709" w:gutter="0"/>
              <w:cols w:space="708"/>
              <w:titlePg/>
              <w:docGrid w:linePitch="360"/>
            </w:sectPr>
          </w:pPr>
        </w:p>
        <w:p w:rsidR="000E0335" w:rsidRPr="00363BBE" w:rsidRDefault="00411372" w:rsidP="000E0335">
          <w:pPr>
            <w:spacing w:after="0" w:line="240" w:lineRule="auto"/>
            <w:rPr>
              <w:rFonts w:asciiTheme="majorHAnsi" w:eastAsiaTheme="majorEastAsia" w:hAnsiTheme="majorHAnsi" w:cstheme="majorBidi"/>
              <w:b/>
              <w:bCs/>
              <w:color w:val="165788"/>
              <w:sz w:val="40"/>
              <w:szCs w:val="28"/>
            </w:rPr>
          </w:pPr>
        </w:p>
      </w:sdtContent>
    </w:sdt>
    <w:bookmarkEnd w:id="0" w:displacedByCustomXml="prev"/>
    <w:p w:rsidR="000E0335" w:rsidRPr="00363BBE" w:rsidRDefault="000E0335" w:rsidP="000E0335">
      <w:pPr>
        <w:pStyle w:val="numberedpara"/>
        <w:numPr>
          <w:ilvl w:val="0"/>
          <w:numId w:val="0"/>
        </w:numPr>
        <w:tabs>
          <w:tab w:val="left" w:pos="720"/>
        </w:tabs>
        <w:ind w:left="142"/>
        <w:rPr>
          <w:sz w:val="560"/>
          <w:szCs w:val="560"/>
        </w:rPr>
      </w:pPr>
    </w:p>
    <w:p w:rsidR="000E0335" w:rsidRPr="00363BBE" w:rsidRDefault="000E0335" w:rsidP="000E0335">
      <w:pPr>
        <w:pStyle w:val="BodyText"/>
      </w:pPr>
    </w:p>
    <w:p w:rsidR="000E0335" w:rsidRPr="00363BBE" w:rsidRDefault="000E0335" w:rsidP="000E0335">
      <w:pPr>
        <w:pStyle w:val="numberedpara"/>
        <w:numPr>
          <w:ilvl w:val="0"/>
          <w:numId w:val="0"/>
        </w:numPr>
        <w:tabs>
          <w:tab w:val="left" w:pos="720"/>
        </w:tabs>
        <w:rPr>
          <w:sz w:val="20"/>
          <w:szCs w:val="20"/>
        </w:rPr>
      </w:pPr>
      <w:r w:rsidRPr="00363BBE">
        <w:rPr>
          <w:noProof/>
          <w:sz w:val="20"/>
          <w:szCs w:val="20"/>
        </w:rPr>
        <w:drawing>
          <wp:inline distT="0" distB="0" distL="0" distR="0" wp14:anchorId="5D649BB7" wp14:editId="77B69983">
            <wp:extent cx="847725" cy="285750"/>
            <wp:effectExtent l="19050" t="0" r="9525" b="0"/>
            <wp:docPr id="4" name="Picture 1" descr="cid:image001.png@01CC5B5E.C6C8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5" r:link="rId16"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0E0335" w:rsidRPr="00363BBE" w:rsidRDefault="000E0335" w:rsidP="000E0335">
      <w:pPr>
        <w:pStyle w:val="Default"/>
        <w:spacing w:before="120" w:after="120"/>
        <w:rPr>
          <w:sz w:val="20"/>
          <w:szCs w:val="20"/>
        </w:rPr>
      </w:pPr>
      <w:r w:rsidRPr="00363BBE">
        <w:rPr>
          <w:sz w:val="20"/>
          <w:szCs w:val="20"/>
        </w:rPr>
        <w:t>With the exception of the Commonwealth Coat of Arms, the Department’s logo, any material protected by a trade mark and where otherwise noted all material presented in this document is provided under a Creative Commons Attribution 3.0 Australia (</w:t>
      </w:r>
      <w:hyperlink r:id="rId17" w:history="1">
        <w:r w:rsidRPr="00363BBE">
          <w:rPr>
            <w:rStyle w:val="Hyperlink"/>
          </w:rPr>
          <w:t>http://creativecommons.org/licenses/by/3.0/au/</w:t>
        </w:r>
      </w:hyperlink>
      <w:r w:rsidRPr="00363BBE">
        <w:rPr>
          <w:sz w:val="20"/>
          <w:szCs w:val="20"/>
        </w:rPr>
        <w:t xml:space="preserve">) licence. </w:t>
      </w:r>
    </w:p>
    <w:p w:rsidR="000E0335" w:rsidRPr="00363BBE" w:rsidRDefault="000E0335" w:rsidP="000E0335">
      <w:pPr>
        <w:pStyle w:val="Default"/>
        <w:spacing w:before="120" w:after="120"/>
        <w:rPr>
          <w:sz w:val="20"/>
          <w:szCs w:val="20"/>
        </w:rPr>
      </w:pPr>
      <w:r w:rsidRPr="00363BBE">
        <w:rPr>
          <w:sz w:val="20"/>
          <w:szCs w:val="20"/>
        </w:rPr>
        <w:t>The details of the relevant licence conditions are available on the Creative Commons website (accessible using the links provided) as is the full legal code for the CC BY 3.0 AU licence (</w:t>
      </w:r>
      <w:hyperlink r:id="rId18" w:history="1">
        <w:r w:rsidRPr="00363BBE">
          <w:rPr>
            <w:rStyle w:val="Hyperlink"/>
          </w:rPr>
          <w:t>http://creativecommons.org/licenses/by/3.0/au/legalcode</w:t>
        </w:r>
      </w:hyperlink>
      <w:r w:rsidRPr="00363BBE">
        <w:rPr>
          <w:sz w:val="20"/>
          <w:szCs w:val="20"/>
        </w:rPr>
        <w:t xml:space="preserve">). The document must be attributed as the ‘DEEWR - Survey of Employers’ Recruitment Experiences – Sydney West and Blue Mountains Priority Employment Area – </w:t>
      </w:r>
      <w:r w:rsidR="00411372">
        <w:rPr>
          <w:sz w:val="20"/>
          <w:szCs w:val="20"/>
        </w:rPr>
        <w:t>November</w:t>
      </w:r>
      <w:bookmarkStart w:id="32" w:name="_GoBack"/>
      <w:bookmarkEnd w:id="32"/>
      <w:r w:rsidRPr="00363BBE">
        <w:rPr>
          <w:sz w:val="20"/>
          <w:szCs w:val="20"/>
        </w:rPr>
        <w:t xml:space="preserve"> 2012’. </w:t>
      </w:r>
    </w:p>
    <w:p w:rsidR="000E0335" w:rsidRPr="00363BBE" w:rsidRDefault="000E0335" w:rsidP="000E0335">
      <w:pPr>
        <w:pStyle w:val="Default"/>
        <w:spacing w:before="120" w:after="120"/>
        <w:rPr>
          <w:sz w:val="20"/>
          <w:szCs w:val="20"/>
        </w:rPr>
      </w:pPr>
    </w:p>
    <w:p w:rsidR="000E0335" w:rsidRPr="00363BBE" w:rsidRDefault="000E0335" w:rsidP="000E0335">
      <w:pPr>
        <w:spacing w:after="180"/>
        <w:ind w:right="2514"/>
        <w:rPr>
          <w:rFonts w:cs="Arial"/>
        </w:rPr>
      </w:pPr>
    </w:p>
    <w:p w:rsidR="000E0335" w:rsidRPr="00363BBE" w:rsidRDefault="000E0335" w:rsidP="000E0335">
      <w:pPr>
        <w:spacing w:after="180"/>
        <w:ind w:right="2514"/>
        <w:rPr>
          <w:rFonts w:cs="Arial"/>
        </w:rPr>
      </w:pPr>
      <w:r w:rsidRPr="00363BBE">
        <w:rPr>
          <w:rFonts w:cs="Arial"/>
        </w:rPr>
        <w:t>This report was prepared by the Labour Market Research and Analysis Branch and is based on research conducted by the Branch.</w:t>
      </w:r>
    </w:p>
    <w:p w:rsidR="000E0335" w:rsidRPr="00D26D4C" w:rsidRDefault="000E0335" w:rsidP="000E0335">
      <w:pPr>
        <w:pStyle w:val="Default"/>
        <w:spacing w:before="120" w:after="120"/>
        <w:rPr>
          <w:rFonts w:cs="Arial"/>
          <w:sz w:val="22"/>
          <w:szCs w:val="22"/>
        </w:rPr>
      </w:pPr>
      <w:r w:rsidRPr="00363BBE">
        <w:rPr>
          <w:rFonts w:cs="Arial"/>
          <w:noProof/>
          <w:sz w:val="22"/>
          <w:szCs w:val="22"/>
        </w:rPr>
        <mc:AlternateContent>
          <mc:Choice Requires="wps">
            <w:drawing>
              <wp:anchor distT="0" distB="0" distL="114300" distR="114300" simplePos="0" relativeHeight="251661312" behindDoc="0" locked="0" layoutInCell="1" allowOverlap="1" wp14:anchorId="332C3538" wp14:editId="42027E22">
                <wp:simplePos x="0" y="0"/>
                <wp:positionH relativeFrom="column">
                  <wp:posOffset>2138045</wp:posOffset>
                </wp:positionH>
                <wp:positionV relativeFrom="paragraph">
                  <wp:posOffset>757555</wp:posOffset>
                </wp:positionV>
                <wp:extent cx="4665345" cy="457200"/>
                <wp:effectExtent l="4445" t="5080" r="6985" b="254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457200"/>
                        </a:xfrm>
                        <a:prstGeom prst="rect">
                          <a:avLst/>
                        </a:prstGeom>
                        <a:solidFill>
                          <a:schemeClr val="bg2">
                            <a:lumMod val="75000"/>
                            <a:lumOff val="0"/>
                            <a:alpha val="0"/>
                          </a:schemeClr>
                        </a:solidFill>
                        <a:ln>
                          <a:noFill/>
                        </a:ln>
                        <a:extLst>
                          <a:ext uri="{91240B29-F687-4F45-9708-019B960494DF}">
                            <a14:hiddenLine xmlns:a14="http://schemas.microsoft.com/office/drawing/2010/main" w="0">
                              <a:solidFill>
                                <a:schemeClr val="bg2">
                                  <a:lumMod val="90000"/>
                                  <a:lumOff val="0"/>
                                </a:schemeClr>
                              </a:solidFill>
                              <a:miter lim="800000"/>
                              <a:headEnd/>
                              <a:tailEnd/>
                            </a14:hiddenLine>
                          </a:ext>
                        </a:extLst>
                      </wps:spPr>
                      <wps:txbx>
                        <w:txbxContent>
                          <w:p w:rsidR="000E0335" w:rsidRDefault="000E0335" w:rsidP="000E0335">
                            <w:r>
                              <w:rPr>
                                <w:sz w:val="20"/>
                              </w:rPr>
                              <w:tab/>
                            </w:r>
                            <w:r>
                              <w:rPr>
                                <w:sz w:val="20"/>
                              </w:rPr>
                              <w:tab/>
                            </w:r>
                            <w:r>
                              <w:rPr>
                                <w:sz w:val="20"/>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8.35pt;margin-top:59.65pt;width:367.35pt;height:36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" fillcolor="#c4bc96 [2414]" stroked="f" strokecolor="#ddd8c2 [2894]" strokeweight="0">
                <v:fill opacity="0"/>
                <v:textbox style="mso-fit-shape-to-text:t">
                  <w:txbxContent>
                    <w:p w:rsidR="000E0335" w:rsidRDefault="000E0335" w:rsidP="000E0335">
                      <w:r>
                        <w:rPr>
                          <w:sz w:val="20"/>
                        </w:rPr>
                        <w:tab/>
                      </w:r>
                      <w:r>
                        <w:rPr>
                          <w:sz w:val="20"/>
                        </w:rPr>
                        <w:tab/>
                      </w:r>
                      <w:r>
                        <w:rPr>
                          <w:sz w:val="20"/>
                        </w:rPr>
                        <w:tab/>
                      </w:r>
                    </w:p>
                  </w:txbxContent>
                </v:textbox>
              </v:shape>
            </w:pict>
          </mc:Fallback>
        </mc:AlternateContent>
      </w:r>
      <w:r w:rsidRPr="00363BBE">
        <w:rPr>
          <w:rFonts w:cs="Arial"/>
          <w:sz w:val="22"/>
          <w:szCs w:val="22"/>
        </w:rPr>
        <w:t>For further information: www.deewr.gov.au</w:t>
      </w:r>
      <w:r w:rsidR="00CA5B61">
        <w:rPr>
          <w:rFonts w:cs="Arial"/>
          <w:sz w:val="22"/>
          <w:szCs w:val="22"/>
        </w:rPr>
        <w:t>/regional</w:t>
      </w:r>
      <w:r w:rsidR="00D26D4C">
        <w:rPr>
          <w:rFonts w:cs="Arial"/>
          <w:sz w:val="22"/>
          <w:szCs w:val="22"/>
        </w:rPr>
        <w:t>reports</w:t>
      </w:r>
      <w:r w:rsidRPr="00363BBE">
        <w:rPr>
          <w:rFonts w:cs="Arial"/>
          <w:sz w:val="22"/>
          <w:szCs w:val="22"/>
        </w:rPr>
        <w:br/>
      </w:r>
      <w:proofErr w:type="spellStart"/>
      <w:r w:rsidRPr="00363BBE">
        <w:rPr>
          <w:rFonts w:cs="Arial"/>
          <w:sz w:val="22"/>
          <w:szCs w:val="22"/>
        </w:rPr>
        <w:t>Ph</w:t>
      </w:r>
      <w:proofErr w:type="spellEnd"/>
      <w:r w:rsidRPr="00363BBE">
        <w:rPr>
          <w:rFonts w:cs="Arial"/>
          <w:sz w:val="22"/>
          <w:szCs w:val="22"/>
        </w:rPr>
        <w:t xml:space="preserve">: 1800 059 439 | </w:t>
      </w:r>
      <w:hyperlink r:id="rId19" w:history="1">
        <w:r w:rsidRPr="00363BBE">
          <w:rPr>
            <w:rFonts w:cs="Arial"/>
            <w:sz w:val="22"/>
            <w:szCs w:val="22"/>
          </w:rPr>
          <w:t>recruitmentsurveys@deewr.gov.au</w:t>
        </w:r>
      </w:hyperlink>
      <w:r w:rsidRPr="00363BBE">
        <w:rPr>
          <w:sz w:val="22"/>
          <w:szCs w:val="22"/>
        </w:rPr>
        <w:tab/>
        <w:t xml:space="preserve">                      </w:t>
      </w:r>
      <w:r w:rsidRPr="00363BBE">
        <w:rPr>
          <w:sz w:val="22"/>
          <w:szCs w:val="22"/>
        </w:rPr>
        <w:br/>
      </w:r>
      <w:r w:rsidRPr="00363BBE">
        <w:rPr>
          <w:rFonts w:cs="Arial"/>
          <w:sz w:val="22"/>
          <w:szCs w:val="22"/>
        </w:rPr>
        <w:t>ABN: 63 578 775 294</w:t>
      </w:r>
    </w:p>
    <w:bookmarkStart w:id="33" w:name="_Toc352917809" w:displacedByCustomXml="next"/>
    <w:bookmarkStart w:id="34" w:name="_Toc349830499" w:displacedByCustomXml="next"/>
    <w:bookmarkStart w:id="35" w:name="_Toc346876940" w:displacedByCustomXml="next"/>
    <w:bookmarkStart w:id="36" w:name="_Toc346611101" w:displacedByCustomXml="next"/>
    <w:bookmarkStart w:id="37" w:name="_Toc345508531" w:displacedByCustomXml="next"/>
    <w:bookmarkStart w:id="38" w:name="_Toc346195462" w:displacedByCustomXml="next"/>
    <w:bookmarkStart w:id="39" w:name="_Toc346529976" w:displacedByCustomXml="next"/>
    <w:bookmarkStart w:id="40" w:name="_Toc349829982" w:displacedByCustomXml="next"/>
    <w:sdt>
      <w:sdtPr>
        <w:rPr>
          <w:rFonts w:asciiTheme="minorHAnsi" w:eastAsia="Times New Roman" w:hAnsiTheme="minorHAnsi" w:cs="Times New Roman"/>
          <w:b w:val="0"/>
          <w:bCs w:val="0"/>
          <w:smallCaps/>
          <w:color w:val="auto"/>
          <w:sz w:val="22"/>
          <w:szCs w:val="24"/>
        </w:rPr>
        <w:id w:val="86572131"/>
        <w:docPartObj>
          <w:docPartGallery w:val="Table of Contents"/>
          <w:docPartUnique/>
        </w:docPartObj>
      </w:sdtPr>
      <w:sdtEndPr>
        <w:rPr>
          <w:rFonts w:eastAsiaTheme="minorHAnsi" w:cstheme="minorBidi"/>
          <w:smallCaps w:val="0"/>
          <w:szCs w:val="22"/>
        </w:rPr>
      </w:sdtEndPr>
      <w:sdtContent>
        <w:p w:rsidR="00753B0F" w:rsidRDefault="000E0335" w:rsidP="00753B0F">
          <w:pPr>
            <w:pStyle w:val="Heading1"/>
            <w:rPr>
              <w:rFonts w:asciiTheme="minorHAnsi" w:eastAsiaTheme="minorEastAsia" w:hAnsiTheme="minorHAnsi" w:cstheme="minorBidi"/>
              <w:b w:val="0"/>
              <w:noProof/>
              <w:color w:val="auto"/>
              <w:szCs w:val="22"/>
            </w:rPr>
          </w:pPr>
          <w:r w:rsidRPr="00363BBE">
            <w:rPr>
              <w:sz w:val="36"/>
              <w:szCs w:val="36"/>
            </w:rPr>
            <w:t>Contents</w:t>
          </w:r>
          <w:bookmarkEnd w:id="40"/>
          <w:bookmarkEnd w:id="39"/>
          <w:bookmarkEnd w:id="38"/>
          <w:bookmarkEnd w:id="37"/>
          <w:bookmarkEnd w:id="36"/>
          <w:bookmarkEnd w:id="35"/>
          <w:bookmarkEnd w:id="34"/>
          <w:bookmarkEnd w:id="33"/>
          <w:r w:rsidRPr="00363BBE">
            <w:rPr>
              <w:rFonts w:ascii="Calibri" w:hAnsi="Calibri"/>
              <w:color w:val="165788"/>
              <w:sz w:val="40"/>
            </w:rPr>
            <w:fldChar w:fldCharType="begin"/>
          </w:r>
          <w:r w:rsidRPr="00363BBE">
            <w:instrText xml:space="preserve"> TOC \o "1-3" \h \z \u </w:instrText>
          </w:r>
          <w:r w:rsidRPr="00363BBE">
            <w:rPr>
              <w:rFonts w:ascii="Calibri" w:hAnsi="Calibri"/>
              <w:color w:val="165788"/>
              <w:sz w:val="40"/>
            </w:rPr>
            <w:fldChar w:fldCharType="separate"/>
          </w:r>
        </w:p>
        <w:p w:rsidR="00753B0F" w:rsidRDefault="00753B0F">
          <w:pPr>
            <w:pStyle w:val="TOC1"/>
            <w:rPr>
              <w:rFonts w:asciiTheme="minorHAnsi" w:eastAsiaTheme="minorEastAsia" w:hAnsiTheme="minorHAnsi" w:cstheme="minorBidi"/>
              <w:b w:val="0"/>
              <w:noProof/>
              <w:color w:val="auto"/>
              <w:szCs w:val="22"/>
            </w:rPr>
          </w:pPr>
        </w:p>
        <w:p w:rsidR="00753B0F" w:rsidRDefault="00411372">
          <w:pPr>
            <w:pStyle w:val="TOC1"/>
            <w:rPr>
              <w:rFonts w:asciiTheme="minorHAnsi" w:eastAsiaTheme="minorEastAsia" w:hAnsiTheme="minorHAnsi" w:cstheme="minorBidi"/>
              <w:b w:val="0"/>
              <w:noProof/>
              <w:color w:val="auto"/>
              <w:szCs w:val="22"/>
            </w:rPr>
          </w:pPr>
          <w:hyperlink w:anchor="_Toc352917810" w:history="1">
            <w:r w:rsidR="00753B0F" w:rsidRPr="00F105F0">
              <w:rPr>
                <w:rStyle w:val="Hyperlink"/>
                <w:noProof/>
              </w:rPr>
              <w:t>About the Region</w:t>
            </w:r>
            <w:r w:rsidR="00753B0F">
              <w:rPr>
                <w:noProof/>
                <w:webHidden/>
              </w:rPr>
              <w:tab/>
            </w:r>
            <w:r w:rsidR="00753B0F">
              <w:rPr>
                <w:noProof/>
                <w:webHidden/>
              </w:rPr>
              <w:fldChar w:fldCharType="begin"/>
            </w:r>
            <w:r w:rsidR="00753B0F">
              <w:rPr>
                <w:noProof/>
                <w:webHidden/>
              </w:rPr>
              <w:instrText xml:space="preserve"> PAGEREF _Toc352917810 \h </w:instrText>
            </w:r>
            <w:r w:rsidR="00753B0F">
              <w:rPr>
                <w:noProof/>
                <w:webHidden/>
              </w:rPr>
            </w:r>
            <w:r w:rsidR="00753B0F">
              <w:rPr>
                <w:noProof/>
                <w:webHidden/>
              </w:rPr>
              <w:fldChar w:fldCharType="separate"/>
            </w:r>
            <w:r w:rsidR="00753B0F">
              <w:rPr>
                <w:noProof/>
                <w:webHidden/>
              </w:rPr>
              <w:t>1</w:t>
            </w:r>
            <w:r w:rsidR="00753B0F">
              <w:rPr>
                <w:noProof/>
                <w:webHidden/>
              </w:rPr>
              <w:fldChar w:fldCharType="end"/>
            </w:r>
          </w:hyperlink>
        </w:p>
        <w:p w:rsidR="00753B0F" w:rsidRDefault="00411372">
          <w:pPr>
            <w:pStyle w:val="TOC1"/>
            <w:rPr>
              <w:rFonts w:asciiTheme="minorHAnsi" w:eastAsiaTheme="minorEastAsia" w:hAnsiTheme="minorHAnsi" w:cstheme="minorBidi"/>
              <w:b w:val="0"/>
              <w:noProof/>
              <w:color w:val="auto"/>
              <w:szCs w:val="22"/>
            </w:rPr>
          </w:pPr>
          <w:hyperlink w:anchor="_Toc352917811" w:history="1">
            <w:r w:rsidR="00753B0F" w:rsidRPr="00F105F0">
              <w:rPr>
                <w:rStyle w:val="Hyperlink"/>
                <w:noProof/>
              </w:rPr>
              <w:t>Key Findings</w:t>
            </w:r>
            <w:r w:rsidR="00753B0F">
              <w:rPr>
                <w:noProof/>
                <w:webHidden/>
              </w:rPr>
              <w:tab/>
            </w:r>
            <w:r w:rsidR="00753B0F">
              <w:rPr>
                <w:noProof/>
                <w:webHidden/>
              </w:rPr>
              <w:fldChar w:fldCharType="begin"/>
            </w:r>
            <w:r w:rsidR="00753B0F">
              <w:rPr>
                <w:noProof/>
                <w:webHidden/>
              </w:rPr>
              <w:instrText xml:space="preserve"> PAGEREF _Toc352917811 \h </w:instrText>
            </w:r>
            <w:r w:rsidR="00753B0F">
              <w:rPr>
                <w:noProof/>
                <w:webHidden/>
              </w:rPr>
            </w:r>
            <w:r w:rsidR="00753B0F">
              <w:rPr>
                <w:noProof/>
                <w:webHidden/>
              </w:rPr>
              <w:fldChar w:fldCharType="separate"/>
            </w:r>
            <w:r w:rsidR="00753B0F">
              <w:rPr>
                <w:noProof/>
                <w:webHidden/>
              </w:rPr>
              <w:t>1</w:t>
            </w:r>
            <w:r w:rsidR="00753B0F">
              <w:rPr>
                <w:noProof/>
                <w:webHidden/>
              </w:rPr>
              <w:fldChar w:fldCharType="end"/>
            </w:r>
          </w:hyperlink>
        </w:p>
        <w:p w:rsidR="00753B0F" w:rsidRDefault="00411372">
          <w:pPr>
            <w:pStyle w:val="TOC1"/>
            <w:rPr>
              <w:rFonts w:asciiTheme="minorHAnsi" w:eastAsiaTheme="minorEastAsia" w:hAnsiTheme="minorHAnsi" w:cstheme="minorBidi"/>
              <w:b w:val="0"/>
              <w:noProof/>
              <w:color w:val="auto"/>
              <w:szCs w:val="22"/>
            </w:rPr>
          </w:pPr>
          <w:hyperlink w:anchor="_Toc352917812" w:history="1">
            <w:r w:rsidR="00753B0F" w:rsidRPr="00F105F0">
              <w:rPr>
                <w:rStyle w:val="Hyperlink"/>
                <w:noProof/>
              </w:rPr>
              <w:t>Subdued Recruitment Activity</w:t>
            </w:r>
            <w:r w:rsidR="00753B0F">
              <w:rPr>
                <w:noProof/>
                <w:webHidden/>
              </w:rPr>
              <w:tab/>
            </w:r>
            <w:r w:rsidR="00753B0F">
              <w:rPr>
                <w:noProof/>
                <w:webHidden/>
              </w:rPr>
              <w:fldChar w:fldCharType="begin"/>
            </w:r>
            <w:r w:rsidR="00753B0F">
              <w:rPr>
                <w:noProof/>
                <w:webHidden/>
              </w:rPr>
              <w:instrText xml:space="preserve"> PAGEREF _Toc352917812 \h </w:instrText>
            </w:r>
            <w:r w:rsidR="00753B0F">
              <w:rPr>
                <w:noProof/>
                <w:webHidden/>
              </w:rPr>
            </w:r>
            <w:r w:rsidR="00753B0F">
              <w:rPr>
                <w:noProof/>
                <w:webHidden/>
              </w:rPr>
              <w:fldChar w:fldCharType="separate"/>
            </w:r>
            <w:r w:rsidR="00753B0F">
              <w:rPr>
                <w:noProof/>
                <w:webHidden/>
              </w:rPr>
              <w:t>2</w:t>
            </w:r>
            <w:r w:rsidR="00753B0F">
              <w:rPr>
                <w:noProof/>
                <w:webHidden/>
              </w:rPr>
              <w:fldChar w:fldCharType="end"/>
            </w:r>
          </w:hyperlink>
        </w:p>
        <w:p w:rsidR="00753B0F" w:rsidRDefault="00411372">
          <w:pPr>
            <w:pStyle w:val="TOC1"/>
            <w:rPr>
              <w:rFonts w:asciiTheme="minorHAnsi" w:eastAsiaTheme="minorEastAsia" w:hAnsiTheme="minorHAnsi" w:cstheme="minorBidi"/>
              <w:b w:val="0"/>
              <w:noProof/>
              <w:color w:val="auto"/>
              <w:szCs w:val="22"/>
            </w:rPr>
          </w:pPr>
          <w:hyperlink w:anchor="_Toc352917813" w:history="1">
            <w:r w:rsidR="00753B0F" w:rsidRPr="00F105F0">
              <w:rPr>
                <w:rStyle w:val="Hyperlink"/>
                <w:noProof/>
              </w:rPr>
              <w:t>Strong Competition for Vacancies</w:t>
            </w:r>
            <w:r w:rsidR="00753B0F">
              <w:rPr>
                <w:noProof/>
                <w:webHidden/>
              </w:rPr>
              <w:tab/>
            </w:r>
            <w:r w:rsidR="00753B0F">
              <w:rPr>
                <w:noProof/>
                <w:webHidden/>
              </w:rPr>
              <w:fldChar w:fldCharType="begin"/>
            </w:r>
            <w:r w:rsidR="00753B0F">
              <w:rPr>
                <w:noProof/>
                <w:webHidden/>
              </w:rPr>
              <w:instrText xml:space="preserve"> PAGEREF _Toc352917813 \h </w:instrText>
            </w:r>
            <w:r w:rsidR="00753B0F">
              <w:rPr>
                <w:noProof/>
                <w:webHidden/>
              </w:rPr>
            </w:r>
            <w:r w:rsidR="00753B0F">
              <w:rPr>
                <w:noProof/>
                <w:webHidden/>
              </w:rPr>
              <w:fldChar w:fldCharType="separate"/>
            </w:r>
            <w:r w:rsidR="00753B0F">
              <w:rPr>
                <w:noProof/>
                <w:webHidden/>
              </w:rPr>
              <w:t>2</w:t>
            </w:r>
            <w:r w:rsidR="00753B0F">
              <w:rPr>
                <w:noProof/>
                <w:webHidden/>
              </w:rPr>
              <w:fldChar w:fldCharType="end"/>
            </w:r>
          </w:hyperlink>
        </w:p>
        <w:p w:rsidR="00753B0F" w:rsidRDefault="00411372">
          <w:pPr>
            <w:pStyle w:val="TOC1"/>
            <w:rPr>
              <w:rFonts w:asciiTheme="minorHAnsi" w:eastAsiaTheme="minorEastAsia" w:hAnsiTheme="minorHAnsi" w:cstheme="minorBidi"/>
              <w:b w:val="0"/>
              <w:noProof/>
              <w:color w:val="auto"/>
              <w:szCs w:val="22"/>
            </w:rPr>
          </w:pPr>
          <w:hyperlink w:anchor="_Toc352917814" w:history="1">
            <w:r w:rsidR="00753B0F" w:rsidRPr="00F105F0">
              <w:rPr>
                <w:rStyle w:val="Hyperlink"/>
                <w:noProof/>
              </w:rPr>
              <w:t>Recruitment Difficulty Easing</w:t>
            </w:r>
            <w:r w:rsidR="00753B0F">
              <w:rPr>
                <w:noProof/>
                <w:webHidden/>
              </w:rPr>
              <w:tab/>
            </w:r>
            <w:r w:rsidR="00753B0F">
              <w:rPr>
                <w:noProof/>
                <w:webHidden/>
              </w:rPr>
              <w:fldChar w:fldCharType="begin"/>
            </w:r>
            <w:r w:rsidR="00753B0F">
              <w:rPr>
                <w:noProof/>
                <w:webHidden/>
              </w:rPr>
              <w:instrText xml:space="preserve"> PAGEREF _Toc352917814 \h </w:instrText>
            </w:r>
            <w:r w:rsidR="00753B0F">
              <w:rPr>
                <w:noProof/>
                <w:webHidden/>
              </w:rPr>
            </w:r>
            <w:r w:rsidR="00753B0F">
              <w:rPr>
                <w:noProof/>
                <w:webHidden/>
              </w:rPr>
              <w:fldChar w:fldCharType="separate"/>
            </w:r>
            <w:r w:rsidR="00753B0F">
              <w:rPr>
                <w:noProof/>
                <w:webHidden/>
              </w:rPr>
              <w:t>2</w:t>
            </w:r>
            <w:r w:rsidR="00753B0F">
              <w:rPr>
                <w:noProof/>
                <w:webHidden/>
              </w:rPr>
              <w:fldChar w:fldCharType="end"/>
            </w:r>
          </w:hyperlink>
        </w:p>
        <w:p w:rsidR="00753B0F" w:rsidRDefault="00411372">
          <w:pPr>
            <w:pStyle w:val="TOC1"/>
            <w:rPr>
              <w:rFonts w:asciiTheme="minorHAnsi" w:eastAsiaTheme="minorEastAsia" w:hAnsiTheme="minorHAnsi" w:cstheme="minorBidi"/>
              <w:b w:val="0"/>
              <w:noProof/>
              <w:color w:val="auto"/>
              <w:szCs w:val="22"/>
            </w:rPr>
          </w:pPr>
          <w:hyperlink w:anchor="_Toc352917815" w:history="1">
            <w:r w:rsidR="00753B0F" w:rsidRPr="00F105F0">
              <w:rPr>
                <w:rStyle w:val="Hyperlink"/>
                <w:noProof/>
              </w:rPr>
              <w:t>Subdued Recruitment Outlook</w:t>
            </w:r>
            <w:r w:rsidR="00753B0F">
              <w:rPr>
                <w:noProof/>
                <w:webHidden/>
              </w:rPr>
              <w:tab/>
            </w:r>
            <w:r w:rsidR="00753B0F">
              <w:rPr>
                <w:noProof/>
                <w:webHidden/>
              </w:rPr>
              <w:fldChar w:fldCharType="begin"/>
            </w:r>
            <w:r w:rsidR="00753B0F">
              <w:rPr>
                <w:noProof/>
                <w:webHidden/>
              </w:rPr>
              <w:instrText xml:space="preserve"> PAGEREF _Toc352917815 \h </w:instrText>
            </w:r>
            <w:r w:rsidR="00753B0F">
              <w:rPr>
                <w:noProof/>
                <w:webHidden/>
              </w:rPr>
            </w:r>
            <w:r w:rsidR="00753B0F">
              <w:rPr>
                <w:noProof/>
                <w:webHidden/>
              </w:rPr>
              <w:fldChar w:fldCharType="separate"/>
            </w:r>
            <w:r w:rsidR="00753B0F">
              <w:rPr>
                <w:noProof/>
                <w:webHidden/>
              </w:rPr>
              <w:t>3</w:t>
            </w:r>
            <w:r w:rsidR="00753B0F">
              <w:rPr>
                <w:noProof/>
                <w:webHidden/>
              </w:rPr>
              <w:fldChar w:fldCharType="end"/>
            </w:r>
          </w:hyperlink>
        </w:p>
        <w:p w:rsidR="00753B0F" w:rsidRDefault="00411372">
          <w:pPr>
            <w:pStyle w:val="TOC1"/>
            <w:rPr>
              <w:rFonts w:asciiTheme="minorHAnsi" w:eastAsiaTheme="minorEastAsia" w:hAnsiTheme="minorHAnsi" w:cstheme="minorBidi"/>
              <w:b w:val="0"/>
              <w:noProof/>
              <w:color w:val="auto"/>
              <w:szCs w:val="22"/>
            </w:rPr>
          </w:pPr>
          <w:hyperlink w:anchor="_Toc352917816" w:history="1">
            <w:r w:rsidR="00753B0F" w:rsidRPr="00F105F0">
              <w:rPr>
                <w:rStyle w:val="Hyperlink"/>
                <w:noProof/>
              </w:rPr>
              <w:t>Job Opportunities</w:t>
            </w:r>
            <w:r w:rsidR="00753B0F">
              <w:rPr>
                <w:noProof/>
                <w:webHidden/>
              </w:rPr>
              <w:tab/>
            </w:r>
            <w:r w:rsidR="00753B0F">
              <w:rPr>
                <w:noProof/>
                <w:webHidden/>
              </w:rPr>
              <w:fldChar w:fldCharType="begin"/>
            </w:r>
            <w:r w:rsidR="00753B0F">
              <w:rPr>
                <w:noProof/>
                <w:webHidden/>
              </w:rPr>
              <w:instrText xml:space="preserve"> PAGEREF _Toc352917816 \h </w:instrText>
            </w:r>
            <w:r w:rsidR="00753B0F">
              <w:rPr>
                <w:noProof/>
                <w:webHidden/>
              </w:rPr>
            </w:r>
            <w:r w:rsidR="00753B0F">
              <w:rPr>
                <w:noProof/>
                <w:webHidden/>
              </w:rPr>
              <w:fldChar w:fldCharType="separate"/>
            </w:r>
            <w:r w:rsidR="00753B0F">
              <w:rPr>
                <w:noProof/>
                <w:webHidden/>
              </w:rPr>
              <w:t>4</w:t>
            </w:r>
            <w:r w:rsidR="00753B0F">
              <w:rPr>
                <w:noProof/>
                <w:webHidden/>
              </w:rPr>
              <w:fldChar w:fldCharType="end"/>
            </w:r>
          </w:hyperlink>
        </w:p>
        <w:p w:rsidR="00753B0F" w:rsidRDefault="00411372">
          <w:pPr>
            <w:pStyle w:val="TOC1"/>
            <w:rPr>
              <w:rFonts w:asciiTheme="minorHAnsi" w:eastAsiaTheme="minorEastAsia" w:hAnsiTheme="minorHAnsi" w:cstheme="minorBidi"/>
              <w:b w:val="0"/>
              <w:noProof/>
              <w:color w:val="auto"/>
              <w:szCs w:val="22"/>
            </w:rPr>
          </w:pPr>
          <w:hyperlink w:anchor="_Toc352917817" w:history="1">
            <w:r w:rsidR="00753B0F" w:rsidRPr="00F105F0">
              <w:rPr>
                <w:rStyle w:val="Hyperlink"/>
                <w:noProof/>
              </w:rPr>
              <w:t>More Information</w:t>
            </w:r>
            <w:r w:rsidR="00753B0F">
              <w:rPr>
                <w:noProof/>
                <w:webHidden/>
              </w:rPr>
              <w:tab/>
            </w:r>
            <w:r w:rsidR="00753B0F">
              <w:rPr>
                <w:noProof/>
                <w:webHidden/>
              </w:rPr>
              <w:fldChar w:fldCharType="begin"/>
            </w:r>
            <w:r w:rsidR="00753B0F">
              <w:rPr>
                <w:noProof/>
                <w:webHidden/>
              </w:rPr>
              <w:instrText xml:space="preserve"> PAGEREF _Toc352917817 \h </w:instrText>
            </w:r>
            <w:r w:rsidR="00753B0F">
              <w:rPr>
                <w:noProof/>
                <w:webHidden/>
              </w:rPr>
            </w:r>
            <w:r w:rsidR="00753B0F">
              <w:rPr>
                <w:noProof/>
                <w:webHidden/>
              </w:rPr>
              <w:fldChar w:fldCharType="separate"/>
            </w:r>
            <w:r w:rsidR="00753B0F">
              <w:rPr>
                <w:noProof/>
                <w:webHidden/>
              </w:rPr>
              <w:t>4</w:t>
            </w:r>
            <w:r w:rsidR="00753B0F">
              <w:rPr>
                <w:noProof/>
                <w:webHidden/>
              </w:rPr>
              <w:fldChar w:fldCharType="end"/>
            </w:r>
          </w:hyperlink>
        </w:p>
        <w:p w:rsidR="000E0335" w:rsidRPr="00363BBE" w:rsidRDefault="000E0335" w:rsidP="000E0335">
          <w:pPr>
            <w:sectPr w:rsidR="000E0335" w:rsidRPr="00363BBE" w:rsidSect="006C6F4D">
              <w:headerReference w:type="default" r:id="rId20"/>
              <w:pgSz w:w="11907" w:h="16839" w:code="9"/>
              <w:pgMar w:top="1440" w:right="1559" w:bottom="1440" w:left="1440" w:header="709" w:footer="0" w:gutter="0"/>
              <w:pgNumType w:fmt="lowerRoman" w:start="2"/>
              <w:cols w:space="708"/>
              <w:titlePg/>
              <w:docGrid w:linePitch="360"/>
            </w:sectPr>
          </w:pPr>
          <w:r w:rsidRPr="00363BBE">
            <w:fldChar w:fldCharType="end"/>
          </w:r>
        </w:p>
      </w:sdtContent>
    </w:sdt>
    <w:p w:rsidR="003A3D3A" w:rsidRPr="00363BBE" w:rsidRDefault="00916CB6" w:rsidP="003A3D3A">
      <w:pPr>
        <w:pStyle w:val="RIESbriefreports"/>
        <w:spacing w:before="240"/>
      </w:pPr>
      <w:bookmarkStart w:id="41" w:name="_Toc352917810"/>
      <w:bookmarkEnd w:id="1"/>
      <w:r>
        <w:lastRenderedPageBreak/>
        <w:t>About the Region</w:t>
      </w:r>
      <w:bookmarkEnd w:id="41"/>
    </w:p>
    <w:p w:rsidR="002E7EB4" w:rsidRPr="00465239" w:rsidRDefault="003A3D3A" w:rsidP="00465239">
      <w:pPr>
        <w:spacing w:after="120" w:line="240" w:lineRule="auto"/>
        <w:jc w:val="both"/>
        <w:rPr>
          <w:sz w:val="24"/>
        </w:rPr>
      </w:pPr>
      <w:r w:rsidRPr="00465239">
        <w:rPr>
          <w:sz w:val="24"/>
        </w:rPr>
        <w:t xml:space="preserve">The Sydney West and Blue Mountains Priority Employment Area (PEA) </w:t>
      </w:r>
      <w:r w:rsidR="00174A44" w:rsidRPr="00465239">
        <w:rPr>
          <w:sz w:val="24"/>
        </w:rPr>
        <w:t xml:space="preserve">is a </w:t>
      </w:r>
      <w:r w:rsidR="007B6ADF" w:rsidRPr="00465239">
        <w:rPr>
          <w:sz w:val="24"/>
        </w:rPr>
        <w:t>large and populous region</w:t>
      </w:r>
      <w:r w:rsidR="00174A44" w:rsidRPr="00465239">
        <w:rPr>
          <w:sz w:val="24"/>
        </w:rPr>
        <w:t xml:space="preserve"> </w:t>
      </w:r>
      <w:r w:rsidRPr="00465239">
        <w:rPr>
          <w:sz w:val="24"/>
        </w:rPr>
        <w:t>compris</w:t>
      </w:r>
      <w:r w:rsidR="007B6ADF" w:rsidRPr="00465239">
        <w:rPr>
          <w:sz w:val="24"/>
        </w:rPr>
        <w:t>ing</w:t>
      </w:r>
      <w:r w:rsidRPr="00465239">
        <w:rPr>
          <w:sz w:val="24"/>
        </w:rPr>
        <w:t xml:space="preserve"> the Local Government Areas (LGA</w:t>
      </w:r>
      <w:r w:rsidR="00174A44" w:rsidRPr="00465239">
        <w:rPr>
          <w:sz w:val="24"/>
        </w:rPr>
        <w:t>s</w:t>
      </w:r>
      <w:r w:rsidRPr="00465239">
        <w:rPr>
          <w:sz w:val="24"/>
        </w:rPr>
        <w:t>) of Auburn, Blacktown, Blue Mountains, Hawkesbury, Holroyd, Parramatta and Penrith.</w:t>
      </w:r>
      <w:r w:rsidR="00822A00" w:rsidRPr="00465239">
        <w:rPr>
          <w:sz w:val="24"/>
        </w:rPr>
        <w:t xml:space="preserve"> </w:t>
      </w:r>
    </w:p>
    <w:p w:rsidR="003A3D3A" w:rsidRPr="00465239" w:rsidRDefault="00822A00" w:rsidP="00465239">
      <w:pPr>
        <w:spacing w:after="120" w:line="240" w:lineRule="auto"/>
        <w:jc w:val="both"/>
        <w:rPr>
          <w:sz w:val="24"/>
        </w:rPr>
      </w:pPr>
      <w:r w:rsidRPr="00465239">
        <w:rPr>
          <w:sz w:val="24"/>
        </w:rPr>
        <w:t xml:space="preserve">The PEA includes many </w:t>
      </w:r>
      <w:r w:rsidR="00D075EF" w:rsidRPr="00465239">
        <w:rPr>
          <w:sz w:val="24"/>
        </w:rPr>
        <w:t xml:space="preserve">high </w:t>
      </w:r>
      <w:r w:rsidRPr="00465239">
        <w:rPr>
          <w:sz w:val="24"/>
        </w:rPr>
        <w:t>growth areas of Sydney</w:t>
      </w:r>
      <w:r w:rsidR="00D075EF" w:rsidRPr="00465239">
        <w:rPr>
          <w:sz w:val="24"/>
        </w:rPr>
        <w:t xml:space="preserve"> such as Parramatta and Blacktown</w:t>
      </w:r>
      <w:r w:rsidRPr="00465239">
        <w:rPr>
          <w:sz w:val="24"/>
        </w:rPr>
        <w:t>,</w:t>
      </w:r>
      <w:r w:rsidR="00D075EF" w:rsidRPr="00465239">
        <w:rPr>
          <w:sz w:val="24"/>
        </w:rPr>
        <w:t xml:space="preserve"> </w:t>
      </w:r>
      <w:r w:rsidR="00897BCA" w:rsidRPr="00465239">
        <w:rPr>
          <w:sz w:val="24"/>
        </w:rPr>
        <w:t>with</w:t>
      </w:r>
      <w:r w:rsidR="00D075EF" w:rsidRPr="00465239">
        <w:rPr>
          <w:sz w:val="24"/>
        </w:rPr>
        <w:t xml:space="preserve"> th</w:t>
      </w:r>
      <w:r w:rsidRPr="00465239">
        <w:rPr>
          <w:sz w:val="24"/>
        </w:rPr>
        <w:t xml:space="preserve">e working age population of the PEA growing at a </w:t>
      </w:r>
      <w:r w:rsidR="00897BCA" w:rsidRPr="00465239">
        <w:rPr>
          <w:sz w:val="24"/>
        </w:rPr>
        <w:t>faster rate than</w:t>
      </w:r>
      <w:r w:rsidR="00D075EF" w:rsidRPr="00465239">
        <w:rPr>
          <w:sz w:val="24"/>
        </w:rPr>
        <w:t xml:space="preserve"> </w:t>
      </w:r>
      <w:r w:rsidRPr="00465239">
        <w:rPr>
          <w:sz w:val="24"/>
        </w:rPr>
        <w:t>Sydney overall</w:t>
      </w:r>
      <w:r w:rsidR="005D1425">
        <w:rPr>
          <w:sz w:val="24"/>
        </w:rPr>
        <w:t>.</w:t>
      </w:r>
      <w:r w:rsidR="00AC5A9E" w:rsidRPr="00897BCA">
        <w:rPr>
          <w:rStyle w:val="FootnoteReference"/>
          <w:sz w:val="24"/>
        </w:rPr>
        <w:footnoteReference w:id="1"/>
      </w:r>
    </w:p>
    <w:p w:rsidR="003A3D3A" w:rsidRPr="00465239" w:rsidRDefault="003A3D3A" w:rsidP="00465239">
      <w:pPr>
        <w:spacing w:after="120" w:line="240" w:lineRule="auto"/>
        <w:jc w:val="both"/>
        <w:rPr>
          <w:sz w:val="24"/>
        </w:rPr>
      </w:pPr>
      <w:r w:rsidRPr="00465239">
        <w:rPr>
          <w:sz w:val="24"/>
        </w:rPr>
        <w:t xml:space="preserve">The unemployment rate for the PEA </w:t>
      </w:r>
      <w:r w:rsidR="0035664C">
        <w:rPr>
          <w:sz w:val="24"/>
        </w:rPr>
        <w:t>is frequently above the Sydney average (5</w:t>
      </w:r>
      <w:r w:rsidR="00F220F1" w:rsidRPr="00465239">
        <w:rPr>
          <w:sz w:val="24"/>
        </w:rPr>
        <w:t>.5</w:t>
      </w:r>
      <w:r w:rsidRPr="00465239">
        <w:rPr>
          <w:sz w:val="24"/>
        </w:rPr>
        <w:t xml:space="preserve"> per cent </w:t>
      </w:r>
      <w:r w:rsidR="0035664C">
        <w:rPr>
          <w:sz w:val="24"/>
        </w:rPr>
        <w:t xml:space="preserve">compared with 4.8 per cent respectively </w:t>
      </w:r>
      <w:r w:rsidRPr="00465239">
        <w:rPr>
          <w:sz w:val="24"/>
        </w:rPr>
        <w:t xml:space="preserve">in </w:t>
      </w:r>
      <w:r w:rsidR="0035664C">
        <w:rPr>
          <w:sz w:val="24"/>
        </w:rPr>
        <w:t xml:space="preserve">February </w:t>
      </w:r>
      <w:r w:rsidR="00F220F1" w:rsidRPr="00465239">
        <w:rPr>
          <w:sz w:val="24"/>
        </w:rPr>
        <w:t>2013</w:t>
      </w:r>
      <w:r w:rsidR="00B023D6" w:rsidRPr="00363BBE">
        <w:rPr>
          <w:rStyle w:val="FootnoteReference"/>
          <w:sz w:val="24"/>
        </w:rPr>
        <w:footnoteReference w:id="2"/>
      </w:r>
      <w:r w:rsidR="0035664C">
        <w:rPr>
          <w:sz w:val="24"/>
        </w:rPr>
        <w:t xml:space="preserve">), with the unemployment rate in the PEA </w:t>
      </w:r>
      <w:r w:rsidR="004574CB">
        <w:rPr>
          <w:sz w:val="24"/>
        </w:rPr>
        <w:t>having increased</w:t>
      </w:r>
      <w:r w:rsidR="0035664C">
        <w:rPr>
          <w:sz w:val="24"/>
        </w:rPr>
        <w:t xml:space="preserve"> </w:t>
      </w:r>
      <w:r w:rsidR="00736B69">
        <w:rPr>
          <w:sz w:val="24"/>
        </w:rPr>
        <w:t>since mid-2012</w:t>
      </w:r>
      <w:r w:rsidR="005D1425">
        <w:rPr>
          <w:sz w:val="24"/>
        </w:rPr>
        <w:t>.</w:t>
      </w:r>
      <w:r w:rsidR="00F220F1" w:rsidRPr="00465239">
        <w:rPr>
          <w:sz w:val="24"/>
        </w:rPr>
        <w:t xml:space="preserve"> There were some pockets within the PEA with</w:t>
      </w:r>
      <w:r w:rsidR="002E7EB4" w:rsidRPr="00465239">
        <w:rPr>
          <w:sz w:val="24"/>
        </w:rPr>
        <w:t xml:space="preserve"> relatively high levels of</w:t>
      </w:r>
      <w:r w:rsidR="00F220F1" w:rsidRPr="00465239">
        <w:rPr>
          <w:sz w:val="24"/>
        </w:rPr>
        <w:t xml:space="preserve"> unemployment, such as </w:t>
      </w:r>
      <w:r w:rsidR="005855BD" w:rsidRPr="00465239">
        <w:rPr>
          <w:sz w:val="24"/>
        </w:rPr>
        <w:t>south-west</w:t>
      </w:r>
      <w:r w:rsidR="00543446" w:rsidRPr="00465239">
        <w:rPr>
          <w:sz w:val="24"/>
        </w:rPr>
        <w:t>ern</w:t>
      </w:r>
      <w:r w:rsidR="005855BD" w:rsidRPr="00465239">
        <w:rPr>
          <w:sz w:val="24"/>
        </w:rPr>
        <w:t xml:space="preserve"> Blacktown</w:t>
      </w:r>
      <w:r w:rsidR="00C72889" w:rsidRPr="00465239">
        <w:rPr>
          <w:sz w:val="24"/>
        </w:rPr>
        <w:t xml:space="preserve"> and s</w:t>
      </w:r>
      <w:r w:rsidR="005855BD" w:rsidRPr="00465239">
        <w:rPr>
          <w:sz w:val="24"/>
        </w:rPr>
        <w:t>outhern Parramatta</w:t>
      </w:r>
      <w:r w:rsidR="005D1425">
        <w:rPr>
          <w:sz w:val="24"/>
        </w:rPr>
        <w:t>.</w:t>
      </w:r>
      <w:r w:rsidR="00F220F1" w:rsidRPr="00363BBE">
        <w:rPr>
          <w:rStyle w:val="FootnoteReference"/>
          <w:sz w:val="24"/>
        </w:rPr>
        <w:footnoteReference w:id="3"/>
      </w:r>
    </w:p>
    <w:p w:rsidR="00DB1C0E" w:rsidRDefault="00DB1C0E" w:rsidP="00DB1C0E">
      <w:pPr>
        <w:spacing w:after="120" w:line="240" w:lineRule="auto"/>
        <w:jc w:val="both"/>
        <w:rPr>
          <w:rFonts w:cstheme="minorHAnsi"/>
          <w:sz w:val="24"/>
        </w:rPr>
      </w:pPr>
      <w:r w:rsidRPr="00D20FCB">
        <w:rPr>
          <w:rFonts w:cstheme="minorHAnsi"/>
          <w:sz w:val="24"/>
        </w:rPr>
        <w:t>A large proportion (36 per cent) of the working age population of the Sydney West and Blue Mountains PEA was born in an Other Than Main English-Speaking Country (OTMESC), significantly larger than the Australian average (19 per cent).</w:t>
      </w:r>
      <w:r w:rsidRPr="00363BBE">
        <w:rPr>
          <w:rStyle w:val="FootnoteReference"/>
          <w:rFonts w:cstheme="minorHAnsi"/>
          <w:sz w:val="24"/>
        </w:rPr>
        <w:footnoteReference w:id="4"/>
      </w:r>
      <w:r w:rsidRPr="00D20FCB">
        <w:rPr>
          <w:rFonts w:cstheme="minorHAnsi"/>
          <w:sz w:val="24"/>
        </w:rPr>
        <w:t xml:space="preserve"> OTMESC migrants are heavily concentrated in the Auburn LGA, where they make up 69 per cent of the working age population.</w:t>
      </w:r>
    </w:p>
    <w:p w:rsidR="000A475F" w:rsidRPr="00465239" w:rsidRDefault="000A475F" w:rsidP="00465239">
      <w:pPr>
        <w:spacing w:after="120" w:line="240" w:lineRule="auto"/>
        <w:jc w:val="both"/>
        <w:rPr>
          <w:sz w:val="24"/>
        </w:rPr>
      </w:pPr>
      <w:r w:rsidRPr="00465239">
        <w:rPr>
          <w:sz w:val="24"/>
        </w:rPr>
        <w:t xml:space="preserve">The Sydney West and Blue Mountains PEA is a net exporter of labour, with </w:t>
      </w:r>
      <w:r w:rsidR="004D0B1B" w:rsidRPr="00465239">
        <w:rPr>
          <w:sz w:val="24"/>
        </w:rPr>
        <w:t>close to</w:t>
      </w:r>
      <w:r w:rsidRPr="00465239">
        <w:rPr>
          <w:sz w:val="24"/>
        </w:rPr>
        <w:t xml:space="preserve"> </w:t>
      </w:r>
      <w:r w:rsidR="002E7EB4" w:rsidRPr="00465239">
        <w:rPr>
          <w:sz w:val="24"/>
        </w:rPr>
        <w:t>150</w:t>
      </w:r>
      <w:r w:rsidR="00AC25D8">
        <w:rPr>
          <w:sz w:val="24"/>
        </w:rPr>
        <w:t xml:space="preserve">,000 </w:t>
      </w:r>
      <w:r w:rsidR="005922E4" w:rsidRPr="00465239">
        <w:rPr>
          <w:sz w:val="24"/>
        </w:rPr>
        <w:t xml:space="preserve">residents employed outside the </w:t>
      </w:r>
      <w:proofErr w:type="spellStart"/>
      <w:r w:rsidR="005922E4" w:rsidRPr="00465239">
        <w:rPr>
          <w:sz w:val="24"/>
        </w:rPr>
        <w:t>PEA</w:t>
      </w:r>
      <w:r w:rsidR="00B53846" w:rsidRPr="00B53846">
        <w:rPr>
          <w:sz w:val="24"/>
          <w:vertAlign w:val="superscript"/>
        </w:rPr>
        <w:t>4</w:t>
      </w:r>
      <w:proofErr w:type="spellEnd"/>
      <w:r w:rsidR="004574CB">
        <w:rPr>
          <w:sz w:val="24"/>
        </w:rPr>
        <w:t xml:space="preserve">. </w:t>
      </w:r>
      <w:r w:rsidR="005922E4" w:rsidRPr="00465239">
        <w:rPr>
          <w:sz w:val="24"/>
        </w:rPr>
        <w:t>This situation is likely to continue, with</w:t>
      </w:r>
      <w:r w:rsidR="002E7EB4" w:rsidRPr="00465239">
        <w:rPr>
          <w:sz w:val="24"/>
        </w:rPr>
        <w:t xml:space="preserve"> population growth outpacing jobs growth</w:t>
      </w:r>
      <w:r w:rsidR="00B45F7C">
        <w:rPr>
          <w:sz w:val="24"/>
        </w:rPr>
        <w:t xml:space="preserve"> over recent </w:t>
      </w:r>
      <w:proofErr w:type="spellStart"/>
      <w:r w:rsidR="00B45F7C">
        <w:rPr>
          <w:sz w:val="24"/>
        </w:rPr>
        <w:t>years</w:t>
      </w:r>
      <w:r w:rsidR="00B53846">
        <w:rPr>
          <w:sz w:val="24"/>
        </w:rPr>
        <w:t>.</w:t>
      </w:r>
      <w:r w:rsidR="00B53846" w:rsidRPr="00B53846">
        <w:rPr>
          <w:sz w:val="24"/>
          <w:vertAlign w:val="superscript"/>
        </w:rPr>
        <w:t>4</w:t>
      </w:r>
      <w:proofErr w:type="spellEnd"/>
    </w:p>
    <w:p w:rsidR="003A3D3A" w:rsidRPr="00465239" w:rsidRDefault="00552E0B" w:rsidP="00AB3800">
      <w:pPr>
        <w:spacing w:after="120" w:line="240" w:lineRule="auto"/>
        <w:jc w:val="both"/>
        <w:rPr>
          <w:sz w:val="24"/>
        </w:rPr>
      </w:pPr>
      <w:r w:rsidRPr="00465239">
        <w:rPr>
          <w:sz w:val="24"/>
        </w:rPr>
        <w:t xml:space="preserve">The </w:t>
      </w:r>
      <w:r w:rsidR="007A333D" w:rsidRPr="00465239">
        <w:rPr>
          <w:sz w:val="24"/>
        </w:rPr>
        <w:t>largest employing industries</w:t>
      </w:r>
      <w:r w:rsidR="00AC25D8">
        <w:rPr>
          <w:sz w:val="24"/>
        </w:rPr>
        <w:t xml:space="preserve"> in the PEA are</w:t>
      </w:r>
      <w:r w:rsidRPr="00465239">
        <w:rPr>
          <w:sz w:val="24"/>
        </w:rPr>
        <w:t xml:space="preserve"> Manufacturing, Hea</w:t>
      </w:r>
      <w:r w:rsidR="003A3D3A" w:rsidRPr="00465239">
        <w:rPr>
          <w:sz w:val="24"/>
        </w:rPr>
        <w:t xml:space="preserve">lth Care and Social </w:t>
      </w:r>
      <w:r w:rsidR="005D1425">
        <w:rPr>
          <w:sz w:val="24"/>
        </w:rPr>
        <w:t>Assistance and Retail Trade.</w:t>
      </w:r>
      <w:r w:rsidR="005D1425" w:rsidRPr="005D1425">
        <w:rPr>
          <w:sz w:val="24"/>
          <w:vertAlign w:val="superscript"/>
        </w:rPr>
        <w:t xml:space="preserve"> </w:t>
      </w:r>
      <w:r w:rsidR="005D1425" w:rsidRPr="00B53846">
        <w:rPr>
          <w:sz w:val="24"/>
          <w:vertAlign w:val="superscript"/>
        </w:rPr>
        <w:t>4</w:t>
      </w:r>
    </w:p>
    <w:p w:rsidR="003A3D3A" w:rsidRPr="00363BBE" w:rsidRDefault="00D12A29" w:rsidP="003A3D3A">
      <w:pPr>
        <w:pStyle w:val="RIESbriefreports"/>
        <w:spacing w:before="0"/>
      </w:pPr>
      <w:bookmarkStart w:id="42" w:name="_Toc352917811"/>
      <w:r w:rsidRPr="00363BBE">
        <w:t>Key Findings</w:t>
      </w:r>
      <w:bookmarkEnd w:id="42"/>
    </w:p>
    <w:p w:rsidR="00DB1C0E" w:rsidRPr="00AB3800" w:rsidRDefault="00DB1C0E" w:rsidP="00831BD3">
      <w:pPr>
        <w:spacing w:after="120" w:line="240" w:lineRule="auto"/>
        <w:jc w:val="both"/>
        <w:rPr>
          <w:rFonts w:cstheme="minorHAnsi"/>
          <w:b/>
          <w:sz w:val="24"/>
        </w:rPr>
      </w:pPr>
      <w:bookmarkStart w:id="43" w:name="_Toc329769408"/>
      <w:r w:rsidRPr="00465239">
        <w:rPr>
          <w:rFonts w:cstheme="minorHAnsi"/>
          <w:sz w:val="24"/>
        </w:rPr>
        <w:t>The Department conducted a survey of employers’ recruitment experiences in the Sydney West and Blue Mountains PEA in November 2012, collecting responses from 461 employers. The region was previously surveyed in October 2011, June 2010 and September 2009.</w:t>
      </w:r>
    </w:p>
    <w:p w:rsidR="00913BDA" w:rsidRPr="00BC4DC3" w:rsidRDefault="00AC25D8" w:rsidP="00AB3800">
      <w:pPr>
        <w:spacing w:after="120" w:line="240" w:lineRule="auto"/>
        <w:jc w:val="both"/>
        <w:rPr>
          <w:sz w:val="24"/>
        </w:rPr>
      </w:pPr>
      <w:r>
        <w:rPr>
          <w:sz w:val="24"/>
        </w:rPr>
        <w:t>The s</w:t>
      </w:r>
      <w:r w:rsidR="003A3D3A" w:rsidRPr="00BC4DC3">
        <w:rPr>
          <w:sz w:val="24"/>
        </w:rPr>
        <w:t xml:space="preserve">urvey results suggest that </w:t>
      </w:r>
      <w:r w:rsidR="00D60194" w:rsidRPr="00BC4DC3">
        <w:rPr>
          <w:sz w:val="24"/>
        </w:rPr>
        <w:t>recruitment activity</w:t>
      </w:r>
      <w:r w:rsidR="003A3D3A" w:rsidRPr="00BC4DC3">
        <w:rPr>
          <w:sz w:val="24"/>
        </w:rPr>
        <w:t xml:space="preserve"> </w:t>
      </w:r>
      <w:r w:rsidR="00FA596F" w:rsidRPr="00BC4DC3">
        <w:rPr>
          <w:sz w:val="24"/>
        </w:rPr>
        <w:t>in the Sydney West and Blue Mountains</w:t>
      </w:r>
      <w:r w:rsidR="003A3D3A" w:rsidRPr="00BC4DC3">
        <w:rPr>
          <w:sz w:val="24"/>
        </w:rPr>
        <w:t xml:space="preserve"> PEA</w:t>
      </w:r>
      <w:r w:rsidR="00D56047" w:rsidRPr="00BC4DC3">
        <w:rPr>
          <w:sz w:val="24"/>
        </w:rPr>
        <w:t>, as it has been in previous surveys,</w:t>
      </w:r>
      <w:r w:rsidR="00FA596F" w:rsidRPr="00BC4DC3">
        <w:rPr>
          <w:sz w:val="24"/>
        </w:rPr>
        <w:t xml:space="preserve"> </w:t>
      </w:r>
      <w:r w:rsidR="00E64CE4" w:rsidRPr="00BC4DC3">
        <w:rPr>
          <w:sz w:val="24"/>
        </w:rPr>
        <w:t>remains</w:t>
      </w:r>
      <w:r w:rsidR="00913BDA" w:rsidRPr="00BC4DC3">
        <w:rPr>
          <w:sz w:val="24"/>
        </w:rPr>
        <w:t xml:space="preserve"> at below average levels</w:t>
      </w:r>
      <w:r w:rsidR="003A3D3A" w:rsidRPr="00BC4DC3">
        <w:rPr>
          <w:sz w:val="24"/>
        </w:rPr>
        <w:t>.</w:t>
      </w:r>
    </w:p>
    <w:p w:rsidR="008E3C3B" w:rsidRDefault="00913BDA" w:rsidP="00EB76A4">
      <w:pPr>
        <w:spacing w:after="120" w:line="240" w:lineRule="auto"/>
        <w:jc w:val="both"/>
        <w:rPr>
          <w:sz w:val="24"/>
        </w:rPr>
      </w:pPr>
      <w:r w:rsidRPr="00BC4DC3">
        <w:rPr>
          <w:sz w:val="24"/>
        </w:rPr>
        <w:t>The subdued demand for</w:t>
      </w:r>
      <w:r w:rsidR="00AC25D8">
        <w:rPr>
          <w:sz w:val="24"/>
        </w:rPr>
        <w:t>, and ample supply of</w:t>
      </w:r>
      <w:r w:rsidR="00B023D6">
        <w:rPr>
          <w:sz w:val="24"/>
        </w:rPr>
        <w:t>,</w:t>
      </w:r>
      <w:r w:rsidRPr="00BC4DC3">
        <w:rPr>
          <w:sz w:val="24"/>
        </w:rPr>
        <w:t xml:space="preserve"> labour </w:t>
      </w:r>
      <w:r w:rsidR="00FA173E">
        <w:rPr>
          <w:sz w:val="24"/>
        </w:rPr>
        <w:t>has resulted</w:t>
      </w:r>
      <w:r w:rsidRPr="00BC4DC3">
        <w:rPr>
          <w:sz w:val="24"/>
        </w:rPr>
        <w:t xml:space="preserve"> in </w:t>
      </w:r>
      <w:r w:rsidR="005E3600" w:rsidRPr="00BC4DC3">
        <w:rPr>
          <w:sz w:val="24"/>
        </w:rPr>
        <w:t xml:space="preserve">strong competition for vacancies, </w:t>
      </w:r>
      <w:r w:rsidR="004A44EF" w:rsidRPr="00BC4DC3">
        <w:rPr>
          <w:sz w:val="24"/>
        </w:rPr>
        <w:t>relatively low levels of recruitment difficulty</w:t>
      </w:r>
      <w:r w:rsidR="005E3600" w:rsidRPr="00BC4DC3">
        <w:rPr>
          <w:sz w:val="24"/>
        </w:rPr>
        <w:t xml:space="preserve"> and</w:t>
      </w:r>
      <w:r w:rsidR="004A44EF" w:rsidRPr="00BC4DC3">
        <w:rPr>
          <w:sz w:val="24"/>
        </w:rPr>
        <w:t xml:space="preserve"> </w:t>
      </w:r>
      <w:r w:rsidR="00D56047" w:rsidRPr="00BC4DC3">
        <w:rPr>
          <w:sz w:val="24"/>
        </w:rPr>
        <w:t>few</w:t>
      </w:r>
      <w:r w:rsidR="004A44EF" w:rsidRPr="00BC4DC3">
        <w:rPr>
          <w:sz w:val="24"/>
        </w:rPr>
        <w:t xml:space="preserve"> unfilled vacancies for many occupations.</w:t>
      </w:r>
      <w:r w:rsidR="00FA173E">
        <w:rPr>
          <w:sz w:val="24"/>
        </w:rPr>
        <w:t xml:space="preserve"> </w:t>
      </w:r>
      <w:r w:rsidR="008E3C3B">
        <w:rPr>
          <w:sz w:val="24"/>
        </w:rPr>
        <w:t xml:space="preserve">Labour market conditions will likely remain subdued in </w:t>
      </w:r>
      <w:r w:rsidR="008E3C3B" w:rsidRPr="00BC4DC3">
        <w:rPr>
          <w:sz w:val="24"/>
        </w:rPr>
        <w:t>the near-term, with a below average proportion of employers in the PEA anticipating recruiting in the 12 months following the survey</w:t>
      </w:r>
      <w:r w:rsidR="008E3C3B">
        <w:rPr>
          <w:sz w:val="24"/>
        </w:rPr>
        <w:t>.</w:t>
      </w:r>
    </w:p>
    <w:p w:rsidR="00F90393" w:rsidRPr="00F90393" w:rsidRDefault="00F90393" w:rsidP="00F90393">
      <w:pPr>
        <w:spacing w:after="0" w:line="240" w:lineRule="auto"/>
        <w:jc w:val="both"/>
        <w:rPr>
          <w:b/>
          <w:i/>
          <w:sz w:val="24"/>
        </w:rPr>
      </w:pPr>
      <w:r w:rsidRPr="00F90393">
        <w:rPr>
          <w:b/>
          <w:i/>
          <w:sz w:val="24"/>
        </w:rPr>
        <w:t>Figure 1: Softening labour market conditions in the PEA</w:t>
      </w:r>
    </w:p>
    <w:p w:rsidR="00F90393" w:rsidRPr="00F90393" w:rsidRDefault="008E3C3B" w:rsidP="00C9478D">
      <w:pPr>
        <w:spacing w:line="240" w:lineRule="auto"/>
        <w:jc w:val="both"/>
        <w:rPr>
          <w:sz w:val="20"/>
          <w:szCs w:val="20"/>
        </w:rPr>
      </w:pPr>
      <w:r>
        <w:rPr>
          <w:sz w:val="20"/>
          <w:szCs w:val="20"/>
        </w:rPr>
        <w:t>Key indicators showing easing recruitment conditions since October 2011</w:t>
      </w:r>
    </w:p>
    <w:bookmarkEnd w:id="43"/>
    <w:tbl>
      <w:tblPr>
        <w:tblStyle w:val="TableGrid"/>
        <w:tblW w:w="9647" w:type="dxa"/>
        <w:tblLook w:val="04A0" w:firstRow="1" w:lastRow="0" w:firstColumn="1" w:lastColumn="0" w:noHBand="0" w:noVBand="1"/>
      </w:tblPr>
      <w:tblGrid>
        <w:gridCol w:w="2518"/>
        <w:gridCol w:w="2307"/>
        <w:gridCol w:w="2411"/>
        <w:gridCol w:w="2411"/>
      </w:tblGrid>
      <w:tr w:rsidR="00C9478D" w:rsidRPr="009C1AFB" w:rsidTr="00C9478D">
        <w:trPr>
          <w:trHeight w:val="304"/>
        </w:trPr>
        <w:tc>
          <w:tcPr>
            <w:tcW w:w="2518" w:type="dxa"/>
            <w:tcBorders>
              <w:top w:val="nil"/>
              <w:left w:val="nil"/>
              <w:bottom w:val="nil"/>
              <w:right w:val="nil"/>
            </w:tcBorders>
          </w:tcPr>
          <w:p w:rsidR="00C9478D" w:rsidRPr="009C1AFB" w:rsidRDefault="00C9478D" w:rsidP="002D12AE">
            <w:pPr>
              <w:ind w:right="-69"/>
              <w:jc w:val="center"/>
              <w:rPr>
                <w:b/>
              </w:rPr>
            </w:pPr>
          </w:p>
        </w:tc>
        <w:tc>
          <w:tcPr>
            <w:tcW w:w="2307" w:type="dxa"/>
            <w:tcBorders>
              <w:top w:val="nil"/>
              <w:left w:val="nil"/>
              <w:bottom w:val="single" w:sz="4" w:space="0" w:color="auto"/>
              <w:right w:val="nil"/>
            </w:tcBorders>
          </w:tcPr>
          <w:p w:rsidR="00C9478D" w:rsidRPr="009C1AFB" w:rsidRDefault="00C9478D" w:rsidP="00173C22">
            <w:pPr>
              <w:jc w:val="center"/>
              <w:rPr>
                <w:b/>
              </w:rPr>
            </w:pPr>
            <w:r w:rsidRPr="009C1AFB">
              <w:rPr>
                <w:b/>
              </w:rPr>
              <w:t>Unfilled Vacancies</w:t>
            </w:r>
            <w:r>
              <w:rPr>
                <w:b/>
              </w:rPr>
              <w:t xml:space="preserve"> </w:t>
            </w:r>
          </w:p>
        </w:tc>
        <w:tc>
          <w:tcPr>
            <w:tcW w:w="2411" w:type="dxa"/>
            <w:tcBorders>
              <w:top w:val="nil"/>
              <w:left w:val="nil"/>
              <w:bottom w:val="single" w:sz="4" w:space="0" w:color="auto"/>
              <w:right w:val="nil"/>
            </w:tcBorders>
          </w:tcPr>
          <w:p w:rsidR="00C9478D" w:rsidRPr="009C1AFB" w:rsidRDefault="00C9478D" w:rsidP="00173C22">
            <w:pPr>
              <w:jc w:val="center"/>
              <w:rPr>
                <w:b/>
              </w:rPr>
            </w:pPr>
            <w:r w:rsidRPr="009C1AFB">
              <w:rPr>
                <w:b/>
              </w:rPr>
              <w:t>Recruitment Difficulty</w:t>
            </w:r>
          </w:p>
        </w:tc>
        <w:tc>
          <w:tcPr>
            <w:tcW w:w="2411" w:type="dxa"/>
            <w:tcBorders>
              <w:top w:val="nil"/>
              <w:left w:val="nil"/>
              <w:bottom w:val="single" w:sz="4" w:space="0" w:color="auto"/>
              <w:right w:val="nil"/>
            </w:tcBorders>
          </w:tcPr>
          <w:p w:rsidR="00C9478D" w:rsidRPr="009C1AFB" w:rsidRDefault="00C9478D" w:rsidP="002D12AE">
            <w:pPr>
              <w:tabs>
                <w:tab w:val="left" w:pos="1667"/>
              </w:tabs>
              <w:jc w:val="center"/>
              <w:rPr>
                <w:b/>
              </w:rPr>
            </w:pPr>
            <w:r w:rsidRPr="009C1AFB">
              <w:rPr>
                <w:b/>
              </w:rPr>
              <w:t>Expect to Recruit</w:t>
            </w:r>
          </w:p>
        </w:tc>
      </w:tr>
      <w:tr w:rsidR="00C9478D" w:rsidTr="005D1425">
        <w:trPr>
          <w:trHeight w:val="510"/>
        </w:trPr>
        <w:tc>
          <w:tcPr>
            <w:tcW w:w="2518" w:type="dxa"/>
            <w:tcBorders>
              <w:top w:val="nil"/>
              <w:left w:val="nil"/>
              <w:bottom w:val="nil"/>
              <w:right w:val="single" w:sz="4" w:space="0" w:color="auto"/>
            </w:tcBorders>
            <w:vAlign w:val="center"/>
          </w:tcPr>
          <w:p w:rsidR="00C9478D" w:rsidRPr="00C9478D" w:rsidRDefault="00C9478D" w:rsidP="00C9478D">
            <w:pPr>
              <w:jc w:val="right"/>
              <w:rPr>
                <w:b/>
              </w:rPr>
            </w:pPr>
            <w:r w:rsidRPr="00C9478D">
              <w:rPr>
                <w:b/>
              </w:rPr>
              <w:t>Indicator Result:</w:t>
            </w:r>
          </w:p>
        </w:tc>
        <w:tc>
          <w:tcPr>
            <w:tcW w:w="0" w:type="auto"/>
            <w:tcBorders>
              <w:top w:val="single" w:sz="4" w:space="0" w:color="auto"/>
              <w:left w:val="single" w:sz="4" w:space="0" w:color="auto"/>
            </w:tcBorders>
            <w:vAlign w:val="center"/>
          </w:tcPr>
          <w:p w:rsidR="00C9478D" w:rsidRPr="00C9478D" w:rsidRDefault="00C9478D" w:rsidP="00C9478D">
            <w:pPr>
              <w:jc w:val="center"/>
              <w:rPr>
                <w:sz w:val="24"/>
                <w:szCs w:val="24"/>
              </w:rPr>
            </w:pPr>
            <w:r w:rsidRPr="00C9478D">
              <w:rPr>
                <w:sz w:val="24"/>
                <w:szCs w:val="24"/>
              </w:rPr>
              <w:t>4.9%</w:t>
            </w:r>
          </w:p>
        </w:tc>
        <w:tc>
          <w:tcPr>
            <w:tcW w:w="0" w:type="auto"/>
            <w:tcBorders>
              <w:top w:val="single" w:sz="4" w:space="0" w:color="auto"/>
            </w:tcBorders>
            <w:vAlign w:val="center"/>
          </w:tcPr>
          <w:p w:rsidR="00C9478D" w:rsidRPr="00C9478D" w:rsidRDefault="00C9478D" w:rsidP="00C9478D">
            <w:pPr>
              <w:jc w:val="center"/>
              <w:rPr>
                <w:sz w:val="24"/>
                <w:szCs w:val="24"/>
              </w:rPr>
            </w:pPr>
            <w:r w:rsidRPr="00C9478D">
              <w:rPr>
                <w:sz w:val="24"/>
                <w:szCs w:val="24"/>
              </w:rPr>
              <w:t>35%</w:t>
            </w:r>
          </w:p>
        </w:tc>
        <w:tc>
          <w:tcPr>
            <w:tcW w:w="0" w:type="auto"/>
            <w:tcBorders>
              <w:top w:val="single" w:sz="4" w:space="0" w:color="auto"/>
            </w:tcBorders>
            <w:vAlign w:val="center"/>
          </w:tcPr>
          <w:p w:rsidR="00C9478D" w:rsidRPr="00C9478D" w:rsidRDefault="00C9478D" w:rsidP="00C9478D">
            <w:pPr>
              <w:jc w:val="center"/>
              <w:rPr>
                <w:sz w:val="24"/>
                <w:szCs w:val="24"/>
              </w:rPr>
            </w:pPr>
            <w:r w:rsidRPr="00C9478D">
              <w:rPr>
                <w:sz w:val="24"/>
                <w:szCs w:val="24"/>
              </w:rPr>
              <w:t>41%</w:t>
            </w:r>
          </w:p>
        </w:tc>
      </w:tr>
      <w:tr w:rsidR="00C9478D" w:rsidTr="005D1425">
        <w:trPr>
          <w:trHeight w:val="510"/>
        </w:trPr>
        <w:tc>
          <w:tcPr>
            <w:tcW w:w="2518" w:type="dxa"/>
            <w:tcBorders>
              <w:top w:val="nil"/>
              <w:left w:val="nil"/>
              <w:bottom w:val="nil"/>
              <w:right w:val="single" w:sz="4" w:space="0" w:color="auto"/>
            </w:tcBorders>
            <w:vAlign w:val="center"/>
          </w:tcPr>
          <w:p w:rsidR="00C9478D" w:rsidRPr="00C9478D" w:rsidRDefault="00C9478D" w:rsidP="008E3C3B">
            <w:pPr>
              <w:jc w:val="right"/>
              <w:rPr>
                <w:b/>
              </w:rPr>
            </w:pPr>
            <w:r w:rsidRPr="00C9478D">
              <w:rPr>
                <w:b/>
              </w:rPr>
              <w:t xml:space="preserve">Change from </w:t>
            </w:r>
            <w:r w:rsidR="008E3C3B">
              <w:rPr>
                <w:b/>
              </w:rPr>
              <w:t>previous</w:t>
            </w:r>
            <w:r w:rsidRPr="00C9478D">
              <w:rPr>
                <w:b/>
              </w:rPr>
              <w:t xml:space="preserve"> survey:</w:t>
            </w:r>
          </w:p>
        </w:tc>
        <w:tc>
          <w:tcPr>
            <w:tcW w:w="0" w:type="auto"/>
            <w:tcBorders>
              <w:left w:val="single" w:sz="4" w:space="0" w:color="auto"/>
            </w:tcBorders>
            <w:shd w:val="clear" w:color="auto" w:fill="D99594" w:themeFill="accent2" w:themeFillTint="99"/>
            <w:vAlign w:val="center"/>
          </w:tcPr>
          <w:p w:rsidR="00C9478D" w:rsidRPr="00C9478D" w:rsidRDefault="00C9478D" w:rsidP="00C9478D">
            <w:pPr>
              <w:jc w:val="center"/>
              <w:rPr>
                <w:sz w:val="24"/>
                <w:szCs w:val="24"/>
              </w:rPr>
            </w:pPr>
            <w:r>
              <w:rPr>
                <w:noProof/>
                <w:sz w:val="24"/>
                <w:lang w:eastAsia="en-AU"/>
              </w:rPr>
              <mc:AlternateContent>
                <mc:Choice Requires="wps">
                  <w:drawing>
                    <wp:anchor distT="0" distB="0" distL="114300" distR="114300" simplePos="0" relativeHeight="251663360" behindDoc="0" locked="0" layoutInCell="1" allowOverlap="1" wp14:anchorId="136589A7" wp14:editId="395E8D4E">
                      <wp:simplePos x="0" y="0"/>
                      <wp:positionH relativeFrom="column">
                        <wp:posOffset>1062355</wp:posOffset>
                      </wp:positionH>
                      <wp:positionV relativeFrom="paragraph">
                        <wp:posOffset>17780</wp:posOffset>
                      </wp:positionV>
                      <wp:extent cx="0" cy="161925"/>
                      <wp:effectExtent l="114300" t="0" r="76200" b="47625"/>
                      <wp:wrapNone/>
                      <wp:docPr id="10" name="Straight Arrow Connector 10"/>
                      <wp:cNvGraphicFramePr/>
                      <a:graphic xmlns:a="http://schemas.openxmlformats.org/drawingml/2006/main">
                        <a:graphicData uri="http://schemas.microsoft.com/office/word/2010/wordprocessingShape">
                          <wps:wsp>
                            <wps:cNvCnPr/>
                            <wps:spPr>
                              <a:xfrm>
                                <a:off x="0" y="0"/>
                                <a:ext cx="0" cy="161925"/>
                              </a:xfrm>
                              <a:prstGeom prst="straightConnector1">
                                <a:avLst/>
                              </a:prstGeom>
                              <a:ln w="50800">
                                <a:solidFill>
                                  <a:schemeClr val="tx1"/>
                                </a:solidFill>
                                <a:tailEnd type="triangl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83.65pt;margin-top:1.4pt;width:0;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" strokecolor="black [3213]" strokeweight="4pt">
                      <v:stroke endarrow="block" endarrowlength="short"/>
                    </v:shape>
                  </w:pict>
                </mc:Fallback>
              </mc:AlternateContent>
            </w:r>
            <w:r w:rsidRPr="00C9478D">
              <w:rPr>
                <w:sz w:val="24"/>
                <w:szCs w:val="24"/>
              </w:rPr>
              <w:t>-</w:t>
            </w:r>
            <w:proofErr w:type="spellStart"/>
            <w:r w:rsidRPr="00C9478D">
              <w:rPr>
                <w:sz w:val="24"/>
                <w:szCs w:val="24"/>
              </w:rPr>
              <w:t>5.0%pts</w:t>
            </w:r>
            <w:proofErr w:type="spellEnd"/>
            <w:r>
              <w:rPr>
                <w:sz w:val="24"/>
                <w:szCs w:val="24"/>
              </w:rPr>
              <w:t xml:space="preserve"> </w:t>
            </w:r>
          </w:p>
        </w:tc>
        <w:tc>
          <w:tcPr>
            <w:tcW w:w="0" w:type="auto"/>
            <w:shd w:val="clear" w:color="auto" w:fill="D99594" w:themeFill="accent2" w:themeFillTint="99"/>
            <w:vAlign w:val="center"/>
          </w:tcPr>
          <w:p w:rsidR="00C9478D" w:rsidRPr="00C9478D" w:rsidRDefault="0013061C" w:rsidP="00C9478D">
            <w:pPr>
              <w:jc w:val="center"/>
              <w:rPr>
                <w:sz w:val="24"/>
                <w:szCs w:val="24"/>
              </w:rPr>
            </w:pPr>
            <w:r>
              <w:rPr>
                <w:noProof/>
                <w:sz w:val="24"/>
                <w:lang w:eastAsia="en-AU"/>
              </w:rPr>
              <mc:AlternateContent>
                <mc:Choice Requires="wps">
                  <w:drawing>
                    <wp:anchor distT="0" distB="0" distL="114300" distR="114300" simplePos="0" relativeHeight="251665408" behindDoc="0" locked="0" layoutInCell="1" allowOverlap="1" wp14:anchorId="7B5FC7AB" wp14:editId="247BDF43">
                      <wp:simplePos x="0" y="0"/>
                      <wp:positionH relativeFrom="column">
                        <wp:posOffset>1049020</wp:posOffset>
                      </wp:positionH>
                      <wp:positionV relativeFrom="paragraph">
                        <wp:posOffset>19050</wp:posOffset>
                      </wp:positionV>
                      <wp:extent cx="0" cy="161925"/>
                      <wp:effectExtent l="114300" t="0" r="76200" b="47625"/>
                      <wp:wrapNone/>
                      <wp:docPr id="11" name="Straight Arrow Connector 11"/>
                      <wp:cNvGraphicFramePr/>
                      <a:graphic xmlns:a="http://schemas.openxmlformats.org/drawingml/2006/main">
                        <a:graphicData uri="http://schemas.microsoft.com/office/word/2010/wordprocessingShape">
                          <wps:wsp>
                            <wps:cNvCnPr/>
                            <wps:spPr>
                              <a:xfrm>
                                <a:off x="0" y="0"/>
                                <a:ext cx="0" cy="161925"/>
                              </a:xfrm>
                              <a:prstGeom prst="straightConnector1">
                                <a:avLst/>
                              </a:prstGeom>
                              <a:ln w="50800">
                                <a:solidFill>
                                  <a:schemeClr val="tx1"/>
                                </a:solidFill>
                                <a:tailEnd type="triangl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82.6pt;margin-top:1.5pt;width:0;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" strokecolor="black [3213]" strokeweight="4pt">
                      <v:stroke endarrow="block" endarrowlength="short"/>
                    </v:shape>
                  </w:pict>
                </mc:Fallback>
              </mc:AlternateContent>
            </w:r>
            <w:r w:rsidR="00C9478D" w:rsidRPr="00C9478D">
              <w:rPr>
                <w:sz w:val="24"/>
                <w:szCs w:val="24"/>
              </w:rPr>
              <w:t>-</w:t>
            </w:r>
            <w:proofErr w:type="spellStart"/>
            <w:r w:rsidR="00C9478D" w:rsidRPr="00C9478D">
              <w:rPr>
                <w:sz w:val="24"/>
                <w:szCs w:val="24"/>
              </w:rPr>
              <w:t>9%pts</w:t>
            </w:r>
            <w:proofErr w:type="spellEnd"/>
          </w:p>
        </w:tc>
        <w:tc>
          <w:tcPr>
            <w:tcW w:w="0" w:type="auto"/>
            <w:shd w:val="clear" w:color="auto" w:fill="D99594" w:themeFill="accent2" w:themeFillTint="99"/>
            <w:vAlign w:val="center"/>
          </w:tcPr>
          <w:p w:rsidR="00C9478D" w:rsidRPr="00C9478D" w:rsidRDefault="0013061C" w:rsidP="00C9478D">
            <w:pPr>
              <w:jc w:val="center"/>
              <w:rPr>
                <w:sz w:val="24"/>
                <w:szCs w:val="24"/>
              </w:rPr>
            </w:pPr>
            <w:r>
              <w:rPr>
                <w:noProof/>
                <w:sz w:val="24"/>
                <w:lang w:eastAsia="en-AU"/>
              </w:rPr>
              <mc:AlternateContent>
                <mc:Choice Requires="wps">
                  <w:drawing>
                    <wp:anchor distT="0" distB="0" distL="114300" distR="114300" simplePos="0" relativeHeight="251668480" behindDoc="0" locked="0" layoutInCell="1" allowOverlap="1" wp14:anchorId="3F30D5A5" wp14:editId="4F80FFA5">
                      <wp:simplePos x="0" y="0"/>
                      <wp:positionH relativeFrom="column">
                        <wp:posOffset>1085850</wp:posOffset>
                      </wp:positionH>
                      <wp:positionV relativeFrom="paragraph">
                        <wp:posOffset>19685</wp:posOffset>
                      </wp:positionV>
                      <wp:extent cx="0" cy="161925"/>
                      <wp:effectExtent l="114300" t="0" r="76200" b="47625"/>
                      <wp:wrapNone/>
                      <wp:docPr id="14" name="Straight Arrow Connector 14"/>
                      <wp:cNvGraphicFramePr/>
                      <a:graphic xmlns:a="http://schemas.openxmlformats.org/drawingml/2006/main">
                        <a:graphicData uri="http://schemas.microsoft.com/office/word/2010/wordprocessingShape">
                          <wps:wsp>
                            <wps:cNvCnPr/>
                            <wps:spPr>
                              <a:xfrm>
                                <a:off x="0" y="0"/>
                                <a:ext cx="0" cy="161925"/>
                              </a:xfrm>
                              <a:prstGeom prst="straightConnector1">
                                <a:avLst/>
                              </a:prstGeom>
                              <a:ln w="50800">
                                <a:solidFill>
                                  <a:schemeClr val="tx1"/>
                                </a:solidFill>
                                <a:tailEnd type="triangl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85.5pt;margin-top:1.55pt;width:0;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" strokecolor="black [3213]" strokeweight="4pt">
                      <v:stroke endarrow="block" endarrowlength="short"/>
                    </v:shape>
                  </w:pict>
                </mc:Fallback>
              </mc:AlternateContent>
            </w:r>
            <w:r w:rsidR="00C9478D" w:rsidRPr="00C9478D">
              <w:rPr>
                <w:sz w:val="24"/>
                <w:szCs w:val="24"/>
              </w:rPr>
              <w:t>-</w:t>
            </w:r>
            <w:proofErr w:type="spellStart"/>
            <w:r w:rsidR="00C9478D" w:rsidRPr="00C9478D">
              <w:rPr>
                <w:sz w:val="24"/>
                <w:szCs w:val="24"/>
              </w:rPr>
              <w:t>10%pts</w:t>
            </w:r>
            <w:proofErr w:type="spellEnd"/>
          </w:p>
        </w:tc>
      </w:tr>
    </w:tbl>
    <w:p w:rsidR="003A3D3A" w:rsidRPr="00363BBE" w:rsidRDefault="00EE5792" w:rsidP="00173C22">
      <w:pPr>
        <w:pStyle w:val="RIESbriefreports"/>
        <w:spacing w:before="120"/>
      </w:pPr>
      <w:bookmarkStart w:id="44" w:name="_Toc352917812"/>
      <w:r w:rsidRPr="00363BBE">
        <w:lastRenderedPageBreak/>
        <w:t xml:space="preserve">Subdued </w:t>
      </w:r>
      <w:r w:rsidR="008A1D0F" w:rsidRPr="00363BBE">
        <w:t>Recruitment Activity</w:t>
      </w:r>
      <w:bookmarkEnd w:id="44"/>
    </w:p>
    <w:p w:rsidR="003A3D3A" w:rsidRPr="00BC4DC3" w:rsidRDefault="00FE320A" w:rsidP="00BC4DC3">
      <w:pPr>
        <w:spacing w:after="0" w:line="240" w:lineRule="auto"/>
        <w:jc w:val="both"/>
        <w:rPr>
          <w:rFonts w:cstheme="minorHAnsi"/>
          <w:sz w:val="24"/>
        </w:rPr>
      </w:pPr>
      <w:r w:rsidRPr="00BC4DC3">
        <w:rPr>
          <w:rFonts w:cstheme="minorHAnsi"/>
          <w:sz w:val="24"/>
        </w:rPr>
        <w:t>Recruitment activity in the Sydney West and Blue Mountains PEA</w:t>
      </w:r>
      <w:r w:rsidR="0071269C" w:rsidRPr="00BC4DC3">
        <w:rPr>
          <w:rFonts w:cstheme="minorHAnsi"/>
          <w:sz w:val="24"/>
        </w:rPr>
        <w:t>, as with previous surveys,</w:t>
      </w:r>
      <w:r w:rsidRPr="00BC4DC3">
        <w:rPr>
          <w:rFonts w:cstheme="minorHAnsi"/>
          <w:sz w:val="24"/>
        </w:rPr>
        <w:t xml:space="preserve"> remained </w:t>
      </w:r>
      <w:r w:rsidR="0071269C" w:rsidRPr="00BC4DC3">
        <w:rPr>
          <w:rFonts w:cstheme="minorHAnsi"/>
          <w:sz w:val="24"/>
        </w:rPr>
        <w:t xml:space="preserve">at </w:t>
      </w:r>
      <w:r w:rsidRPr="00BC4DC3">
        <w:rPr>
          <w:rFonts w:cstheme="minorHAnsi"/>
          <w:sz w:val="24"/>
        </w:rPr>
        <w:t>below average</w:t>
      </w:r>
      <w:r w:rsidR="0071269C" w:rsidRPr="00BC4DC3">
        <w:rPr>
          <w:rFonts w:cstheme="minorHAnsi"/>
          <w:sz w:val="24"/>
        </w:rPr>
        <w:t xml:space="preserve"> levels</w:t>
      </w:r>
      <w:r w:rsidR="00EE5792" w:rsidRPr="00BC4DC3">
        <w:rPr>
          <w:rFonts w:cstheme="minorHAnsi"/>
          <w:sz w:val="24"/>
        </w:rPr>
        <w:t>.</w:t>
      </w:r>
      <w:r w:rsidR="008A1D0F" w:rsidRPr="00BC4DC3">
        <w:rPr>
          <w:rFonts w:cstheme="minorHAnsi"/>
          <w:sz w:val="24"/>
        </w:rPr>
        <w:t xml:space="preserve"> In the 12 months preceding the survey, employers reported </w:t>
      </w:r>
      <w:r w:rsidR="008354DA">
        <w:rPr>
          <w:rFonts w:cstheme="minorHAnsi"/>
          <w:sz w:val="24"/>
        </w:rPr>
        <w:t>15 </w:t>
      </w:r>
      <w:r w:rsidR="003A3D3A" w:rsidRPr="00BC4DC3">
        <w:rPr>
          <w:rFonts w:cstheme="minorHAnsi"/>
          <w:sz w:val="24"/>
        </w:rPr>
        <w:t>vacancies per 100 staff</w:t>
      </w:r>
      <w:r w:rsidR="00EE5792" w:rsidRPr="00BC4DC3">
        <w:rPr>
          <w:rFonts w:cstheme="minorHAnsi"/>
          <w:sz w:val="24"/>
        </w:rPr>
        <w:t>,</w:t>
      </w:r>
      <w:r w:rsidR="008A1D0F" w:rsidRPr="00BC4DC3">
        <w:rPr>
          <w:rFonts w:cstheme="minorHAnsi"/>
          <w:sz w:val="24"/>
        </w:rPr>
        <w:t xml:space="preserve"> compared with an average</w:t>
      </w:r>
      <w:r w:rsidR="00525F0E">
        <w:rPr>
          <w:rFonts w:cstheme="minorHAnsi"/>
          <w:sz w:val="24"/>
        </w:rPr>
        <w:t xml:space="preserve"> of</w:t>
      </w:r>
      <w:r w:rsidR="008A1D0F" w:rsidRPr="00BC4DC3">
        <w:rPr>
          <w:rFonts w:cstheme="minorHAnsi"/>
          <w:sz w:val="24"/>
        </w:rPr>
        <w:t xml:space="preserve"> 18 vacancies per 100 staff for all regions surveyed</w:t>
      </w:r>
      <w:r w:rsidR="003A3D3A" w:rsidRPr="00BC4DC3">
        <w:rPr>
          <w:rFonts w:cstheme="minorHAnsi"/>
          <w:sz w:val="24"/>
        </w:rPr>
        <w:t>.</w:t>
      </w:r>
    </w:p>
    <w:p w:rsidR="00F37C42" w:rsidRPr="00363BBE" w:rsidRDefault="00F37C42" w:rsidP="00BC4DC3">
      <w:pPr>
        <w:pStyle w:val="ListParagraph"/>
        <w:numPr>
          <w:ilvl w:val="1"/>
          <w:numId w:val="22"/>
        </w:numPr>
        <w:spacing w:after="0" w:line="240" w:lineRule="auto"/>
        <w:ind w:left="425" w:hanging="425"/>
        <w:jc w:val="both"/>
        <w:rPr>
          <w:rFonts w:cstheme="minorHAnsi"/>
          <w:sz w:val="24"/>
        </w:rPr>
      </w:pPr>
      <w:r w:rsidRPr="00363BBE">
        <w:rPr>
          <w:rFonts w:cstheme="minorHAnsi"/>
          <w:sz w:val="24"/>
        </w:rPr>
        <w:t>Recruitment was most commonly due to st</w:t>
      </w:r>
      <w:r w:rsidR="008A0D08">
        <w:rPr>
          <w:rFonts w:cstheme="minorHAnsi"/>
          <w:sz w:val="24"/>
        </w:rPr>
        <w:t>aff turnover, with 54</w:t>
      </w:r>
      <w:r w:rsidR="00525F0E">
        <w:rPr>
          <w:rFonts w:cstheme="minorHAnsi"/>
          <w:sz w:val="24"/>
        </w:rPr>
        <w:t xml:space="preserve"> per cent</w:t>
      </w:r>
      <w:r w:rsidRPr="00363BBE">
        <w:rPr>
          <w:rFonts w:cstheme="minorHAnsi"/>
          <w:sz w:val="24"/>
        </w:rPr>
        <w:t xml:space="preserve"> of employers recruit</w:t>
      </w:r>
      <w:r w:rsidR="00A41862">
        <w:rPr>
          <w:rFonts w:cstheme="minorHAnsi"/>
          <w:sz w:val="24"/>
        </w:rPr>
        <w:t>ing</w:t>
      </w:r>
      <w:r w:rsidRPr="00363BBE">
        <w:rPr>
          <w:rFonts w:cstheme="minorHAnsi"/>
          <w:sz w:val="24"/>
        </w:rPr>
        <w:t xml:space="preserve"> solely to replace staff.</w:t>
      </w:r>
    </w:p>
    <w:p w:rsidR="00F37C42" w:rsidRPr="008A0D08" w:rsidRDefault="00F37C42" w:rsidP="00BC4DC3">
      <w:pPr>
        <w:pStyle w:val="ListParagraph"/>
        <w:numPr>
          <w:ilvl w:val="1"/>
          <w:numId w:val="22"/>
        </w:numPr>
        <w:spacing w:after="0" w:line="240" w:lineRule="auto"/>
        <w:ind w:left="425" w:hanging="425"/>
        <w:jc w:val="both"/>
        <w:rPr>
          <w:rFonts w:cstheme="minorHAnsi"/>
          <w:color w:val="FF0000"/>
          <w:sz w:val="24"/>
        </w:rPr>
      </w:pPr>
      <w:r w:rsidRPr="00363BBE">
        <w:rPr>
          <w:rFonts w:cstheme="minorHAnsi"/>
          <w:sz w:val="24"/>
        </w:rPr>
        <w:t>Recruitment activity was highest in the Accommodation and Food Services, Construction and Health Care and Social Assistance industries.</w:t>
      </w:r>
    </w:p>
    <w:p w:rsidR="008A1D0F" w:rsidRPr="008878B5" w:rsidRDefault="009C28ED" w:rsidP="008878B5">
      <w:pPr>
        <w:pStyle w:val="ListParagraph"/>
        <w:numPr>
          <w:ilvl w:val="1"/>
          <w:numId w:val="22"/>
        </w:numPr>
        <w:spacing w:line="240" w:lineRule="auto"/>
        <w:ind w:left="425" w:hanging="425"/>
        <w:jc w:val="both"/>
        <w:rPr>
          <w:rFonts w:cstheme="minorHAnsi"/>
          <w:color w:val="FF0000"/>
          <w:sz w:val="24"/>
        </w:rPr>
      </w:pPr>
      <w:r>
        <w:rPr>
          <w:rFonts w:cstheme="minorHAnsi"/>
          <w:sz w:val="24"/>
        </w:rPr>
        <w:t>Annual r</w:t>
      </w:r>
      <w:r w:rsidR="008A0D08">
        <w:rPr>
          <w:rFonts w:cstheme="minorHAnsi"/>
          <w:sz w:val="24"/>
        </w:rPr>
        <w:t>ecruitment activity was highest in the Penrith and Blue Mountains</w:t>
      </w:r>
      <w:r w:rsidR="000B4752">
        <w:rPr>
          <w:rFonts w:cstheme="minorHAnsi"/>
          <w:sz w:val="24"/>
        </w:rPr>
        <w:t xml:space="preserve"> </w:t>
      </w:r>
      <w:r w:rsidR="008A0D08">
        <w:rPr>
          <w:rFonts w:cstheme="minorHAnsi"/>
          <w:sz w:val="24"/>
        </w:rPr>
        <w:t>LGAs</w:t>
      </w:r>
      <w:r w:rsidR="00A41862">
        <w:rPr>
          <w:rFonts w:cstheme="minorHAnsi"/>
          <w:sz w:val="24"/>
        </w:rPr>
        <w:t xml:space="preserve"> (17 vacancies per 100 staff), and lowest in the Auburn LGA (7 vacancies per 100 staff).</w:t>
      </w:r>
    </w:p>
    <w:p w:rsidR="003A3D3A" w:rsidRPr="00363BBE" w:rsidRDefault="00AA6BA5" w:rsidP="009C28ED">
      <w:pPr>
        <w:pStyle w:val="RIESbriefreports"/>
        <w:spacing w:before="0"/>
      </w:pPr>
      <w:bookmarkStart w:id="45" w:name="_Toc352917813"/>
      <w:r w:rsidRPr="00363BBE">
        <w:t>Strong Competition for Vacancies</w:t>
      </w:r>
      <w:bookmarkEnd w:id="45"/>
    </w:p>
    <w:p w:rsidR="00AA6BA5" w:rsidRPr="002C5D14" w:rsidRDefault="00022A9F" w:rsidP="002C5D14">
      <w:pPr>
        <w:spacing w:after="0" w:line="240" w:lineRule="auto"/>
        <w:jc w:val="both"/>
        <w:rPr>
          <w:rFonts w:cstheme="minorHAnsi"/>
          <w:sz w:val="24"/>
        </w:rPr>
      </w:pPr>
      <w:r w:rsidRPr="002C5D14">
        <w:rPr>
          <w:rFonts w:cstheme="minorHAnsi"/>
          <w:sz w:val="24"/>
        </w:rPr>
        <w:t xml:space="preserve">The large supply of labour in the PEA </w:t>
      </w:r>
      <w:r w:rsidR="00990631" w:rsidRPr="002C5D14">
        <w:rPr>
          <w:rFonts w:cstheme="minorHAnsi"/>
          <w:sz w:val="24"/>
        </w:rPr>
        <w:t xml:space="preserve">is reflected in the </w:t>
      </w:r>
      <w:r w:rsidRPr="002C5D14">
        <w:rPr>
          <w:rFonts w:cstheme="minorHAnsi"/>
          <w:sz w:val="24"/>
        </w:rPr>
        <w:t>strong competition for vacancies</w:t>
      </w:r>
      <w:r w:rsidR="007A4ADA" w:rsidRPr="002C5D14">
        <w:rPr>
          <w:rFonts w:cstheme="minorHAnsi"/>
          <w:sz w:val="24"/>
        </w:rPr>
        <w:t xml:space="preserve"> with </w:t>
      </w:r>
      <w:r w:rsidR="00990631" w:rsidRPr="002C5D14">
        <w:rPr>
          <w:rFonts w:cstheme="minorHAnsi"/>
          <w:sz w:val="24"/>
        </w:rPr>
        <w:t xml:space="preserve">employers reporting </w:t>
      </w:r>
      <w:r w:rsidR="007A4ADA" w:rsidRPr="002C5D14">
        <w:rPr>
          <w:rFonts w:cstheme="minorHAnsi"/>
          <w:sz w:val="24"/>
        </w:rPr>
        <w:t>an average of 12.6 applicants per vacancy. This was higher compared with when the region was last surveyed (9.3 applicants per vacancy) and the average for all regions surveyed in the 12 months to September 2012 (8.2 applicants per vacancy).</w:t>
      </w:r>
    </w:p>
    <w:p w:rsidR="008E341E" w:rsidRPr="00363BBE" w:rsidRDefault="008E341E" w:rsidP="002C5D14">
      <w:pPr>
        <w:pStyle w:val="ListParagraph"/>
        <w:numPr>
          <w:ilvl w:val="1"/>
          <w:numId w:val="20"/>
        </w:numPr>
        <w:spacing w:after="0" w:line="240" w:lineRule="auto"/>
        <w:ind w:left="425" w:hanging="425"/>
        <w:jc w:val="both"/>
        <w:rPr>
          <w:rFonts w:cstheme="minorHAnsi"/>
          <w:sz w:val="24"/>
        </w:rPr>
      </w:pPr>
      <w:r w:rsidRPr="00363BBE">
        <w:rPr>
          <w:rFonts w:cstheme="minorHAnsi"/>
          <w:sz w:val="24"/>
        </w:rPr>
        <w:t>Competition for vacancies was particularly high for Clerical a</w:t>
      </w:r>
      <w:r w:rsidR="008354DA">
        <w:rPr>
          <w:rFonts w:cstheme="minorHAnsi"/>
          <w:sz w:val="24"/>
        </w:rPr>
        <w:t>nd Administrative Workers (23.2 </w:t>
      </w:r>
      <w:r w:rsidRPr="00363BBE">
        <w:rPr>
          <w:rFonts w:cstheme="minorHAnsi"/>
          <w:sz w:val="24"/>
        </w:rPr>
        <w:t>applicants per vacancy) and Machinery Operators and Drivers (22</w:t>
      </w:r>
      <w:r w:rsidR="00AD3F2B" w:rsidRPr="00363BBE">
        <w:rPr>
          <w:rFonts w:cstheme="minorHAnsi"/>
          <w:sz w:val="24"/>
        </w:rPr>
        <w:t>.6 applicants per vacancy)</w:t>
      </w:r>
      <w:r w:rsidRPr="00363BBE">
        <w:rPr>
          <w:rFonts w:cstheme="minorHAnsi"/>
          <w:sz w:val="24"/>
        </w:rPr>
        <w:t>.</w:t>
      </w:r>
    </w:p>
    <w:p w:rsidR="00112425" w:rsidRPr="00363BBE" w:rsidRDefault="00112425" w:rsidP="002C5D14">
      <w:pPr>
        <w:pStyle w:val="ListParagraph"/>
        <w:numPr>
          <w:ilvl w:val="1"/>
          <w:numId w:val="20"/>
        </w:numPr>
        <w:spacing w:after="0" w:line="240" w:lineRule="auto"/>
        <w:ind w:left="425" w:hanging="425"/>
        <w:jc w:val="both"/>
        <w:rPr>
          <w:rFonts w:cstheme="minorHAnsi"/>
          <w:sz w:val="24"/>
        </w:rPr>
      </w:pPr>
      <w:r w:rsidRPr="00363BBE">
        <w:rPr>
          <w:rFonts w:cstheme="minorHAnsi"/>
          <w:sz w:val="24"/>
        </w:rPr>
        <w:t>There were fewer applicants for vacancies in the le</w:t>
      </w:r>
      <w:r>
        <w:rPr>
          <w:rFonts w:cstheme="minorHAnsi"/>
          <w:sz w:val="24"/>
        </w:rPr>
        <w:t xml:space="preserve">ss populous LGAs of Hawkesbury </w:t>
      </w:r>
      <w:r w:rsidR="008354DA">
        <w:rPr>
          <w:rFonts w:cstheme="minorHAnsi"/>
          <w:sz w:val="24"/>
        </w:rPr>
        <w:t>(6.8 </w:t>
      </w:r>
      <w:r w:rsidRPr="00363BBE">
        <w:rPr>
          <w:rFonts w:cstheme="minorHAnsi"/>
          <w:sz w:val="24"/>
        </w:rPr>
        <w:t>applicants per vacancy) and Blue Mountains (7.5 applicants per vacancy).</w:t>
      </w:r>
    </w:p>
    <w:p w:rsidR="008E341E" w:rsidRPr="00363BBE" w:rsidRDefault="007B45B3" w:rsidP="008878B5">
      <w:pPr>
        <w:pStyle w:val="ListParagraph"/>
        <w:numPr>
          <w:ilvl w:val="1"/>
          <w:numId w:val="20"/>
        </w:numPr>
        <w:spacing w:after="120" w:line="240" w:lineRule="auto"/>
        <w:ind w:left="425" w:hanging="425"/>
        <w:jc w:val="both"/>
        <w:rPr>
          <w:rFonts w:cstheme="minorHAnsi"/>
          <w:sz w:val="24"/>
        </w:rPr>
      </w:pPr>
      <w:r w:rsidRPr="00363BBE">
        <w:rPr>
          <w:rFonts w:cstheme="minorHAnsi"/>
          <w:sz w:val="24"/>
        </w:rPr>
        <w:t xml:space="preserve">Just over one in five applicants were </w:t>
      </w:r>
      <w:r w:rsidR="008E341E" w:rsidRPr="00363BBE">
        <w:rPr>
          <w:rFonts w:cstheme="minorHAnsi"/>
          <w:sz w:val="24"/>
        </w:rPr>
        <w:t>considered suitable by employers</w:t>
      </w:r>
      <w:r w:rsidR="00525F0E">
        <w:rPr>
          <w:rFonts w:cstheme="minorHAnsi"/>
          <w:sz w:val="24"/>
        </w:rPr>
        <w:t>,</w:t>
      </w:r>
      <w:r w:rsidR="00822C13" w:rsidRPr="00363BBE">
        <w:rPr>
          <w:rFonts w:cstheme="minorHAnsi"/>
          <w:sz w:val="24"/>
        </w:rPr>
        <w:t xml:space="preserve"> </w:t>
      </w:r>
      <w:r w:rsidR="00525F0E">
        <w:rPr>
          <w:rFonts w:cstheme="minorHAnsi"/>
          <w:sz w:val="24"/>
        </w:rPr>
        <w:t xml:space="preserve">equating to </w:t>
      </w:r>
      <w:r w:rsidR="00822C13" w:rsidRPr="00363BBE">
        <w:rPr>
          <w:rFonts w:cstheme="minorHAnsi"/>
          <w:sz w:val="24"/>
        </w:rPr>
        <w:t xml:space="preserve">an average of </w:t>
      </w:r>
      <w:r w:rsidR="008354DA">
        <w:rPr>
          <w:rFonts w:cstheme="minorHAnsi"/>
          <w:sz w:val="24"/>
        </w:rPr>
        <w:t>2.7 </w:t>
      </w:r>
      <w:r w:rsidR="00022A9F" w:rsidRPr="00363BBE">
        <w:rPr>
          <w:rFonts w:cstheme="minorHAnsi"/>
          <w:sz w:val="24"/>
        </w:rPr>
        <w:t>suitable applicants per vacancy</w:t>
      </w:r>
      <w:r w:rsidR="008E341E" w:rsidRPr="00363BBE">
        <w:rPr>
          <w:rFonts w:cstheme="minorHAnsi"/>
          <w:sz w:val="24"/>
        </w:rPr>
        <w:t xml:space="preserve">. </w:t>
      </w:r>
      <w:r w:rsidR="00E128D4" w:rsidRPr="00363BBE">
        <w:rPr>
          <w:rFonts w:cstheme="minorHAnsi"/>
          <w:sz w:val="24"/>
        </w:rPr>
        <w:t>Emphasising the importance of skills and experience to job seekers, four in five employers reported that</w:t>
      </w:r>
      <w:r w:rsidR="00DC0FBE">
        <w:rPr>
          <w:rFonts w:cstheme="minorHAnsi"/>
          <w:sz w:val="24"/>
        </w:rPr>
        <w:t xml:space="preserve"> unsuitable</w:t>
      </w:r>
      <w:r w:rsidR="00E128D4" w:rsidRPr="00363BBE">
        <w:rPr>
          <w:rFonts w:cstheme="minorHAnsi"/>
          <w:sz w:val="24"/>
        </w:rPr>
        <w:t xml:space="preserve"> applicants were lacking in relevant skills or experience.</w:t>
      </w:r>
    </w:p>
    <w:p w:rsidR="008C37FB" w:rsidRPr="002C5D14" w:rsidRDefault="00072EBE" w:rsidP="002C5D14">
      <w:pPr>
        <w:spacing w:before="200" w:after="0" w:line="240" w:lineRule="auto"/>
        <w:jc w:val="both"/>
        <w:rPr>
          <w:rFonts w:cstheme="minorHAnsi"/>
          <w:sz w:val="24"/>
          <w:szCs w:val="24"/>
        </w:rPr>
      </w:pPr>
      <w:r w:rsidRPr="002C5D14">
        <w:rPr>
          <w:rFonts w:cstheme="minorHAnsi"/>
          <w:sz w:val="24"/>
          <w:szCs w:val="24"/>
        </w:rPr>
        <w:t>T</w:t>
      </w:r>
      <w:r w:rsidR="004C7472" w:rsidRPr="002C5D14">
        <w:rPr>
          <w:rFonts w:cstheme="minorHAnsi"/>
          <w:sz w:val="24"/>
          <w:szCs w:val="24"/>
        </w:rPr>
        <w:t>he majority of employers recruit</w:t>
      </w:r>
      <w:r w:rsidRPr="002C5D14">
        <w:rPr>
          <w:rFonts w:cstheme="minorHAnsi"/>
          <w:sz w:val="24"/>
          <w:szCs w:val="24"/>
        </w:rPr>
        <w:t>ed</w:t>
      </w:r>
      <w:r w:rsidR="004C7472" w:rsidRPr="002C5D14">
        <w:rPr>
          <w:rFonts w:cstheme="minorHAnsi"/>
          <w:sz w:val="24"/>
          <w:szCs w:val="24"/>
        </w:rPr>
        <w:t xml:space="preserve"> using formal methods, most commonly the internet and newspapers. However, just over one in five employers (21 per cent) recruited using informal methods only</w:t>
      </w:r>
      <w:r w:rsidR="0039723C" w:rsidRPr="002C5D14">
        <w:rPr>
          <w:rFonts w:cstheme="minorHAnsi"/>
          <w:sz w:val="24"/>
          <w:szCs w:val="24"/>
        </w:rPr>
        <w:t>, such as word of mouth</w:t>
      </w:r>
      <w:r w:rsidR="004C7472" w:rsidRPr="002C5D14">
        <w:rPr>
          <w:rFonts w:cstheme="minorHAnsi"/>
          <w:sz w:val="24"/>
          <w:szCs w:val="24"/>
        </w:rPr>
        <w:t>.</w:t>
      </w:r>
    </w:p>
    <w:p w:rsidR="00933581" w:rsidRPr="008878B5" w:rsidRDefault="00E47698" w:rsidP="008878B5">
      <w:pPr>
        <w:pStyle w:val="ListParagraph"/>
        <w:numPr>
          <w:ilvl w:val="1"/>
          <w:numId w:val="21"/>
        </w:numPr>
        <w:spacing w:line="240" w:lineRule="auto"/>
        <w:ind w:left="425" w:hanging="425"/>
        <w:jc w:val="both"/>
        <w:rPr>
          <w:rFonts w:cstheme="minorHAnsi"/>
          <w:sz w:val="24"/>
          <w:szCs w:val="24"/>
        </w:rPr>
      </w:pPr>
      <w:r>
        <w:rPr>
          <w:rFonts w:cstheme="minorHAnsi"/>
          <w:sz w:val="24"/>
          <w:szCs w:val="24"/>
        </w:rPr>
        <w:t xml:space="preserve">Average applicant numbers were low when employers only used informal recruitment methods to fill positions </w:t>
      </w:r>
      <w:r w:rsidR="00072EBE">
        <w:rPr>
          <w:rFonts w:cstheme="minorHAnsi"/>
          <w:sz w:val="24"/>
          <w:szCs w:val="24"/>
        </w:rPr>
        <w:t>(1.5 applicants per vacancy).</w:t>
      </w:r>
    </w:p>
    <w:p w:rsidR="003A3D3A" w:rsidRPr="00363BBE" w:rsidRDefault="006940D1" w:rsidP="003A3D3A">
      <w:pPr>
        <w:pStyle w:val="RIESbriefreports"/>
        <w:spacing w:before="0"/>
        <w:rPr>
          <w:color w:val="FF0000"/>
          <w:szCs w:val="24"/>
        </w:rPr>
      </w:pPr>
      <w:bookmarkStart w:id="46" w:name="_Toc352917814"/>
      <w:r>
        <w:t>Recruitment Difficulty Easing</w:t>
      </w:r>
      <w:bookmarkEnd w:id="46"/>
    </w:p>
    <w:p w:rsidR="006940D1" w:rsidRPr="002C5D14" w:rsidRDefault="006940D1" w:rsidP="002C5D14">
      <w:pPr>
        <w:spacing w:after="0" w:line="240" w:lineRule="auto"/>
        <w:jc w:val="both"/>
        <w:rPr>
          <w:rFonts w:cstheme="minorHAnsi"/>
          <w:sz w:val="24"/>
        </w:rPr>
      </w:pPr>
      <w:r w:rsidRPr="002C5D14">
        <w:rPr>
          <w:rFonts w:cstheme="minorHAnsi"/>
          <w:sz w:val="24"/>
        </w:rPr>
        <w:t xml:space="preserve">Recruitment </w:t>
      </w:r>
      <w:r w:rsidR="00DF17D1" w:rsidRPr="002C5D14">
        <w:rPr>
          <w:rFonts w:cstheme="minorHAnsi"/>
          <w:sz w:val="24"/>
        </w:rPr>
        <w:t>difficulty</w:t>
      </w:r>
      <w:r w:rsidRPr="002C5D14">
        <w:rPr>
          <w:rFonts w:cstheme="minorHAnsi"/>
          <w:sz w:val="24"/>
        </w:rPr>
        <w:t xml:space="preserve"> in the PEA has eased </w:t>
      </w:r>
      <w:r w:rsidR="00DF17D1" w:rsidRPr="002C5D14">
        <w:rPr>
          <w:rFonts w:cstheme="minorHAnsi"/>
          <w:sz w:val="24"/>
        </w:rPr>
        <w:t>over the last year</w:t>
      </w:r>
      <w:r w:rsidR="001C18DA" w:rsidRPr="002C5D14">
        <w:rPr>
          <w:rFonts w:cstheme="minorHAnsi"/>
          <w:sz w:val="24"/>
        </w:rPr>
        <w:t xml:space="preserve">, and is now among the lowest of </w:t>
      </w:r>
      <w:r w:rsidRPr="002C5D14">
        <w:rPr>
          <w:rFonts w:cstheme="minorHAnsi"/>
          <w:sz w:val="24"/>
        </w:rPr>
        <w:t xml:space="preserve">all </w:t>
      </w:r>
      <w:proofErr w:type="spellStart"/>
      <w:r w:rsidRPr="002C5D14">
        <w:rPr>
          <w:rFonts w:cstheme="minorHAnsi"/>
          <w:sz w:val="24"/>
        </w:rPr>
        <w:t>PEAs</w:t>
      </w:r>
      <w:proofErr w:type="spellEnd"/>
      <w:r w:rsidRPr="002C5D14">
        <w:rPr>
          <w:rFonts w:cstheme="minorHAnsi"/>
          <w:sz w:val="24"/>
        </w:rPr>
        <w:t xml:space="preserve"> </w:t>
      </w:r>
      <w:r w:rsidR="00C43856" w:rsidRPr="002C5D14">
        <w:rPr>
          <w:rFonts w:cstheme="minorHAnsi"/>
          <w:sz w:val="24"/>
        </w:rPr>
        <w:t xml:space="preserve">recently </w:t>
      </w:r>
      <w:r w:rsidRPr="002C5D14">
        <w:rPr>
          <w:rFonts w:cstheme="minorHAnsi"/>
          <w:sz w:val="24"/>
        </w:rPr>
        <w:t>surveyed. Just over one in three employers (35 per cent) reported recruitment difficulty in their latest recruitment round, compared with</w:t>
      </w:r>
      <w:r w:rsidR="00277E3C">
        <w:rPr>
          <w:rFonts w:cstheme="minorHAnsi"/>
          <w:sz w:val="24"/>
        </w:rPr>
        <w:t xml:space="preserve"> 44 per cent</w:t>
      </w:r>
      <w:r w:rsidRPr="002C5D14">
        <w:rPr>
          <w:rFonts w:cstheme="minorHAnsi"/>
          <w:sz w:val="24"/>
        </w:rPr>
        <w:t xml:space="preserve"> when the PEA was previously surveyed </w:t>
      </w:r>
      <w:r w:rsidR="00AC4D45">
        <w:rPr>
          <w:rFonts w:cstheme="minorHAnsi"/>
          <w:sz w:val="24"/>
        </w:rPr>
        <w:t>in October 201</w:t>
      </w:r>
      <w:r w:rsidR="001A285D">
        <w:rPr>
          <w:rFonts w:cstheme="minorHAnsi"/>
          <w:sz w:val="24"/>
        </w:rPr>
        <w:t>1</w:t>
      </w:r>
      <w:r w:rsidRPr="002C5D14">
        <w:rPr>
          <w:rFonts w:cstheme="minorHAnsi"/>
          <w:sz w:val="24"/>
        </w:rPr>
        <w:t>.</w:t>
      </w:r>
    </w:p>
    <w:p w:rsidR="003C63D9" w:rsidRDefault="00AC4D45" w:rsidP="002C5D14">
      <w:pPr>
        <w:pStyle w:val="ListParagraph"/>
        <w:numPr>
          <w:ilvl w:val="1"/>
          <w:numId w:val="18"/>
        </w:numPr>
        <w:spacing w:after="120" w:line="240" w:lineRule="auto"/>
        <w:ind w:left="425" w:hanging="425"/>
        <w:jc w:val="both"/>
        <w:rPr>
          <w:rFonts w:cstheme="minorHAnsi"/>
          <w:sz w:val="24"/>
        </w:rPr>
      </w:pPr>
      <w:r>
        <w:rPr>
          <w:rFonts w:cstheme="minorHAnsi"/>
          <w:sz w:val="24"/>
        </w:rPr>
        <w:t>Figure 2 shows that much</w:t>
      </w:r>
      <w:r w:rsidR="006940D1" w:rsidRPr="003C63D9">
        <w:rPr>
          <w:rFonts w:cstheme="minorHAnsi"/>
          <w:sz w:val="24"/>
        </w:rPr>
        <w:t xml:space="preserve"> of this recent reduction is due to fewer employers reporting recruitment difficulty for higher skilled occupation</w:t>
      </w:r>
      <w:r w:rsidR="00441500" w:rsidRPr="003C63D9">
        <w:rPr>
          <w:rFonts w:cstheme="minorHAnsi"/>
          <w:sz w:val="24"/>
        </w:rPr>
        <w:t>s</w:t>
      </w:r>
      <w:r w:rsidR="006940D1" w:rsidRPr="003C63D9">
        <w:rPr>
          <w:rFonts w:cstheme="minorHAnsi"/>
          <w:sz w:val="24"/>
        </w:rPr>
        <w:t xml:space="preserve">, </w:t>
      </w:r>
      <w:r w:rsidR="00441500" w:rsidRPr="003C63D9">
        <w:rPr>
          <w:rFonts w:cstheme="minorHAnsi"/>
          <w:sz w:val="24"/>
        </w:rPr>
        <w:t>particularly for Technicians and Trades Workers (where only two in five employers reported difficulty</w:t>
      </w:r>
      <w:r w:rsidR="003C63D9" w:rsidRPr="003C63D9">
        <w:rPr>
          <w:rFonts w:cstheme="minorHAnsi"/>
          <w:sz w:val="24"/>
        </w:rPr>
        <w:t xml:space="preserve"> – the second lowest of all </w:t>
      </w:r>
      <w:proofErr w:type="spellStart"/>
      <w:r w:rsidR="003C63D9" w:rsidRPr="003C63D9">
        <w:rPr>
          <w:rFonts w:cstheme="minorHAnsi"/>
          <w:sz w:val="24"/>
        </w:rPr>
        <w:t>PEAs</w:t>
      </w:r>
      <w:proofErr w:type="spellEnd"/>
      <w:r w:rsidR="003C63D9" w:rsidRPr="003C63D9">
        <w:rPr>
          <w:rFonts w:cstheme="minorHAnsi"/>
          <w:sz w:val="24"/>
        </w:rPr>
        <w:t xml:space="preserve"> recently surveyed</w:t>
      </w:r>
      <w:r w:rsidR="00441500" w:rsidRPr="003C63D9">
        <w:rPr>
          <w:rFonts w:cstheme="minorHAnsi"/>
          <w:sz w:val="24"/>
        </w:rPr>
        <w:t xml:space="preserve">). </w:t>
      </w:r>
    </w:p>
    <w:p w:rsidR="006940D1" w:rsidRPr="003C63D9" w:rsidRDefault="00441500" w:rsidP="002C5D14">
      <w:pPr>
        <w:pStyle w:val="ListParagraph"/>
        <w:numPr>
          <w:ilvl w:val="1"/>
          <w:numId w:val="18"/>
        </w:numPr>
        <w:spacing w:after="120" w:line="240" w:lineRule="auto"/>
        <w:ind w:left="425" w:hanging="425"/>
        <w:jc w:val="both"/>
        <w:rPr>
          <w:rFonts w:cstheme="minorHAnsi"/>
          <w:sz w:val="24"/>
        </w:rPr>
      </w:pPr>
      <w:r w:rsidRPr="003C63D9">
        <w:rPr>
          <w:rFonts w:cstheme="minorHAnsi"/>
          <w:sz w:val="24"/>
        </w:rPr>
        <w:t>However,</w:t>
      </w:r>
      <w:r w:rsidR="00E015CF">
        <w:rPr>
          <w:rFonts w:cstheme="minorHAnsi"/>
          <w:sz w:val="24"/>
        </w:rPr>
        <w:t xml:space="preserve"> employers still reported difficulty recruiting for a number of occupations</w:t>
      </w:r>
      <w:r w:rsidRPr="003C63D9">
        <w:rPr>
          <w:rFonts w:cstheme="minorHAnsi"/>
          <w:sz w:val="24"/>
        </w:rPr>
        <w:t xml:space="preserve">. The most commonly cited include </w:t>
      </w:r>
      <w:r w:rsidR="003F25E9" w:rsidRPr="003C63D9">
        <w:rPr>
          <w:rFonts w:cstheme="minorHAnsi"/>
          <w:sz w:val="24"/>
        </w:rPr>
        <w:t>Early Childhood (pre-Primary School) Teachers</w:t>
      </w:r>
      <w:r w:rsidR="003F25E9">
        <w:rPr>
          <w:rFonts w:cstheme="minorHAnsi"/>
          <w:sz w:val="24"/>
        </w:rPr>
        <w:t>,</w:t>
      </w:r>
      <w:r w:rsidR="003F25E9" w:rsidRPr="003C63D9">
        <w:rPr>
          <w:rFonts w:cstheme="minorHAnsi"/>
          <w:sz w:val="24"/>
        </w:rPr>
        <w:t xml:space="preserve"> </w:t>
      </w:r>
      <w:r w:rsidR="006940D1" w:rsidRPr="003C63D9">
        <w:rPr>
          <w:rFonts w:cstheme="minorHAnsi"/>
          <w:sz w:val="24"/>
        </w:rPr>
        <w:t xml:space="preserve">Chefs, </w:t>
      </w:r>
      <w:r w:rsidR="003F25E9" w:rsidRPr="003C63D9">
        <w:rPr>
          <w:rFonts w:cstheme="minorHAnsi"/>
          <w:sz w:val="24"/>
        </w:rPr>
        <w:t>Structural Steel and Welding Trades Workers</w:t>
      </w:r>
      <w:r w:rsidR="003F25E9">
        <w:rPr>
          <w:rFonts w:cstheme="minorHAnsi"/>
          <w:sz w:val="24"/>
        </w:rPr>
        <w:t>,</w:t>
      </w:r>
      <w:r w:rsidR="003F25E9" w:rsidRPr="003C63D9">
        <w:rPr>
          <w:rFonts w:cstheme="minorHAnsi"/>
          <w:sz w:val="24"/>
        </w:rPr>
        <w:t xml:space="preserve"> </w:t>
      </w:r>
      <w:r w:rsidR="006940D1" w:rsidRPr="003C63D9">
        <w:rPr>
          <w:rFonts w:cstheme="minorHAnsi"/>
          <w:sz w:val="24"/>
        </w:rPr>
        <w:t>Waiters,</w:t>
      </w:r>
      <w:r w:rsidR="003F25E9">
        <w:rPr>
          <w:rFonts w:cstheme="minorHAnsi"/>
          <w:sz w:val="24"/>
        </w:rPr>
        <w:t xml:space="preserve"> Receptionists and</w:t>
      </w:r>
      <w:r w:rsidR="006940D1" w:rsidRPr="003C63D9">
        <w:rPr>
          <w:rFonts w:cstheme="minorHAnsi"/>
          <w:sz w:val="24"/>
        </w:rPr>
        <w:t xml:space="preserve"> Truck Drivers</w:t>
      </w:r>
      <w:r w:rsidR="003F25E9">
        <w:rPr>
          <w:rFonts w:cstheme="minorHAnsi"/>
          <w:sz w:val="24"/>
        </w:rPr>
        <w:t>.</w:t>
      </w:r>
    </w:p>
    <w:p w:rsidR="006940D1" w:rsidRPr="008878B5" w:rsidRDefault="00AC4D45" w:rsidP="008878B5">
      <w:pPr>
        <w:pStyle w:val="ListParagraph"/>
        <w:numPr>
          <w:ilvl w:val="1"/>
          <w:numId w:val="18"/>
        </w:numPr>
        <w:spacing w:after="120" w:line="240" w:lineRule="auto"/>
        <w:ind w:left="425" w:hanging="425"/>
        <w:jc w:val="both"/>
        <w:rPr>
          <w:rFonts w:cstheme="minorHAnsi"/>
          <w:sz w:val="24"/>
        </w:rPr>
      </w:pPr>
      <w:r>
        <w:rPr>
          <w:rFonts w:cstheme="minorHAnsi"/>
          <w:sz w:val="24"/>
        </w:rPr>
        <w:t>More than half</w:t>
      </w:r>
      <w:r w:rsidR="006940D1" w:rsidRPr="00100D0B">
        <w:rPr>
          <w:rFonts w:cstheme="minorHAnsi"/>
          <w:sz w:val="24"/>
        </w:rPr>
        <w:t xml:space="preserve"> </w:t>
      </w:r>
      <w:r w:rsidR="00B1117F">
        <w:rPr>
          <w:rFonts w:cstheme="minorHAnsi"/>
          <w:sz w:val="24"/>
        </w:rPr>
        <w:t xml:space="preserve">of </w:t>
      </w:r>
      <w:r w:rsidR="00277E3C">
        <w:rPr>
          <w:rFonts w:cstheme="minorHAnsi"/>
          <w:sz w:val="24"/>
        </w:rPr>
        <w:t xml:space="preserve">the </w:t>
      </w:r>
      <w:r w:rsidR="006940D1" w:rsidRPr="00100D0B">
        <w:rPr>
          <w:rFonts w:cstheme="minorHAnsi"/>
          <w:sz w:val="24"/>
        </w:rPr>
        <w:t xml:space="preserve">employers who reported recruitment difficulty stated that it was difficult to find </w:t>
      </w:r>
      <w:r w:rsidR="006940D1" w:rsidRPr="00363BBE">
        <w:rPr>
          <w:rFonts w:cstheme="minorHAnsi"/>
          <w:sz w:val="24"/>
        </w:rPr>
        <w:t>people with the necessary skills</w:t>
      </w:r>
      <w:r>
        <w:rPr>
          <w:rFonts w:cstheme="minorHAnsi"/>
          <w:sz w:val="24"/>
        </w:rPr>
        <w:t>.</w:t>
      </w:r>
      <w:r w:rsidR="006940D1" w:rsidRPr="00363BBE">
        <w:rPr>
          <w:rFonts w:cstheme="minorHAnsi"/>
          <w:sz w:val="24"/>
        </w:rPr>
        <w:t xml:space="preserve"> </w:t>
      </w:r>
    </w:p>
    <w:p w:rsidR="001E5ACA" w:rsidRDefault="00856D5F" w:rsidP="00856D5F">
      <w:pPr>
        <w:spacing w:after="0" w:line="240" w:lineRule="auto"/>
        <w:jc w:val="both"/>
        <w:rPr>
          <w:rFonts w:cstheme="minorHAnsi"/>
          <w:b/>
          <w:i/>
          <w:sz w:val="24"/>
        </w:rPr>
      </w:pPr>
      <w:r>
        <w:rPr>
          <w:rFonts w:cstheme="minorHAnsi"/>
          <w:b/>
          <w:i/>
          <w:sz w:val="24"/>
        </w:rPr>
        <w:lastRenderedPageBreak/>
        <w:t>Figure 2</w:t>
      </w:r>
      <w:r w:rsidR="001E5ACA">
        <w:rPr>
          <w:rFonts w:cstheme="minorHAnsi"/>
          <w:b/>
          <w:i/>
          <w:sz w:val="24"/>
        </w:rPr>
        <w:t>: Recruitment Difficulty Easing for Higher Skilled Occupations</w:t>
      </w:r>
    </w:p>
    <w:p w:rsidR="008354DA" w:rsidRPr="00856D5F" w:rsidRDefault="008354DA" w:rsidP="00856D5F">
      <w:pPr>
        <w:spacing w:after="0" w:line="240" w:lineRule="auto"/>
        <w:jc w:val="both"/>
        <w:rPr>
          <w:rFonts w:cstheme="minorHAnsi"/>
          <w:sz w:val="20"/>
          <w:szCs w:val="20"/>
        </w:rPr>
      </w:pPr>
      <w:r w:rsidRPr="00856D5F">
        <w:rPr>
          <w:rFonts w:cstheme="minorHAnsi"/>
          <w:sz w:val="20"/>
          <w:szCs w:val="20"/>
        </w:rPr>
        <w:t>Proportion of employers reporting recruitment difficulty</w:t>
      </w:r>
    </w:p>
    <w:p w:rsidR="001E5ACA" w:rsidRPr="001E5ACA" w:rsidRDefault="00847888" w:rsidP="001E5ACA">
      <w:pPr>
        <w:spacing w:after="120" w:line="240" w:lineRule="auto"/>
        <w:jc w:val="both"/>
        <w:rPr>
          <w:rFonts w:cstheme="minorHAnsi"/>
          <w:sz w:val="24"/>
        </w:rPr>
      </w:pPr>
      <w:r>
        <w:rPr>
          <w:noProof/>
          <w:lang w:eastAsia="en-AU"/>
        </w:rPr>
        <w:drawing>
          <wp:inline distT="0" distB="0" distL="0" distR="0" wp14:anchorId="79D21BD3" wp14:editId="017B4ACB">
            <wp:extent cx="6038850" cy="28956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C4D45" w:rsidRPr="002C5D14" w:rsidRDefault="00AC4D45" w:rsidP="00AC4D45">
      <w:pPr>
        <w:spacing w:after="0" w:line="240" w:lineRule="auto"/>
        <w:jc w:val="both"/>
        <w:rPr>
          <w:rFonts w:cstheme="minorHAnsi"/>
          <w:sz w:val="24"/>
        </w:rPr>
      </w:pPr>
      <w:r w:rsidRPr="002C5D14">
        <w:rPr>
          <w:rFonts w:cstheme="minorHAnsi"/>
          <w:sz w:val="24"/>
        </w:rPr>
        <w:t>Employers were able to fill most of their vacancies in their latest recruitment round.</w:t>
      </w:r>
    </w:p>
    <w:p w:rsidR="00AC4D45" w:rsidRDefault="00AC4D45" w:rsidP="00AC4D45">
      <w:pPr>
        <w:pStyle w:val="ListParagraph"/>
        <w:numPr>
          <w:ilvl w:val="1"/>
          <w:numId w:val="19"/>
        </w:numPr>
        <w:spacing w:after="120" w:line="240" w:lineRule="auto"/>
        <w:ind w:left="425" w:hanging="425"/>
        <w:jc w:val="both"/>
        <w:rPr>
          <w:rFonts w:cstheme="minorHAnsi"/>
          <w:sz w:val="24"/>
        </w:rPr>
      </w:pPr>
      <w:r w:rsidRPr="00363BBE">
        <w:rPr>
          <w:rFonts w:cstheme="minorHAnsi"/>
          <w:sz w:val="24"/>
        </w:rPr>
        <w:t xml:space="preserve">Employers reported an unfilled vacancy rate of 4.9 per cent, </w:t>
      </w:r>
      <w:r w:rsidR="0099622A">
        <w:rPr>
          <w:rFonts w:cstheme="minorHAnsi"/>
          <w:sz w:val="24"/>
        </w:rPr>
        <w:t>compared with 9.9 per cent in</w:t>
      </w:r>
      <w:r w:rsidRPr="00363BBE">
        <w:rPr>
          <w:rFonts w:cstheme="minorHAnsi"/>
          <w:sz w:val="24"/>
        </w:rPr>
        <w:t xml:space="preserve"> the previous survey and 7.2 per cent</w:t>
      </w:r>
      <w:r w:rsidR="0099622A">
        <w:rPr>
          <w:rFonts w:cstheme="minorHAnsi"/>
          <w:sz w:val="24"/>
        </w:rPr>
        <w:t xml:space="preserve"> for all regions</w:t>
      </w:r>
      <w:r w:rsidRPr="00363BBE">
        <w:rPr>
          <w:rFonts w:cstheme="minorHAnsi"/>
          <w:sz w:val="24"/>
        </w:rPr>
        <w:t>.</w:t>
      </w:r>
    </w:p>
    <w:p w:rsidR="003A3D3A" w:rsidRPr="005A3751" w:rsidRDefault="005A3751" w:rsidP="003A3D3A">
      <w:pPr>
        <w:pStyle w:val="RIESbriefreports"/>
        <w:spacing w:before="0"/>
      </w:pPr>
      <w:bookmarkStart w:id="47" w:name="_Toc352917815"/>
      <w:r>
        <w:t xml:space="preserve">Subdued </w:t>
      </w:r>
      <w:r w:rsidR="00BE7692" w:rsidRPr="005A3751">
        <w:t>Recruitment Outlook</w:t>
      </w:r>
      <w:bookmarkEnd w:id="47"/>
    </w:p>
    <w:p w:rsidR="003A3D3A" w:rsidRPr="00D20FCB" w:rsidRDefault="003A3D3A" w:rsidP="00D20FCB">
      <w:pPr>
        <w:spacing w:after="0" w:line="240" w:lineRule="auto"/>
        <w:jc w:val="both"/>
        <w:rPr>
          <w:rFonts w:cstheme="minorHAnsi"/>
          <w:sz w:val="24"/>
        </w:rPr>
      </w:pPr>
      <w:r w:rsidRPr="00D20FCB">
        <w:rPr>
          <w:rFonts w:cstheme="minorHAnsi"/>
          <w:sz w:val="24"/>
        </w:rPr>
        <w:t xml:space="preserve">The survey results suggest a </w:t>
      </w:r>
      <w:r w:rsidR="00135BFC" w:rsidRPr="00D20FCB">
        <w:rPr>
          <w:rFonts w:cstheme="minorHAnsi"/>
          <w:sz w:val="24"/>
        </w:rPr>
        <w:t>continuation of below-average</w:t>
      </w:r>
      <w:r w:rsidRPr="00D20FCB">
        <w:rPr>
          <w:rFonts w:cstheme="minorHAnsi"/>
          <w:sz w:val="24"/>
        </w:rPr>
        <w:t xml:space="preserve"> recruitment</w:t>
      </w:r>
      <w:r w:rsidR="00135BFC" w:rsidRPr="00D20FCB">
        <w:rPr>
          <w:rFonts w:cstheme="minorHAnsi"/>
          <w:sz w:val="24"/>
        </w:rPr>
        <w:t xml:space="preserve"> activity</w:t>
      </w:r>
      <w:r w:rsidRPr="00D20FCB">
        <w:rPr>
          <w:rFonts w:cstheme="minorHAnsi"/>
          <w:sz w:val="24"/>
        </w:rPr>
        <w:t xml:space="preserve"> </w:t>
      </w:r>
      <w:r w:rsidR="00CD3B71" w:rsidRPr="00D20FCB">
        <w:rPr>
          <w:rFonts w:cstheme="minorHAnsi"/>
          <w:sz w:val="24"/>
        </w:rPr>
        <w:t xml:space="preserve">and recruitment difficulty </w:t>
      </w:r>
      <w:r w:rsidRPr="00D20FCB">
        <w:rPr>
          <w:rFonts w:cstheme="minorHAnsi"/>
          <w:sz w:val="24"/>
        </w:rPr>
        <w:t>in the PEA</w:t>
      </w:r>
      <w:r w:rsidR="00956C89">
        <w:rPr>
          <w:rFonts w:cstheme="minorHAnsi"/>
          <w:sz w:val="24"/>
        </w:rPr>
        <w:t>,</w:t>
      </w:r>
      <w:r w:rsidRPr="00D20FCB">
        <w:rPr>
          <w:rFonts w:cstheme="minorHAnsi"/>
          <w:sz w:val="24"/>
        </w:rPr>
        <w:t xml:space="preserve"> </w:t>
      </w:r>
      <w:r w:rsidR="00BB1117" w:rsidRPr="00D20FCB">
        <w:rPr>
          <w:rFonts w:cstheme="minorHAnsi"/>
          <w:sz w:val="24"/>
        </w:rPr>
        <w:t xml:space="preserve">at least </w:t>
      </w:r>
      <w:r w:rsidR="00956C89">
        <w:rPr>
          <w:rFonts w:cstheme="minorHAnsi"/>
          <w:sz w:val="24"/>
        </w:rPr>
        <w:t xml:space="preserve">in </w:t>
      </w:r>
      <w:r w:rsidR="00BB1117" w:rsidRPr="00D20FCB">
        <w:rPr>
          <w:rFonts w:cstheme="minorHAnsi"/>
          <w:sz w:val="24"/>
        </w:rPr>
        <w:t>the short term</w:t>
      </w:r>
      <w:r w:rsidRPr="00D20FCB">
        <w:rPr>
          <w:rFonts w:cstheme="minorHAnsi"/>
          <w:sz w:val="24"/>
        </w:rPr>
        <w:t xml:space="preserve">. Just 41 per cent of surveyed employers expected to recruit </w:t>
      </w:r>
      <w:r w:rsidR="00BB1117" w:rsidRPr="00D20FCB">
        <w:rPr>
          <w:rFonts w:cstheme="minorHAnsi"/>
          <w:sz w:val="24"/>
        </w:rPr>
        <w:t xml:space="preserve">in the 12 months following the survey, </w:t>
      </w:r>
      <w:r w:rsidR="009C28ED">
        <w:rPr>
          <w:rFonts w:cstheme="minorHAnsi"/>
          <w:sz w:val="24"/>
        </w:rPr>
        <w:t>well below the</w:t>
      </w:r>
      <w:r w:rsidRPr="00D20FCB">
        <w:rPr>
          <w:rFonts w:cstheme="minorHAnsi"/>
          <w:sz w:val="24"/>
        </w:rPr>
        <w:t xml:space="preserve"> 51 per cent </w:t>
      </w:r>
      <w:r w:rsidR="009C28ED">
        <w:rPr>
          <w:rFonts w:cstheme="minorHAnsi"/>
          <w:sz w:val="24"/>
        </w:rPr>
        <w:t xml:space="preserve">recorded </w:t>
      </w:r>
      <w:r w:rsidR="009C3A27">
        <w:rPr>
          <w:rFonts w:cstheme="minorHAnsi"/>
          <w:sz w:val="24"/>
        </w:rPr>
        <w:t>for</w:t>
      </w:r>
      <w:r w:rsidR="009C28ED">
        <w:rPr>
          <w:rFonts w:cstheme="minorHAnsi"/>
          <w:sz w:val="24"/>
        </w:rPr>
        <w:t xml:space="preserve"> </w:t>
      </w:r>
      <w:r w:rsidR="009C3A27">
        <w:rPr>
          <w:rFonts w:cstheme="minorHAnsi"/>
          <w:sz w:val="24"/>
        </w:rPr>
        <w:t xml:space="preserve">the region in </w:t>
      </w:r>
      <w:r w:rsidR="009C28ED">
        <w:rPr>
          <w:rFonts w:cstheme="minorHAnsi"/>
          <w:sz w:val="24"/>
        </w:rPr>
        <w:t>October 2011</w:t>
      </w:r>
      <w:r w:rsidRPr="00D20FCB">
        <w:rPr>
          <w:rFonts w:cstheme="minorHAnsi"/>
          <w:sz w:val="24"/>
        </w:rPr>
        <w:t>.</w:t>
      </w:r>
    </w:p>
    <w:p w:rsidR="003A3D3A" w:rsidRPr="00D20FCB" w:rsidRDefault="003A3D3A" w:rsidP="00D20FCB">
      <w:pPr>
        <w:pStyle w:val="ListParagraph"/>
        <w:numPr>
          <w:ilvl w:val="0"/>
          <w:numId w:val="16"/>
        </w:numPr>
        <w:spacing w:line="240" w:lineRule="auto"/>
        <w:ind w:left="425" w:hanging="425"/>
        <w:jc w:val="both"/>
        <w:rPr>
          <w:rFonts w:cstheme="minorHAnsi"/>
          <w:sz w:val="24"/>
        </w:rPr>
      </w:pPr>
      <w:r w:rsidRPr="00D20FCB">
        <w:rPr>
          <w:rFonts w:cstheme="minorHAnsi"/>
          <w:sz w:val="24"/>
        </w:rPr>
        <w:t xml:space="preserve">Similarly, just one in five employers expected to increase staff numbers, compared with one in three in </w:t>
      </w:r>
      <w:r w:rsidR="005954F5" w:rsidRPr="00D20FCB">
        <w:rPr>
          <w:rFonts w:cstheme="minorHAnsi"/>
          <w:sz w:val="24"/>
        </w:rPr>
        <w:t xml:space="preserve">the </w:t>
      </w:r>
      <w:r w:rsidRPr="00D20FCB">
        <w:rPr>
          <w:rFonts w:cstheme="minorHAnsi"/>
          <w:sz w:val="24"/>
        </w:rPr>
        <w:t>2011</w:t>
      </w:r>
      <w:r w:rsidR="005954F5" w:rsidRPr="00D20FCB">
        <w:rPr>
          <w:rFonts w:cstheme="minorHAnsi"/>
          <w:sz w:val="24"/>
        </w:rPr>
        <w:t xml:space="preserve"> survey</w:t>
      </w:r>
      <w:r w:rsidRPr="00D20FCB">
        <w:rPr>
          <w:rFonts w:cstheme="minorHAnsi"/>
          <w:sz w:val="24"/>
        </w:rPr>
        <w:t>.</w:t>
      </w:r>
    </w:p>
    <w:p w:rsidR="007D7B8F" w:rsidRPr="00D20FCB" w:rsidRDefault="007D7B8F" w:rsidP="00D20FCB">
      <w:pPr>
        <w:pStyle w:val="ListParagraph"/>
        <w:numPr>
          <w:ilvl w:val="0"/>
          <w:numId w:val="16"/>
        </w:numPr>
        <w:spacing w:line="240" w:lineRule="auto"/>
        <w:ind w:left="425" w:hanging="425"/>
        <w:jc w:val="both"/>
        <w:rPr>
          <w:rFonts w:cstheme="minorHAnsi"/>
          <w:sz w:val="24"/>
        </w:rPr>
      </w:pPr>
      <w:r w:rsidRPr="00D20FCB">
        <w:rPr>
          <w:rFonts w:cstheme="minorHAnsi"/>
          <w:sz w:val="24"/>
        </w:rPr>
        <w:t>Strong</w:t>
      </w:r>
      <w:r w:rsidR="005A6CFA" w:rsidRPr="00D20FCB">
        <w:rPr>
          <w:rFonts w:cstheme="minorHAnsi"/>
          <w:sz w:val="24"/>
        </w:rPr>
        <w:t>er</w:t>
      </w:r>
      <w:r w:rsidRPr="00D20FCB">
        <w:rPr>
          <w:rFonts w:cstheme="minorHAnsi"/>
          <w:sz w:val="24"/>
        </w:rPr>
        <w:t xml:space="preserve"> recruitment is anticipated for the Health Care and Social Assistance and Accommodation and Food Services industries, with one in three employers expecting to increase staff in the 12 months following the survey.</w:t>
      </w:r>
    </w:p>
    <w:p w:rsidR="00F06165" w:rsidRPr="00D20FCB" w:rsidRDefault="00820987" w:rsidP="008878B5">
      <w:pPr>
        <w:pStyle w:val="ListParagraph"/>
        <w:numPr>
          <w:ilvl w:val="0"/>
          <w:numId w:val="16"/>
        </w:numPr>
        <w:spacing w:after="120" w:line="240" w:lineRule="auto"/>
        <w:ind w:left="425" w:hanging="425"/>
        <w:jc w:val="both"/>
        <w:rPr>
          <w:rFonts w:cstheme="minorHAnsi"/>
          <w:sz w:val="24"/>
        </w:rPr>
      </w:pPr>
      <w:r w:rsidRPr="00D20FCB">
        <w:rPr>
          <w:rFonts w:cstheme="minorHAnsi"/>
          <w:sz w:val="24"/>
        </w:rPr>
        <w:t xml:space="preserve">The recruitment outlook was strongest for the Blue Mountains LGA (56 per cent of employers anticipated recruiting), </w:t>
      </w:r>
      <w:r w:rsidR="00CD3B71" w:rsidRPr="00D20FCB">
        <w:rPr>
          <w:rFonts w:cstheme="minorHAnsi"/>
          <w:sz w:val="24"/>
        </w:rPr>
        <w:t>although only 27 per cent of employers in the Auburn LGA anticipated recruiting.</w:t>
      </w:r>
    </w:p>
    <w:p w:rsidR="006704B3" w:rsidRPr="006704B3" w:rsidRDefault="005A6CFA" w:rsidP="008878B5">
      <w:pPr>
        <w:spacing w:line="240" w:lineRule="auto"/>
        <w:jc w:val="both"/>
        <w:rPr>
          <w:rFonts w:cstheme="minorHAnsi"/>
          <w:sz w:val="24"/>
        </w:rPr>
      </w:pPr>
      <w:r w:rsidRPr="00D20FCB">
        <w:rPr>
          <w:rFonts w:cstheme="minorHAnsi"/>
          <w:sz w:val="24"/>
        </w:rPr>
        <w:t xml:space="preserve">Three in five </w:t>
      </w:r>
      <w:r w:rsidR="00EC4C66" w:rsidRPr="00D20FCB">
        <w:rPr>
          <w:rFonts w:cstheme="minorHAnsi"/>
          <w:sz w:val="24"/>
        </w:rPr>
        <w:t xml:space="preserve">employers anticipated challenges for the 12 months following the survey, the most common </w:t>
      </w:r>
      <w:r w:rsidR="009C28ED">
        <w:rPr>
          <w:rFonts w:cstheme="minorHAnsi"/>
          <w:sz w:val="24"/>
        </w:rPr>
        <w:t xml:space="preserve">challenges </w:t>
      </w:r>
      <w:r w:rsidR="00EC4C66" w:rsidRPr="00D20FCB">
        <w:rPr>
          <w:rFonts w:cstheme="minorHAnsi"/>
          <w:sz w:val="24"/>
        </w:rPr>
        <w:t>being reduced business activity (40 per cent) a</w:t>
      </w:r>
      <w:r w:rsidR="0014060C">
        <w:rPr>
          <w:rFonts w:cstheme="minorHAnsi"/>
          <w:sz w:val="24"/>
        </w:rPr>
        <w:t>nd business regulations (23 per </w:t>
      </w:r>
      <w:r w:rsidR="00EC4C66" w:rsidRPr="00D20FCB">
        <w:rPr>
          <w:rFonts w:cstheme="minorHAnsi"/>
          <w:sz w:val="24"/>
        </w:rPr>
        <w:t>cent).</w:t>
      </w:r>
    </w:p>
    <w:p w:rsidR="002E6AD7" w:rsidRDefault="002E6AD7" w:rsidP="003A3D3A">
      <w:pPr>
        <w:pStyle w:val="RIESbriefreports"/>
        <w:spacing w:before="0"/>
      </w:pPr>
      <w:r>
        <w:br w:type="page"/>
      </w:r>
    </w:p>
    <w:p w:rsidR="003A3D3A" w:rsidRPr="00363BBE" w:rsidRDefault="005B042E" w:rsidP="003A3D3A">
      <w:pPr>
        <w:pStyle w:val="RIESbriefreports"/>
        <w:spacing w:before="0"/>
      </w:pPr>
      <w:bookmarkStart w:id="48" w:name="_Toc352917816"/>
      <w:r>
        <w:lastRenderedPageBreak/>
        <w:t xml:space="preserve">Job </w:t>
      </w:r>
      <w:r w:rsidR="003A3D3A" w:rsidRPr="00363BBE">
        <w:t>Opportunities</w:t>
      </w:r>
      <w:bookmarkEnd w:id="48"/>
    </w:p>
    <w:p w:rsidR="00864419" w:rsidRPr="00D20FCB" w:rsidRDefault="008949CB" w:rsidP="00D20FCB">
      <w:pPr>
        <w:spacing w:after="0" w:line="240" w:lineRule="auto"/>
        <w:jc w:val="both"/>
        <w:rPr>
          <w:rFonts w:cstheme="minorHAnsi"/>
          <w:sz w:val="24"/>
        </w:rPr>
      </w:pPr>
      <w:r w:rsidRPr="00D20FCB">
        <w:rPr>
          <w:rFonts w:cstheme="minorHAnsi"/>
          <w:sz w:val="24"/>
        </w:rPr>
        <w:t xml:space="preserve">There are </w:t>
      </w:r>
      <w:r w:rsidR="00822A00" w:rsidRPr="00D20FCB">
        <w:rPr>
          <w:rFonts w:cstheme="minorHAnsi"/>
          <w:sz w:val="24"/>
        </w:rPr>
        <w:t>significant</w:t>
      </w:r>
      <w:r w:rsidR="009C28ED">
        <w:rPr>
          <w:rFonts w:cstheme="minorHAnsi"/>
          <w:sz w:val="24"/>
        </w:rPr>
        <w:t xml:space="preserve"> labour market challenges facing</w:t>
      </w:r>
      <w:r w:rsidRPr="00D20FCB">
        <w:rPr>
          <w:rFonts w:cstheme="minorHAnsi"/>
          <w:sz w:val="24"/>
        </w:rPr>
        <w:t xml:space="preserve"> job seekers in the </w:t>
      </w:r>
      <w:r w:rsidR="00822A00" w:rsidRPr="00D20FCB">
        <w:rPr>
          <w:rFonts w:cstheme="minorHAnsi"/>
          <w:sz w:val="24"/>
        </w:rPr>
        <w:t xml:space="preserve">Sydney West and Blue Mountains </w:t>
      </w:r>
      <w:r w:rsidRPr="00D20FCB">
        <w:rPr>
          <w:rFonts w:cstheme="minorHAnsi"/>
          <w:sz w:val="24"/>
        </w:rPr>
        <w:t xml:space="preserve">PEA, not least the high competition for vacancies. However, </w:t>
      </w:r>
      <w:r w:rsidR="00B37919" w:rsidRPr="00D20FCB">
        <w:rPr>
          <w:rFonts w:cstheme="minorHAnsi"/>
          <w:sz w:val="24"/>
        </w:rPr>
        <w:t>the PEA is part of the largest and most diverse labour market in Australia providing many job opportunities</w:t>
      </w:r>
      <w:r w:rsidR="009C28ED">
        <w:rPr>
          <w:rFonts w:cstheme="minorHAnsi"/>
          <w:sz w:val="24"/>
        </w:rPr>
        <w:t xml:space="preserve"> in the broader region</w:t>
      </w:r>
      <w:r w:rsidR="00B37919" w:rsidRPr="00D20FCB">
        <w:rPr>
          <w:rFonts w:cstheme="minorHAnsi"/>
          <w:sz w:val="24"/>
        </w:rPr>
        <w:t>.</w:t>
      </w:r>
    </w:p>
    <w:p w:rsidR="007A1BF4" w:rsidRDefault="007A1BF4" w:rsidP="008878B5">
      <w:pPr>
        <w:pStyle w:val="ListParagraph"/>
        <w:numPr>
          <w:ilvl w:val="0"/>
          <w:numId w:val="14"/>
        </w:numPr>
        <w:spacing w:after="120" w:line="240" w:lineRule="auto"/>
        <w:ind w:left="425" w:hanging="425"/>
        <w:jc w:val="both"/>
        <w:rPr>
          <w:rFonts w:cstheme="minorHAnsi"/>
          <w:sz w:val="24"/>
        </w:rPr>
      </w:pPr>
      <w:r>
        <w:rPr>
          <w:rFonts w:cstheme="minorHAnsi"/>
          <w:sz w:val="24"/>
        </w:rPr>
        <w:t>Job seekers should be aware of opportunities within the PEA in high recruiting industries such as Health Care and Social Assistance and Accommodation and Food Services</w:t>
      </w:r>
      <w:r w:rsidRPr="007D7B8F">
        <w:rPr>
          <w:rFonts w:cstheme="minorHAnsi"/>
          <w:sz w:val="24"/>
        </w:rPr>
        <w:t>.</w:t>
      </w:r>
    </w:p>
    <w:p w:rsidR="007A1BF4" w:rsidRPr="00D20FCB" w:rsidRDefault="00A40D94" w:rsidP="008878B5">
      <w:pPr>
        <w:spacing w:after="120" w:line="240" w:lineRule="auto"/>
        <w:jc w:val="both"/>
        <w:rPr>
          <w:rFonts w:cstheme="minorHAnsi"/>
          <w:sz w:val="24"/>
        </w:rPr>
      </w:pPr>
      <w:r w:rsidRPr="00D20FCB">
        <w:rPr>
          <w:rFonts w:cstheme="minorHAnsi"/>
          <w:sz w:val="24"/>
        </w:rPr>
        <w:t xml:space="preserve">Employers have emphasised, given the competition for vacancies, the need for job seekers to have relevant skills or experience to be </w:t>
      </w:r>
      <w:r w:rsidR="00477244">
        <w:rPr>
          <w:rFonts w:cstheme="minorHAnsi"/>
          <w:sz w:val="24"/>
        </w:rPr>
        <w:t xml:space="preserve">seriously </w:t>
      </w:r>
      <w:r w:rsidRPr="00D20FCB">
        <w:rPr>
          <w:rFonts w:cstheme="minorHAnsi"/>
          <w:sz w:val="24"/>
        </w:rPr>
        <w:t>considered for jobs. Job seekers should consider relevant work experience and undertake training where necessary to increase their chances of employment in many of the lower skilled occupations.</w:t>
      </w:r>
    </w:p>
    <w:p w:rsidR="00A40D94" w:rsidRPr="00D20FCB" w:rsidRDefault="008A2AF0" w:rsidP="002C5D14">
      <w:pPr>
        <w:spacing w:line="240" w:lineRule="auto"/>
        <w:jc w:val="both"/>
        <w:rPr>
          <w:rFonts w:cstheme="minorHAnsi"/>
          <w:sz w:val="24"/>
        </w:rPr>
      </w:pPr>
      <w:r w:rsidRPr="00D20FCB">
        <w:rPr>
          <w:rFonts w:cstheme="minorHAnsi"/>
          <w:sz w:val="24"/>
        </w:rPr>
        <w:t xml:space="preserve">Some </w:t>
      </w:r>
      <w:r w:rsidR="00A40D94" w:rsidRPr="00D20FCB">
        <w:rPr>
          <w:rFonts w:cstheme="minorHAnsi"/>
          <w:sz w:val="24"/>
        </w:rPr>
        <w:t>employers recruit</w:t>
      </w:r>
      <w:r w:rsidR="00B02320" w:rsidRPr="00D20FCB">
        <w:rPr>
          <w:rFonts w:cstheme="minorHAnsi"/>
          <w:sz w:val="24"/>
        </w:rPr>
        <w:t>ed</w:t>
      </w:r>
      <w:r w:rsidR="00A40D94" w:rsidRPr="00D20FCB">
        <w:rPr>
          <w:rFonts w:cstheme="minorHAnsi"/>
          <w:sz w:val="24"/>
        </w:rPr>
        <w:t xml:space="preserve"> for vacancies using informal </w:t>
      </w:r>
      <w:r w:rsidRPr="00D20FCB">
        <w:rPr>
          <w:rFonts w:cstheme="minorHAnsi"/>
          <w:sz w:val="24"/>
        </w:rPr>
        <w:t>methods</w:t>
      </w:r>
      <w:r w:rsidR="00A40D94" w:rsidRPr="00D20FCB">
        <w:rPr>
          <w:rFonts w:cstheme="minorHAnsi"/>
          <w:sz w:val="24"/>
        </w:rPr>
        <w:t xml:space="preserve"> only. Job seekers should use a variety of pro-active job search methods, such as approaching employers directly, </w:t>
      </w:r>
      <w:r w:rsidR="008D2141" w:rsidRPr="00D20FCB">
        <w:rPr>
          <w:rFonts w:cstheme="minorHAnsi"/>
          <w:sz w:val="24"/>
        </w:rPr>
        <w:t xml:space="preserve">to </w:t>
      </w:r>
      <w:r w:rsidR="00A40D94" w:rsidRPr="00D20FCB">
        <w:rPr>
          <w:rFonts w:cstheme="minorHAnsi"/>
          <w:sz w:val="24"/>
        </w:rPr>
        <w:t xml:space="preserve">tap into these vacancies </w:t>
      </w:r>
      <w:r w:rsidR="008D2141" w:rsidRPr="00D20FCB">
        <w:rPr>
          <w:rFonts w:cstheme="minorHAnsi"/>
          <w:sz w:val="24"/>
        </w:rPr>
        <w:t xml:space="preserve">as there </w:t>
      </w:r>
      <w:r w:rsidR="005605A3" w:rsidRPr="00D20FCB">
        <w:rPr>
          <w:rFonts w:cstheme="minorHAnsi"/>
          <w:sz w:val="24"/>
        </w:rPr>
        <w:t>is</w:t>
      </w:r>
      <w:r w:rsidR="008D2141" w:rsidRPr="00D20FCB">
        <w:rPr>
          <w:rFonts w:cstheme="minorHAnsi"/>
          <w:sz w:val="24"/>
        </w:rPr>
        <w:t xml:space="preserve"> significantly less competition for these vacancies.</w:t>
      </w:r>
      <w:r w:rsidR="00A40D94" w:rsidRPr="00D20FCB">
        <w:rPr>
          <w:rFonts w:cstheme="minorHAnsi"/>
          <w:sz w:val="24"/>
        </w:rPr>
        <w:t xml:space="preserve"> </w:t>
      </w:r>
    </w:p>
    <w:p w:rsidR="008A2AF0" w:rsidRPr="00D20FCB" w:rsidRDefault="00F63F5C" w:rsidP="00D20FCB">
      <w:pPr>
        <w:spacing w:after="0" w:line="240" w:lineRule="auto"/>
        <w:jc w:val="both"/>
        <w:rPr>
          <w:rFonts w:cstheme="minorHAnsi"/>
          <w:sz w:val="24"/>
        </w:rPr>
      </w:pPr>
      <w:r w:rsidRPr="00D20FCB">
        <w:rPr>
          <w:rFonts w:cstheme="minorHAnsi"/>
          <w:sz w:val="24"/>
        </w:rPr>
        <w:t xml:space="preserve">Employers reported a number of occupations as being difficult to fill, such as </w:t>
      </w:r>
      <w:r w:rsidR="00B02320" w:rsidRPr="00D20FCB">
        <w:rPr>
          <w:rFonts w:cstheme="minorHAnsi"/>
          <w:sz w:val="24"/>
        </w:rPr>
        <w:t xml:space="preserve">Early Childhood (pre-Primary School) Teachers, </w:t>
      </w:r>
      <w:r w:rsidRPr="00D20FCB">
        <w:rPr>
          <w:rFonts w:cstheme="minorHAnsi"/>
          <w:sz w:val="24"/>
        </w:rPr>
        <w:t>C</w:t>
      </w:r>
      <w:r w:rsidR="007A1BF4" w:rsidRPr="00D20FCB">
        <w:rPr>
          <w:rFonts w:cstheme="minorHAnsi"/>
          <w:sz w:val="24"/>
        </w:rPr>
        <w:t>hefs, Structural Steel and Welding Trades Workers</w:t>
      </w:r>
      <w:r w:rsidRPr="00D20FCB">
        <w:rPr>
          <w:rFonts w:cstheme="minorHAnsi"/>
          <w:sz w:val="24"/>
        </w:rPr>
        <w:t>,</w:t>
      </w:r>
      <w:r w:rsidR="007A1BF4" w:rsidRPr="00D20FCB">
        <w:rPr>
          <w:rFonts w:cstheme="minorHAnsi"/>
          <w:sz w:val="24"/>
        </w:rPr>
        <w:t xml:space="preserve"> Waiters</w:t>
      </w:r>
      <w:r w:rsidR="00B02320" w:rsidRPr="00D20FCB">
        <w:rPr>
          <w:rFonts w:cstheme="minorHAnsi"/>
          <w:sz w:val="24"/>
        </w:rPr>
        <w:t>, Receptionists</w:t>
      </w:r>
      <w:r w:rsidR="007A1BF4" w:rsidRPr="00D20FCB">
        <w:rPr>
          <w:rFonts w:cstheme="minorHAnsi"/>
          <w:sz w:val="24"/>
        </w:rPr>
        <w:t xml:space="preserve"> and Truck Drivers. </w:t>
      </w:r>
    </w:p>
    <w:p w:rsidR="00906715" w:rsidRPr="00173C22" w:rsidRDefault="00F63F5C" w:rsidP="00173C22">
      <w:pPr>
        <w:pStyle w:val="ListParagraph"/>
        <w:numPr>
          <w:ilvl w:val="0"/>
          <w:numId w:val="15"/>
        </w:numPr>
        <w:spacing w:line="240" w:lineRule="auto"/>
        <w:ind w:left="425" w:hanging="425"/>
        <w:jc w:val="both"/>
        <w:rPr>
          <w:rFonts w:eastAsiaTheme="majorEastAsia" w:cstheme="minorHAnsi"/>
          <w:b/>
          <w:bCs/>
          <w:color w:val="365F91" w:themeColor="accent1" w:themeShade="BF"/>
          <w:sz w:val="24"/>
          <w:szCs w:val="28"/>
        </w:rPr>
      </w:pPr>
      <w:r w:rsidRPr="00173C22">
        <w:rPr>
          <w:rFonts w:cstheme="minorHAnsi"/>
          <w:sz w:val="24"/>
        </w:rPr>
        <w:t>Additional opportunities exist in occupations that employers anticipated recruiting for in the 12 months following the survey</w:t>
      </w:r>
      <w:r w:rsidR="00B02320" w:rsidRPr="00173C22">
        <w:rPr>
          <w:rFonts w:cstheme="minorHAnsi"/>
          <w:sz w:val="24"/>
        </w:rPr>
        <w:t xml:space="preserve"> (</w:t>
      </w:r>
      <w:r w:rsidRPr="00173C22">
        <w:rPr>
          <w:rFonts w:cstheme="minorHAnsi"/>
          <w:sz w:val="24"/>
        </w:rPr>
        <w:t>many of which were mentioned</w:t>
      </w:r>
      <w:r w:rsidR="00B02320" w:rsidRPr="00173C22">
        <w:rPr>
          <w:rFonts w:cstheme="minorHAnsi"/>
          <w:sz w:val="24"/>
        </w:rPr>
        <w:t xml:space="preserve"> above), including</w:t>
      </w:r>
      <w:r w:rsidRPr="00173C22">
        <w:rPr>
          <w:rFonts w:cstheme="minorHAnsi"/>
          <w:sz w:val="24"/>
        </w:rPr>
        <w:t xml:space="preserve"> </w:t>
      </w:r>
      <w:r w:rsidR="00B02320" w:rsidRPr="00173C22">
        <w:rPr>
          <w:rFonts w:cstheme="minorHAnsi"/>
          <w:sz w:val="24"/>
        </w:rPr>
        <w:t xml:space="preserve">Registered Nurses, Café Workers, Sales Assistants (General) and </w:t>
      </w:r>
      <w:proofErr w:type="spellStart"/>
      <w:r w:rsidR="00B02320" w:rsidRPr="00173C22">
        <w:rPr>
          <w:rFonts w:cstheme="minorHAnsi"/>
          <w:sz w:val="24"/>
        </w:rPr>
        <w:t>Storepersons</w:t>
      </w:r>
      <w:proofErr w:type="spellEnd"/>
      <w:r w:rsidRPr="00173C22">
        <w:rPr>
          <w:rFonts w:cstheme="minorHAnsi"/>
          <w:sz w:val="24"/>
        </w:rPr>
        <w:t xml:space="preserve">. </w:t>
      </w:r>
      <w:bookmarkStart w:id="49" w:name="_Toc342900528"/>
    </w:p>
    <w:p w:rsidR="00F63F5C" w:rsidRPr="00367670" w:rsidRDefault="00F63F5C" w:rsidP="00F63F5C">
      <w:pPr>
        <w:pStyle w:val="RIESbriefreports"/>
        <w:spacing w:before="0"/>
      </w:pPr>
      <w:bookmarkStart w:id="50" w:name="_Toc352917817"/>
      <w:r w:rsidRPr="00367670">
        <w:t>More Information</w:t>
      </w:r>
      <w:bookmarkEnd w:id="49"/>
      <w:bookmarkEnd w:id="50"/>
    </w:p>
    <w:p w:rsidR="00F63F5C" w:rsidRPr="003C608D" w:rsidRDefault="00F63F5C" w:rsidP="00F63F5C">
      <w:pPr>
        <w:spacing w:after="0"/>
        <w:rPr>
          <w:rStyle w:val="Hyperlink"/>
          <w:rFonts w:cstheme="minorHAnsi"/>
          <w:b/>
          <w:color w:val="00529C"/>
          <w:sz w:val="24"/>
        </w:rPr>
      </w:pPr>
      <w:r w:rsidRPr="003C608D">
        <w:rPr>
          <w:rFonts w:cstheme="minorHAnsi"/>
          <w:color w:val="000000" w:themeColor="text1"/>
          <w:sz w:val="24"/>
        </w:rPr>
        <w:t>Survey of Employers’ Recruitment Experiences:</w:t>
      </w:r>
      <w:r>
        <w:rPr>
          <w:rFonts w:cstheme="minorHAnsi"/>
          <w:b/>
          <w:color w:val="00529C"/>
          <w:sz w:val="24"/>
        </w:rPr>
        <w:t xml:space="preserve"> </w:t>
      </w:r>
      <w:hyperlink r:id="rId22" w:history="1">
        <w:r w:rsidRPr="003C608D">
          <w:rPr>
            <w:rStyle w:val="Hyperlink"/>
            <w:rFonts w:cstheme="minorHAnsi"/>
            <w:b/>
            <w:color w:val="00529C"/>
            <w:sz w:val="24"/>
          </w:rPr>
          <w:t>www.deewr.gov.au/regionalreports</w:t>
        </w:r>
      </w:hyperlink>
    </w:p>
    <w:p w:rsidR="00F63F5C" w:rsidRPr="003C608D" w:rsidRDefault="00F63F5C" w:rsidP="00F63F5C">
      <w:pPr>
        <w:spacing w:after="0"/>
        <w:rPr>
          <w:rFonts w:cstheme="minorHAnsi"/>
          <w:b/>
          <w:color w:val="00529C"/>
          <w:sz w:val="24"/>
        </w:rPr>
      </w:pPr>
      <w:r w:rsidRPr="003C608D">
        <w:rPr>
          <w:rFonts w:cstheme="minorHAnsi"/>
          <w:color w:val="000000" w:themeColor="text1"/>
          <w:sz w:val="24"/>
        </w:rPr>
        <w:t>Labour Market Information Portal:</w:t>
      </w:r>
      <w:r w:rsidRPr="003C608D">
        <w:rPr>
          <w:rFonts w:cstheme="minorHAnsi"/>
          <w:b/>
          <w:color w:val="00529C"/>
          <w:sz w:val="24"/>
        </w:rPr>
        <w:t xml:space="preserve"> </w:t>
      </w:r>
      <w:hyperlink r:id="rId23" w:history="1">
        <w:r w:rsidRPr="003C608D">
          <w:rPr>
            <w:rStyle w:val="Hyperlink"/>
            <w:rFonts w:cstheme="minorHAnsi"/>
            <w:b/>
            <w:color w:val="00529C"/>
            <w:sz w:val="24"/>
          </w:rPr>
          <w:t>www.deewr.gov.au/lmip</w:t>
        </w:r>
      </w:hyperlink>
    </w:p>
    <w:p w:rsidR="00F63F5C" w:rsidRPr="003C608D" w:rsidRDefault="00F63F5C" w:rsidP="00F63F5C">
      <w:pPr>
        <w:spacing w:after="0"/>
        <w:rPr>
          <w:rStyle w:val="Hyperlink"/>
          <w:rFonts w:cstheme="minorHAnsi"/>
          <w:b/>
          <w:color w:val="00529C"/>
          <w:sz w:val="24"/>
        </w:rPr>
      </w:pPr>
      <w:r w:rsidRPr="003C608D">
        <w:rPr>
          <w:rFonts w:cstheme="minorHAnsi"/>
          <w:color w:val="000000" w:themeColor="text1"/>
          <w:sz w:val="24"/>
        </w:rPr>
        <w:t>Skill Shortages</w:t>
      </w:r>
      <w:r w:rsidRPr="00A53A0F">
        <w:rPr>
          <w:rStyle w:val="Hyperlink"/>
          <w:b/>
          <w:color w:val="00529C"/>
        </w:rPr>
        <w:t>:</w:t>
      </w:r>
      <w:r w:rsidRPr="00A53A0F">
        <w:rPr>
          <w:rStyle w:val="Hyperlink"/>
          <w:color w:val="00529C"/>
        </w:rPr>
        <w:t xml:space="preserve"> </w:t>
      </w:r>
      <w:hyperlink r:id="rId24" w:history="1">
        <w:r w:rsidR="00A53A0F" w:rsidRPr="00A53A0F">
          <w:rPr>
            <w:rStyle w:val="Hyperlink"/>
            <w:rFonts w:cstheme="minorHAnsi"/>
            <w:b/>
            <w:color w:val="00529C"/>
            <w:sz w:val="24"/>
          </w:rPr>
          <w:t>www.deewr.gov.au/skillshortages</w:t>
        </w:r>
      </w:hyperlink>
      <w:r w:rsidR="00A53A0F">
        <w:rPr>
          <w:rStyle w:val="Hyperlink"/>
          <w:rFonts w:cstheme="minorHAnsi"/>
          <w:b/>
          <w:color w:val="00529C"/>
          <w:sz w:val="24"/>
        </w:rPr>
        <w:t xml:space="preserve"> </w:t>
      </w:r>
    </w:p>
    <w:p w:rsidR="00F63F5C" w:rsidRPr="003C608D" w:rsidRDefault="00F63F5C" w:rsidP="00F63F5C">
      <w:pPr>
        <w:spacing w:after="0"/>
        <w:rPr>
          <w:rStyle w:val="Hyperlink"/>
          <w:rFonts w:cstheme="minorHAnsi"/>
          <w:b/>
          <w:color w:val="00529C"/>
          <w:sz w:val="24"/>
        </w:rPr>
      </w:pPr>
      <w:r w:rsidRPr="003C608D">
        <w:rPr>
          <w:rFonts w:cstheme="minorHAnsi"/>
          <w:color w:val="000000" w:themeColor="text1"/>
          <w:sz w:val="24"/>
        </w:rPr>
        <w:t>Job Outlook:</w:t>
      </w:r>
      <w:r w:rsidRPr="003C608D">
        <w:rPr>
          <w:rFonts w:cstheme="minorHAnsi"/>
          <w:b/>
          <w:color w:val="00529C"/>
          <w:sz w:val="24"/>
        </w:rPr>
        <w:t xml:space="preserve"> </w:t>
      </w:r>
      <w:hyperlink r:id="rId25" w:history="1">
        <w:r w:rsidRPr="003C608D">
          <w:rPr>
            <w:rStyle w:val="Hyperlink"/>
            <w:rFonts w:cstheme="minorHAnsi"/>
            <w:b/>
            <w:color w:val="00529C"/>
            <w:sz w:val="24"/>
          </w:rPr>
          <w:t>www.joboutlook.deewr.gov.au</w:t>
        </w:r>
      </w:hyperlink>
    </w:p>
    <w:p w:rsidR="00F63F5C" w:rsidRPr="003C608D" w:rsidRDefault="00F63F5C" w:rsidP="00F63F5C">
      <w:pPr>
        <w:spacing w:after="0"/>
        <w:rPr>
          <w:rFonts w:cstheme="minorHAnsi"/>
          <w:b/>
          <w:color w:val="00529C"/>
          <w:sz w:val="24"/>
        </w:rPr>
      </w:pPr>
      <w:proofErr w:type="spellStart"/>
      <w:r w:rsidRPr="003C608D">
        <w:rPr>
          <w:rFonts w:cstheme="minorHAnsi"/>
          <w:color w:val="000000" w:themeColor="text1"/>
          <w:sz w:val="24"/>
        </w:rPr>
        <w:t>SkillsInfo</w:t>
      </w:r>
      <w:proofErr w:type="spellEnd"/>
      <w:r w:rsidRPr="003C608D">
        <w:rPr>
          <w:rFonts w:cstheme="minorHAnsi"/>
          <w:color w:val="000000" w:themeColor="text1"/>
          <w:sz w:val="24"/>
        </w:rPr>
        <w:t>:</w:t>
      </w:r>
      <w:r w:rsidRPr="003C608D">
        <w:rPr>
          <w:rFonts w:cstheme="minorHAnsi"/>
          <w:b/>
          <w:color w:val="00529C"/>
          <w:sz w:val="24"/>
        </w:rPr>
        <w:t xml:space="preserve"> </w:t>
      </w:r>
      <w:hyperlink r:id="rId26" w:history="1">
        <w:r w:rsidRPr="003C608D">
          <w:rPr>
            <w:rStyle w:val="Hyperlink"/>
            <w:rFonts w:cstheme="minorHAnsi"/>
            <w:b/>
            <w:color w:val="00529C"/>
            <w:sz w:val="24"/>
          </w:rPr>
          <w:t>www.skillsinfo.gov.au</w:t>
        </w:r>
      </w:hyperlink>
    </w:p>
    <w:p w:rsidR="00F63F5C" w:rsidRPr="003C608D" w:rsidRDefault="00F63F5C" w:rsidP="00F63F5C">
      <w:pPr>
        <w:spacing w:after="0"/>
        <w:rPr>
          <w:rFonts w:cstheme="minorHAnsi"/>
          <w:b/>
          <w:color w:val="00529C"/>
          <w:sz w:val="24"/>
        </w:rPr>
      </w:pPr>
      <w:r w:rsidRPr="003C608D">
        <w:rPr>
          <w:rFonts w:cstheme="minorHAnsi"/>
          <w:color w:val="000000" w:themeColor="text1"/>
          <w:sz w:val="24"/>
        </w:rPr>
        <w:t>Australian Jobs:</w:t>
      </w:r>
      <w:r w:rsidRPr="003C608D">
        <w:rPr>
          <w:rFonts w:cstheme="minorHAnsi"/>
          <w:b/>
          <w:color w:val="00529C"/>
          <w:sz w:val="24"/>
        </w:rPr>
        <w:t xml:space="preserve"> </w:t>
      </w:r>
      <w:hyperlink r:id="rId27" w:history="1">
        <w:r w:rsidRPr="003C608D">
          <w:rPr>
            <w:rStyle w:val="Hyperlink"/>
            <w:rFonts w:cstheme="minorHAnsi"/>
            <w:b/>
            <w:color w:val="00529C"/>
            <w:sz w:val="24"/>
          </w:rPr>
          <w:t>www.deewr.gov.au/australianjobs</w:t>
        </w:r>
      </w:hyperlink>
    </w:p>
    <w:p w:rsidR="00F63F5C" w:rsidRDefault="00F63F5C" w:rsidP="006704B3">
      <w:pPr>
        <w:spacing w:after="120" w:line="240" w:lineRule="auto"/>
        <w:jc w:val="both"/>
        <w:rPr>
          <w:rFonts w:cstheme="minorHAnsi"/>
          <w:sz w:val="24"/>
        </w:rPr>
      </w:pPr>
    </w:p>
    <w:p w:rsidR="006704B3" w:rsidRDefault="006704B3" w:rsidP="006704B3">
      <w:pPr>
        <w:spacing w:after="120" w:line="240" w:lineRule="auto"/>
        <w:jc w:val="both"/>
        <w:rPr>
          <w:rFonts w:cstheme="minorHAnsi"/>
          <w:sz w:val="24"/>
        </w:rPr>
      </w:pPr>
    </w:p>
    <w:p w:rsidR="006704B3" w:rsidRPr="006704B3" w:rsidRDefault="006704B3" w:rsidP="006704B3">
      <w:pPr>
        <w:spacing w:after="120" w:line="240" w:lineRule="auto"/>
        <w:jc w:val="both"/>
        <w:rPr>
          <w:rFonts w:cstheme="minorHAnsi"/>
          <w:sz w:val="24"/>
        </w:rPr>
      </w:pPr>
    </w:p>
    <w:sectPr w:rsidR="006704B3" w:rsidRPr="006704B3" w:rsidSect="000F7B9B">
      <w:headerReference w:type="default" r:id="rId28"/>
      <w:pgSz w:w="11906" w:h="16838" w:code="9"/>
      <w:pgMar w:top="1134" w:right="1134" w:bottom="1134" w:left="1134" w:header="567" w:footer="113"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D3A" w:rsidRDefault="003A3D3A" w:rsidP="003A3D3A">
      <w:pPr>
        <w:spacing w:after="0" w:line="240" w:lineRule="auto"/>
      </w:pPr>
      <w:r>
        <w:separator/>
      </w:r>
    </w:p>
  </w:endnote>
  <w:endnote w:type="continuationSeparator" w:id="0">
    <w:p w:rsidR="003A3D3A" w:rsidRDefault="003A3D3A" w:rsidP="003A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729051"/>
      <w:docPartObj>
        <w:docPartGallery w:val="Page Numbers (Bottom of Page)"/>
        <w:docPartUnique/>
      </w:docPartObj>
    </w:sdtPr>
    <w:sdtEndPr/>
    <w:sdtContent>
      <w:p w:rsidR="000E0335" w:rsidRDefault="000E0335" w:rsidP="009557F3">
        <w:pPr>
          <w:pStyle w:val="Footer"/>
          <w:pBdr>
            <w:top w:val="single" w:sz="4" w:space="1" w:color="auto"/>
          </w:pBdr>
        </w:pPr>
        <w:r>
          <w:t>Labour Market Research and Analysis Branch</w:t>
        </w:r>
      </w:p>
      <w:p w:rsidR="00C30676" w:rsidRDefault="00001859" w:rsidP="00C30676">
        <w:pPr>
          <w:pStyle w:val="Footer"/>
          <w:rPr>
            <w:noProof/>
          </w:rPr>
        </w:pPr>
        <w:r>
          <w:t>April</w:t>
        </w:r>
        <w:r w:rsidR="000E0335">
          <w:t xml:space="preserve"> 2013</w:t>
        </w:r>
        <w:r w:rsidR="000E0335">
          <w:ptab w:relativeTo="margin" w:alignment="right" w:leader="none"/>
        </w:r>
        <w:r w:rsidR="000E0335">
          <w:t xml:space="preserve"> </w:t>
        </w:r>
        <w:r w:rsidR="000E0335">
          <w:fldChar w:fldCharType="begin"/>
        </w:r>
        <w:r w:rsidR="000E0335">
          <w:instrText xml:space="preserve"> PAGE </w:instrText>
        </w:r>
        <w:r w:rsidR="000E0335">
          <w:fldChar w:fldCharType="separate"/>
        </w:r>
        <w:r w:rsidR="00411372">
          <w:rPr>
            <w:noProof/>
          </w:rPr>
          <w:t>4</w:t>
        </w:r>
        <w:r w:rsidR="000E0335">
          <w:rPr>
            <w:noProof/>
          </w:rPr>
          <w:fldChar w:fldCharType="end"/>
        </w:r>
      </w:p>
      <w:p w:rsidR="000E0335" w:rsidRDefault="00411372" w:rsidP="00C30676">
        <w:pPr>
          <w:pStyle w:val="Footer"/>
        </w:pPr>
      </w:p>
    </w:sdtContent>
  </w:sdt>
  <w:p w:rsidR="000E0335" w:rsidRDefault="000E03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468412"/>
      <w:docPartObj>
        <w:docPartGallery w:val="Page Numbers (Bottom of Page)"/>
        <w:docPartUnique/>
      </w:docPartObj>
    </w:sdtPr>
    <w:sdtEndPr/>
    <w:sdtContent>
      <w:p w:rsidR="000E0335" w:rsidRDefault="000E0335" w:rsidP="009557F3">
        <w:pPr>
          <w:pStyle w:val="Footer"/>
          <w:pBdr>
            <w:top w:val="single" w:sz="4" w:space="1" w:color="auto"/>
          </w:pBdr>
        </w:pPr>
        <w:r>
          <w:t>Labour Market Research and Analysis Branch</w:t>
        </w:r>
      </w:p>
      <w:p w:rsidR="000E0335" w:rsidRPr="00B32455" w:rsidRDefault="00AC25D8" w:rsidP="009557F3">
        <w:pPr>
          <w:pStyle w:val="Footer"/>
        </w:pPr>
        <w:r>
          <w:t>April</w:t>
        </w:r>
        <w:r w:rsidR="000E0335">
          <w:t xml:space="preserve"> 2013</w:t>
        </w:r>
        <w:r w:rsidR="000E0335">
          <w:ptab w:relativeTo="margin" w:alignment="right" w:leader="none"/>
        </w:r>
        <w:r w:rsidR="000E0335">
          <w:t xml:space="preserve"> </w:t>
        </w:r>
        <w:r w:rsidR="000E0335">
          <w:fldChar w:fldCharType="begin"/>
        </w:r>
        <w:r w:rsidR="000E0335">
          <w:instrText xml:space="preserve"> PAGE </w:instrText>
        </w:r>
        <w:r w:rsidR="000E0335">
          <w:fldChar w:fldCharType="separate"/>
        </w:r>
        <w:r w:rsidR="00411372">
          <w:rPr>
            <w:noProof/>
          </w:rPr>
          <w:t>ii</w:t>
        </w:r>
        <w:r w:rsidR="000E0335">
          <w:rPr>
            <w:noProof/>
          </w:rPr>
          <w:fldChar w:fldCharType="end"/>
        </w:r>
      </w:p>
      <w:p w:rsidR="000E0335" w:rsidRDefault="00411372" w:rsidP="00C571AA">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D3A" w:rsidRDefault="003A3D3A" w:rsidP="003A3D3A">
      <w:pPr>
        <w:spacing w:after="0" w:line="240" w:lineRule="auto"/>
      </w:pPr>
      <w:r>
        <w:separator/>
      </w:r>
    </w:p>
  </w:footnote>
  <w:footnote w:type="continuationSeparator" w:id="0">
    <w:p w:rsidR="003A3D3A" w:rsidRDefault="003A3D3A" w:rsidP="003A3D3A">
      <w:pPr>
        <w:spacing w:after="0" w:line="240" w:lineRule="auto"/>
      </w:pPr>
      <w:r>
        <w:continuationSeparator/>
      </w:r>
    </w:p>
  </w:footnote>
  <w:footnote w:id="1">
    <w:p w:rsidR="00AC5A9E" w:rsidRPr="001A2474" w:rsidRDefault="00AC5A9E">
      <w:pPr>
        <w:pStyle w:val="FootnoteText"/>
        <w:rPr>
          <w:sz w:val="18"/>
          <w:szCs w:val="18"/>
        </w:rPr>
      </w:pPr>
      <w:r w:rsidRPr="001A2474">
        <w:rPr>
          <w:rStyle w:val="FootnoteReference"/>
          <w:sz w:val="18"/>
          <w:szCs w:val="18"/>
        </w:rPr>
        <w:footnoteRef/>
      </w:r>
      <w:r w:rsidRPr="001A2474">
        <w:rPr>
          <w:sz w:val="18"/>
          <w:szCs w:val="18"/>
        </w:rPr>
        <w:t xml:space="preserve"> </w:t>
      </w:r>
      <w:r w:rsidR="0061367A" w:rsidRPr="001A2474">
        <w:rPr>
          <w:sz w:val="18"/>
          <w:szCs w:val="18"/>
        </w:rPr>
        <w:t xml:space="preserve">ABS, </w:t>
      </w:r>
      <w:r w:rsidR="0061367A" w:rsidRPr="001A2474">
        <w:rPr>
          <w:i/>
          <w:sz w:val="18"/>
          <w:szCs w:val="18"/>
        </w:rPr>
        <w:t xml:space="preserve">Population Estimates by Age and Sex, </w:t>
      </w:r>
      <w:r w:rsidR="0061367A" w:rsidRPr="001A2474">
        <w:rPr>
          <w:sz w:val="18"/>
          <w:szCs w:val="18"/>
        </w:rPr>
        <w:t xml:space="preserve">cat. </w:t>
      </w:r>
      <w:proofErr w:type="gramStart"/>
      <w:r w:rsidR="0061367A" w:rsidRPr="001A2474">
        <w:rPr>
          <w:sz w:val="18"/>
          <w:szCs w:val="18"/>
        </w:rPr>
        <w:t>no</w:t>
      </w:r>
      <w:proofErr w:type="gramEnd"/>
      <w:r w:rsidR="0061367A" w:rsidRPr="001A2474">
        <w:rPr>
          <w:sz w:val="18"/>
          <w:szCs w:val="18"/>
        </w:rPr>
        <w:t>. 3235.0, 2006 and 2011.</w:t>
      </w:r>
    </w:p>
  </w:footnote>
  <w:footnote w:id="2">
    <w:p w:rsidR="00B023D6" w:rsidRPr="001A2474" w:rsidRDefault="00B023D6" w:rsidP="00B023D6">
      <w:pPr>
        <w:pStyle w:val="FootnoteText"/>
        <w:rPr>
          <w:sz w:val="18"/>
          <w:szCs w:val="18"/>
        </w:rPr>
      </w:pPr>
      <w:r w:rsidRPr="001A2474">
        <w:rPr>
          <w:rStyle w:val="FootnoteReference"/>
          <w:sz w:val="18"/>
          <w:szCs w:val="18"/>
        </w:rPr>
        <w:footnoteRef/>
      </w:r>
      <w:r w:rsidRPr="001A2474">
        <w:rPr>
          <w:sz w:val="18"/>
          <w:szCs w:val="18"/>
        </w:rPr>
        <w:t xml:space="preserve"> </w:t>
      </w:r>
      <w:proofErr w:type="gramStart"/>
      <w:r w:rsidRPr="001A2474">
        <w:rPr>
          <w:sz w:val="18"/>
          <w:szCs w:val="18"/>
        </w:rPr>
        <w:t xml:space="preserve">ABS, </w:t>
      </w:r>
      <w:r w:rsidRPr="001A2474">
        <w:rPr>
          <w:i/>
          <w:sz w:val="18"/>
          <w:szCs w:val="18"/>
        </w:rPr>
        <w:t xml:space="preserve">Labour Force, </w:t>
      </w:r>
      <w:r>
        <w:rPr>
          <w:i/>
          <w:sz w:val="18"/>
          <w:szCs w:val="18"/>
        </w:rPr>
        <w:t>Australia</w:t>
      </w:r>
      <w:r w:rsidRPr="001A2474">
        <w:rPr>
          <w:sz w:val="18"/>
          <w:szCs w:val="18"/>
        </w:rPr>
        <w:t xml:space="preserve">, </w:t>
      </w:r>
      <w:r>
        <w:rPr>
          <w:sz w:val="18"/>
          <w:szCs w:val="18"/>
        </w:rPr>
        <w:t>February</w:t>
      </w:r>
      <w:r w:rsidRPr="001A2474">
        <w:rPr>
          <w:sz w:val="18"/>
          <w:szCs w:val="18"/>
        </w:rPr>
        <w:t xml:space="preserve"> 2013</w:t>
      </w:r>
      <w:r>
        <w:rPr>
          <w:sz w:val="18"/>
          <w:szCs w:val="18"/>
        </w:rPr>
        <w:t xml:space="preserve"> (</w:t>
      </w:r>
      <w:r w:rsidRPr="001A2474">
        <w:rPr>
          <w:sz w:val="18"/>
          <w:szCs w:val="18"/>
        </w:rPr>
        <w:t>cat. no. 6291.0.55.001</w:t>
      </w:r>
      <w:r>
        <w:rPr>
          <w:sz w:val="18"/>
          <w:szCs w:val="18"/>
        </w:rPr>
        <w:t>), 12 month average of original data</w:t>
      </w:r>
      <w:r w:rsidR="00E61140">
        <w:rPr>
          <w:sz w:val="18"/>
          <w:szCs w:val="18"/>
        </w:rPr>
        <w:t>.</w:t>
      </w:r>
      <w:proofErr w:type="gramEnd"/>
    </w:p>
  </w:footnote>
  <w:footnote w:id="3">
    <w:p w:rsidR="00F220F1" w:rsidRPr="001A2474" w:rsidRDefault="00F220F1" w:rsidP="00F220F1">
      <w:pPr>
        <w:pStyle w:val="FootnoteText"/>
        <w:rPr>
          <w:sz w:val="18"/>
          <w:szCs w:val="18"/>
        </w:rPr>
      </w:pPr>
      <w:r w:rsidRPr="001A2474">
        <w:rPr>
          <w:rStyle w:val="FootnoteReference"/>
          <w:sz w:val="18"/>
          <w:szCs w:val="18"/>
        </w:rPr>
        <w:footnoteRef/>
      </w:r>
      <w:r w:rsidRPr="001A2474">
        <w:rPr>
          <w:sz w:val="18"/>
          <w:szCs w:val="18"/>
        </w:rPr>
        <w:t xml:space="preserve"> </w:t>
      </w:r>
      <w:r w:rsidR="00C72889" w:rsidRPr="001A2474">
        <w:rPr>
          <w:sz w:val="18"/>
          <w:szCs w:val="18"/>
        </w:rPr>
        <w:t xml:space="preserve">In </w:t>
      </w:r>
      <w:r w:rsidR="002929E5">
        <w:rPr>
          <w:sz w:val="18"/>
          <w:szCs w:val="18"/>
        </w:rPr>
        <w:t>December</w:t>
      </w:r>
      <w:r w:rsidR="00C72889" w:rsidRPr="001A2474">
        <w:rPr>
          <w:sz w:val="18"/>
          <w:szCs w:val="18"/>
        </w:rPr>
        <w:t xml:space="preserve"> 2012, the Blacktown</w:t>
      </w:r>
      <w:r w:rsidR="00FE320A" w:rsidRPr="001A2474">
        <w:rPr>
          <w:sz w:val="18"/>
          <w:szCs w:val="18"/>
        </w:rPr>
        <w:t xml:space="preserve"> (</w:t>
      </w:r>
      <w:r w:rsidR="00C72889" w:rsidRPr="001A2474">
        <w:rPr>
          <w:sz w:val="18"/>
          <w:szCs w:val="18"/>
        </w:rPr>
        <w:t>C) – South-West Statistical Local Area had an unemployment rate of 9.</w:t>
      </w:r>
      <w:r w:rsidR="002929E5">
        <w:rPr>
          <w:sz w:val="18"/>
          <w:szCs w:val="18"/>
        </w:rPr>
        <w:t>9</w:t>
      </w:r>
      <w:r w:rsidR="00FE320A" w:rsidRPr="001A2474">
        <w:rPr>
          <w:sz w:val="18"/>
          <w:szCs w:val="18"/>
        </w:rPr>
        <w:t xml:space="preserve"> per cent and the Parramatta (</w:t>
      </w:r>
      <w:r w:rsidR="00C72889" w:rsidRPr="001A2474">
        <w:rPr>
          <w:sz w:val="18"/>
          <w:szCs w:val="18"/>
        </w:rPr>
        <w:t>C) – South Statistical Local Area had an unemployment rate of 9.</w:t>
      </w:r>
      <w:r w:rsidR="002929E5">
        <w:rPr>
          <w:sz w:val="18"/>
          <w:szCs w:val="18"/>
        </w:rPr>
        <w:t>5</w:t>
      </w:r>
      <w:r w:rsidR="00C72889" w:rsidRPr="001A2474">
        <w:rPr>
          <w:sz w:val="18"/>
          <w:szCs w:val="18"/>
        </w:rPr>
        <w:t xml:space="preserve"> per cent. </w:t>
      </w:r>
      <w:proofErr w:type="gramStart"/>
      <w:r w:rsidRPr="001A2474">
        <w:rPr>
          <w:sz w:val="18"/>
          <w:szCs w:val="18"/>
        </w:rPr>
        <w:t xml:space="preserve">DEEWR, </w:t>
      </w:r>
      <w:r w:rsidR="003E75E5">
        <w:rPr>
          <w:i/>
          <w:sz w:val="18"/>
          <w:szCs w:val="18"/>
        </w:rPr>
        <w:t>Small Area Labour Markets.</w:t>
      </w:r>
      <w:proofErr w:type="gramEnd"/>
    </w:p>
  </w:footnote>
  <w:footnote w:id="4">
    <w:p w:rsidR="00DB1C0E" w:rsidRPr="00E001EC" w:rsidRDefault="00DB1C0E" w:rsidP="00DB1C0E">
      <w:pPr>
        <w:pStyle w:val="FootnoteText"/>
      </w:pPr>
      <w:r>
        <w:rPr>
          <w:rStyle w:val="FootnoteReference"/>
        </w:rPr>
        <w:footnoteRef/>
      </w:r>
      <w:r>
        <w:t xml:space="preserve"> </w:t>
      </w:r>
      <w:proofErr w:type="gramStart"/>
      <w:r w:rsidRPr="00A911A4">
        <w:rPr>
          <w:sz w:val="18"/>
          <w:szCs w:val="18"/>
        </w:rPr>
        <w:t xml:space="preserve">ABS, </w:t>
      </w:r>
      <w:r w:rsidRPr="00A911A4">
        <w:rPr>
          <w:i/>
          <w:sz w:val="18"/>
          <w:szCs w:val="18"/>
        </w:rPr>
        <w:t xml:space="preserve">Census of Population and Housing, </w:t>
      </w:r>
      <w:r w:rsidR="00B53846" w:rsidRPr="00B53846">
        <w:rPr>
          <w:sz w:val="18"/>
          <w:szCs w:val="18"/>
        </w:rPr>
        <w:t>2006 and</w:t>
      </w:r>
      <w:r w:rsidR="00B53846">
        <w:rPr>
          <w:i/>
          <w:sz w:val="18"/>
          <w:szCs w:val="18"/>
        </w:rPr>
        <w:t xml:space="preserve"> </w:t>
      </w:r>
      <w:r w:rsidRPr="00A911A4">
        <w:rPr>
          <w:sz w:val="18"/>
          <w:szCs w:val="18"/>
        </w:rPr>
        <w:t>2011.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335" w:rsidRPr="00F1256C" w:rsidRDefault="000E0335" w:rsidP="00F1256C">
    <w:pPr>
      <w:pStyle w:val="BodyText"/>
      <w:jc w:val="right"/>
      <w:rPr>
        <w:color w:val="808080" w:themeColor="background1" w:themeShade="80"/>
      </w:rPr>
    </w:pPr>
    <w:r>
      <w:rPr>
        <w:color w:val="808080" w:themeColor="background1" w:themeShade="80"/>
      </w:rPr>
      <w:t xml:space="preserve">Sydney West and Blue Mountains Priority Employment Area Report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76" w:rsidRPr="00F1256C" w:rsidRDefault="00C30676" w:rsidP="00F1256C">
    <w:pPr>
      <w:pStyle w:val="BodyText"/>
      <w:jc w:val="right"/>
      <w:rPr>
        <w:color w:val="808080" w:themeColor="background1" w:themeShade="80"/>
      </w:rPr>
    </w:pPr>
    <w:r>
      <w:rPr>
        <w:color w:val="808080" w:themeColor="background1" w:themeShade="80"/>
      </w:rPr>
      <w:t xml:space="preserve">Sydney West and Blue Mountains Priority Employment Area Report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71" w:rsidRPr="000E0335" w:rsidRDefault="00152C40" w:rsidP="00152C40">
    <w:pPr>
      <w:pStyle w:val="BodyText"/>
      <w:jc w:val="right"/>
      <w:rPr>
        <w:color w:val="808080" w:themeColor="background1" w:themeShade="80"/>
      </w:rPr>
    </w:pPr>
    <w:r>
      <w:rPr>
        <w:color w:val="808080" w:themeColor="background1" w:themeShade="80"/>
      </w:rPr>
      <w:t xml:space="preserve">Sydney West and Blue Mountains Priority Employment Area Report </w:t>
    </w:r>
    <w:r w:rsidR="000E0335">
      <w:rPr>
        <w:color w:val="808080" w:themeColor="background1" w:themeShade="80"/>
      </w:rPr>
      <w:t xml:space="preserve"> </w:t>
    </w:r>
    <w:r w:rsidR="00284E0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F8B"/>
    <w:multiLevelType w:val="hybridMultilevel"/>
    <w:tmpl w:val="F8264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631114"/>
    <w:multiLevelType w:val="hybridMultilevel"/>
    <w:tmpl w:val="B5FAB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nsid w:val="1A282FAF"/>
    <w:multiLevelType w:val="hybridMultilevel"/>
    <w:tmpl w:val="EDA6B7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1474AF8"/>
    <w:multiLevelType w:val="hybridMultilevel"/>
    <w:tmpl w:val="8A44DC0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6194C95"/>
    <w:multiLevelType w:val="hybridMultilevel"/>
    <w:tmpl w:val="09685EF4"/>
    <w:lvl w:ilvl="0" w:tplc="0C090001">
      <w:start w:val="1"/>
      <w:numFmt w:val="bullet"/>
      <w:lvlText w:val=""/>
      <w:lvlJc w:val="left"/>
      <w:pPr>
        <w:ind w:left="360" w:hanging="360"/>
      </w:pPr>
      <w:rPr>
        <w:rFonts w:ascii="Symbol" w:hAnsi="Symbol" w:hint="default"/>
      </w:rPr>
    </w:lvl>
    <w:lvl w:ilvl="1" w:tplc="4088193C">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EBD3A0E"/>
    <w:multiLevelType w:val="hybridMultilevel"/>
    <w:tmpl w:val="DE2E1D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EE1307B"/>
    <w:multiLevelType w:val="hybridMultilevel"/>
    <w:tmpl w:val="326CC7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F9C3C65"/>
    <w:multiLevelType w:val="hybridMultilevel"/>
    <w:tmpl w:val="72D0359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2162F5E"/>
    <w:multiLevelType w:val="hybridMultilevel"/>
    <w:tmpl w:val="6FD005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69E7D57"/>
    <w:multiLevelType w:val="hybridMultilevel"/>
    <w:tmpl w:val="CA4437B2"/>
    <w:lvl w:ilvl="0" w:tplc="0C090001">
      <w:start w:val="1"/>
      <w:numFmt w:val="bullet"/>
      <w:lvlText w:val=""/>
      <w:lvlJc w:val="left"/>
      <w:pPr>
        <w:ind w:left="360" w:hanging="360"/>
      </w:pPr>
      <w:rPr>
        <w:rFonts w:ascii="Symbol" w:hAnsi="Symbol" w:hint="default"/>
      </w:rPr>
    </w:lvl>
    <w:lvl w:ilvl="1" w:tplc="0636C2B6">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9A15C2B"/>
    <w:multiLevelType w:val="hybridMultilevel"/>
    <w:tmpl w:val="67905A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C924F4F"/>
    <w:multiLevelType w:val="hybridMultilevel"/>
    <w:tmpl w:val="B78E5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CB33EF0"/>
    <w:multiLevelType w:val="hybridMultilevel"/>
    <w:tmpl w:val="6840C7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3250B8A"/>
    <w:multiLevelType w:val="hybridMultilevel"/>
    <w:tmpl w:val="D4B6DF6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6C873D3"/>
    <w:multiLevelType w:val="hybridMultilevel"/>
    <w:tmpl w:val="65F2652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F8A72B2"/>
    <w:multiLevelType w:val="hybridMultilevel"/>
    <w:tmpl w:val="D07EF0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7E875DC"/>
    <w:multiLevelType w:val="hybridMultilevel"/>
    <w:tmpl w:val="FE7CA632"/>
    <w:lvl w:ilvl="0" w:tplc="0C090001">
      <w:start w:val="1"/>
      <w:numFmt w:val="bullet"/>
      <w:lvlText w:val=""/>
      <w:lvlJc w:val="left"/>
      <w:pPr>
        <w:ind w:left="360" w:hanging="360"/>
      </w:pPr>
      <w:rPr>
        <w:rFonts w:ascii="Symbol" w:hAnsi="Symbol" w:hint="default"/>
      </w:rPr>
    </w:lvl>
    <w:lvl w:ilvl="1" w:tplc="72EE9A58">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8A439DE"/>
    <w:multiLevelType w:val="hybridMultilevel"/>
    <w:tmpl w:val="65C6EEE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F6F34E5"/>
    <w:multiLevelType w:val="hybridMultilevel"/>
    <w:tmpl w:val="E0A829E0"/>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FA84765"/>
    <w:multiLevelType w:val="hybridMultilevel"/>
    <w:tmpl w:val="858A99D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B506FC4"/>
    <w:multiLevelType w:val="hybridMultilevel"/>
    <w:tmpl w:val="1EFE7E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6"/>
  </w:num>
  <w:num w:numId="3">
    <w:abstractNumId w:val="1"/>
  </w:num>
  <w:num w:numId="4">
    <w:abstractNumId w:val="3"/>
  </w:num>
  <w:num w:numId="5">
    <w:abstractNumId w:val="5"/>
  </w:num>
  <w:num w:numId="6">
    <w:abstractNumId w:val="17"/>
  </w:num>
  <w:num w:numId="7">
    <w:abstractNumId w:val="7"/>
  </w:num>
  <w:num w:numId="8">
    <w:abstractNumId w:val="11"/>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9"/>
  </w:num>
  <w:num w:numId="13">
    <w:abstractNumId w:val="15"/>
  </w:num>
  <w:num w:numId="14">
    <w:abstractNumId w:val="6"/>
  </w:num>
  <w:num w:numId="15">
    <w:abstractNumId w:val="12"/>
  </w:num>
  <w:num w:numId="16">
    <w:abstractNumId w:val="21"/>
  </w:num>
  <w:num w:numId="17">
    <w:abstractNumId w:val="13"/>
  </w:num>
  <w:num w:numId="18">
    <w:abstractNumId w:val="18"/>
  </w:num>
  <w:num w:numId="19">
    <w:abstractNumId w:val="20"/>
  </w:num>
  <w:num w:numId="20">
    <w:abstractNumId w:val="4"/>
  </w:num>
  <w:num w:numId="21">
    <w:abstractNumId w:val="14"/>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A3D3A"/>
    <w:rsid w:val="00001859"/>
    <w:rsid w:val="00004AD0"/>
    <w:rsid w:val="00022A9F"/>
    <w:rsid w:val="00072EBE"/>
    <w:rsid w:val="00073B20"/>
    <w:rsid w:val="00090132"/>
    <w:rsid w:val="000A0F54"/>
    <w:rsid w:val="000A475F"/>
    <w:rsid w:val="000B4752"/>
    <w:rsid w:val="000E0335"/>
    <w:rsid w:val="000E5972"/>
    <w:rsid w:val="000F7B9B"/>
    <w:rsid w:val="00100D0B"/>
    <w:rsid w:val="00112425"/>
    <w:rsid w:val="0013061C"/>
    <w:rsid w:val="00135BFC"/>
    <w:rsid w:val="00136E38"/>
    <w:rsid w:val="0014060C"/>
    <w:rsid w:val="00152C40"/>
    <w:rsid w:val="00170BB1"/>
    <w:rsid w:val="00173C22"/>
    <w:rsid w:val="00174A44"/>
    <w:rsid w:val="001801D4"/>
    <w:rsid w:val="00182914"/>
    <w:rsid w:val="00186633"/>
    <w:rsid w:val="001A101B"/>
    <w:rsid w:val="001A2474"/>
    <w:rsid w:val="001A285D"/>
    <w:rsid w:val="001C18DA"/>
    <w:rsid w:val="001E5ACA"/>
    <w:rsid w:val="002050E3"/>
    <w:rsid w:val="00277E3C"/>
    <w:rsid w:val="00284E0D"/>
    <w:rsid w:val="002929E5"/>
    <w:rsid w:val="00296641"/>
    <w:rsid w:val="002C0B28"/>
    <w:rsid w:val="002C5D14"/>
    <w:rsid w:val="002C67F5"/>
    <w:rsid w:val="002E6AD7"/>
    <w:rsid w:val="002E7EB4"/>
    <w:rsid w:val="00310770"/>
    <w:rsid w:val="00311CEE"/>
    <w:rsid w:val="003309E4"/>
    <w:rsid w:val="0034108C"/>
    <w:rsid w:val="0035664C"/>
    <w:rsid w:val="00363BBE"/>
    <w:rsid w:val="00377621"/>
    <w:rsid w:val="0039723C"/>
    <w:rsid w:val="003A3D3A"/>
    <w:rsid w:val="003C63D9"/>
    <w:rsid w:val="003E008E"/>
    <w:rsid w:val="003E75E5"/>
    <w:rsid w:val="003F25E9"/>
    <w:rsid w:val="004045B2"/>
    <w:rsid w:val="00406180"/>
    <w:rsid w:val="00411372"/>
    <w:rsid w:val="00441500"/>
    <w:rsid w:val="004574CB"/>
    <w:rsid w:val="00465239"/>
    <w:rsid w:val="00477244"/>
    <w:rsid w:val="004922F2"/>
    <w:rsid w:val="004A44EF"/>
    <w:rsid w:val="004C7472"/>
    <w:rsid w:val="004D0B1B"/>
    <w:rsid w:val="00525F0E"/>
    <w:rsid w:val="005406A7"/>
    <w:rsid w:val="00543446"/>
    <w:rsid w:val="00552E0B"/>
    <w:rsid w:val="005605A3"/>
    <w:rsid w:val="00563375"/>
    <w:rsid w:val="005855BD"/>
    <w:rsid w:val="005922E4"/>
    <w:rsid w:val="005954F5"/>
    <w:rsid w:val="00597886"/>
    <w:rsid w:val="005A3751"/>
    <w:rsid w:val="005A6CFA"/>
    <w:rsid w:val="005B042E"/>
    <w:rsid w:val="005D1425"/>
    <w:rsid w:val="005D198D"/>
    <w:rsid w:val="005E3600"/>
    <w:rsid w:val="005E530D"/>
    <w:rsid w:val="0061367A"/>
    <w:rsid w:val="00631618"/>
    <w:rsid w:val="006441E0"/>
    <w:rsid w:val="0065498A"/>
    <w:rsid w:val="006704B3"/>
    <w:rsid w:val="00680E7E"/>
    <w:rsid w:val="006940D1"/>
    <w:rsid w:val="006C591E"/>
    <w:rsid w:val="0071269C"/>
    <w:rsid w:val="00720619"/>
    <w:rsid w:val="00733EF4"/>
    <w:rsid w:val="00736B69"/>
    <w:rsid w:val="00740FFF"/>
    <w:rsid w:val="00753B0F"/>
    <w:rsid w:val="007747E5"/>
    <w:rsid w:val="00774C52"/>
    <w:rsid w:val="007A1BF4"/>
    <w:rsid w:val="007A333D"/>
    <w:rsid w:val="007A4ADA"/>
    <w:rsid w:val="007B45B3"/>
    <w:rsid w:val="007B6ADF"/>
    <w:rsid w:val="007C44D8"/>
    <w:rsid w:val="007D4CA9"/>
    <w:rsid w:val="007D7B8F"/>
    <w:rsid w:val="00820987"/>
    <w:rsid w:val="008225A7"/>
    <w:rsid w:val="00822A00"/>
    <w:rsid w:val="00822C13"/>
    <w:rsid w:val="00831BD3"/>
    <w:rsid w:val="008354DA"/>
    <w:rsid w:val="0084211C"/>
    <w:rsid w:val="00847888"/>
    <w:rsid w:val="00856D5F"/>
    <w:rsid w:val="00864419"/>
    <w:rsid w:val="008749DE"/>
    <w:rsid w:val="00874E8E"/>
    <w:rsid w:val="008878B5"/>
    <w:rsid w:val="008949CB"/>
    <w:rsid w:val="00897BCA"/>
    <w:rsid w:val="008A0D08"/>
    <w:rsid w:val="008A1D0F"/>
    <w:rsid w:val="008A2AF0"/>
    <w:rsid w:val="008C24D2"/>
    <w:rsid w:val="008C37FB"/>
    <w:rsid w:val="008C4F97"/>
    <w:rsid w:val="008D2141"/>
    <w:rsid w:val="008E341E"/>
    <w:rsid w:val="008E3C3B"/>
    <w:rsid w:val="00906715"/>
    <w:rsid w:val="00913BDA"/>
    <w:rsid w:val="00916CB6"/>
    <w:rsid w:val="0092117D"/>
    <w:rsid w:val="00927A83"/>
    <w:rsid w:val="00933581"/>
    <w:rsid w:val="00956C89"/>
    <w:rsid w:val="00987093"/>
    <w:rsid w:val="00990631"/>
    <w:rsid w:val="009932EF"/>
    <w:rsid w:val="0099622A"/>
    <w:rsid w:val="009A243D"/>
    <w:rsid w:val="009B5885"/>
    <w:rsid w:val="009C28ED"/>
    <w:rsid w:val="009C3A27"/>
    <w:rsid w:val="009E2C5F"/>
    <w:rsid w:val="009E2E70"/>
    <w:rsid w:val="00A136F3"/>
    <w:rsid w:val="00A40D94"/>
    <w:rsid w:val="00A41862"/>
    <w:rsid w:val="00A432DE"/>
    <w:rsid w:val="00A53A0F"/>
    <w:rsid w:val="00A67AFD"/>
    <w:rsid w:val="00A858F0"/>
    <w:rsid w:val="00A86DE2"/>
    <w:rsid w:val="00A911A4"/>
    <w:rsid w:val="00A92CD0"/>
    <w:rsid w:val="00AA6BA5"/>
    <w:rsid w:val="00AB3800"/>
    <w:rsid w:val="00AC25D8"/>
    <w:rsid w:val="00AC4D45"/>
    <w:rsid w:val="00AC5A9E"/>
    <w:rsid w:val="00AD3F2B"/>
    <w:rsid w:val="00AF75D4"/>
    <w:rsid w:val="00B02320"/>
    <w:rsid w:val="00B023D6"/>
    <w:rsid w:val="00B1117F"/>
    <w:rsid w:val="00B37919"/>
    <w:rsid w:val="00B40D59"/>
    <w:rsid w:val="00B45F7C"/>
    <w:rsid w:val="00B505CC"/>
    <w:rsid w:val="00B53846"/>
    <w:rsid w:val="00B823B6"/>
    <w:rsid w:val="00B85112"/>
    <w:rsid w:val="00B946CD"/>
    <w:rsid w:val="00BA117B"/>
    <w:rsid w:val="00BA51DD"/>
    <w:rsid w:val="00BB1117"/>
    <w:rsid w:val="00BC4DC3"/>
    <w:rsid w:val="00BE7692"/>
    <w:rsid w:val="00BF7D51"/>
    <w:rsid w:val="00C002A9"/>
    <w:rsid w:val="00C05995"/>
    <w:rsid w:val="00C30676"/>
    <w:rsid w:val="00C43856"/>
    <w:rsid w:val="00C72889"/>
    <w:rsid w:val="00C90DFF"/>
    <w:rsid w:val="00C9478D"/>
    <w:rsid w:val="00C967B2"/>
    <w:rsid w:val="00CA5B61"/>
    <w:rsid w:val="00CD0877"/>
    <w:rsid w:val="00CD3B71"/>
    <w:rsid w:val="00CE63B8"/>
    <w:rsid w:val="00D075EF"/>
    <w:rsid w:val="00D12A29"/>
    <w:rsid w:val="00D20FCB"/>
    <w:rsid w:val="00D26D4C"/>
    <w:rsid w:val="00D35D51"/>
    <w:rsid w:val="00D373F0"/>
    <w:rsid w:val="00D4072D"/>
    <w:rsid w:val="00D56047"/>
    <w:rsid w:val="00D60194"/>
    <w:rsid w:val="00D76EA6"/>
    <w:rsid w:val="00DB1C0E"/>
    <w:rsid w:val="00DB514B"/>
    <w:rsid w:val="00DC0FBE"/>
    <w:rsid w:val="00DD5FDF"/>
    <w:rsid w:val="00DE5929"/>
    <w:rsid w:val="00DF17D1"/>
    <w:rsid w:val="00E015CF"/>
    <w:rsid w:val="00E11C4E"/>
    <w:rsid w:val="00E128D4"/>
    <w:rsid w:val="00E2708F"/>
    <w:rsid w:val="00E2778C"/>
    <w:rsid w:val="00E34746"/>
    <w:rsid w:val="00E35208"/>
    <w:rsid w:val="00E36BD5"/>
    <w:rsid w:val="00E47698"/>
    <w:rsid w:val="00E61140"/>
    <w:rsid w:val="00E64CE4"/>
    <w:rsid w:val="00E71115"/>
    <w:rsid w:val="00E83B9E"/>
    <w:rsid w:val="00EB76A4"/>
    <w:rsid w:val="00EC4C66"/>
    <w:rsid w:val="00ED1598"/>
    <w:rsid w:val="00EE5792"/>
    <w:rsid w:val="00F06165"/>
    <w:rsid w:val="00F220F1"/>
    <w:rsid w:val="00F37C42"/>
    <w:rsid w:val="00F50588"/>
    <w:rsid w:val="00F63F5C"/>
    <w:rsid w:val="00F67A4B"/>
    <w:rsid w:val="00F90393"/>
    <w:rsid w:val="00FA173E"/>
    <w:rsid w:val="00FA596F"/>
    <w:rsid w:val="00FB2DBA"/>
    <w:rsid w:val="00FC0389"/>
    <w:rsid w:val="00FE3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5A7"/>
  </w:style>
  <w:style w:type="paragraph" w:styleId="Heading1">
    <w:name w:val="heading 1"/>
    <w:basedOn w:val="Normal"/>
    <w:next w:val="Normal"/>
    <w:link w:val="Heading1Char"/>
    <w:uiPriority w:val="9"/>
    <w:qFormat/>
    <w:rsid w:val="003A3D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335"/>
    <w:pPr>
      <w:keepNext/>
      <w:keepLines/>
      <w:tabs>
        <w:tab w:val="left" w:pos="567"/>
      </w:tabs>
      <w:spacing w:before="240" w:after="120" w:line="240" w:lineRule="auto"/>
      <w:outlineLvl w:val="1"/>
    </w:pPr>
    <w:rPr>
      <w:rFonts w:ascii="Calibri" w:eastAsiaTheme="majorEastAsia" w:hAnsi="Calibri" w:cstheme="majorBidi"/>
      <w:b/>
      <w:bCs/>
      <w:color w:val="165788"/>
      <w:sz w:val="32"/>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D3A"/>
    <w:pPr>
      <w:ind w:left="720"/>
      <w:contextualSpacing/>
    </w:pPr>
  </w:style>
  <w:style w:type="paragraph" w:styleId="Header">
    <w:name w:val="header"/>
    <w:basedOn w:val="Normal"/>
    <w:link w:val="HeaderChar"/>
    <w:uiPriority w:val="99"/>
    <w:unhideWhenUsed/>
    <w:rsid w:val="003A3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D3A"/>
  </w:style>
  <w:style w:type="paragraph" w:styleId="FootnoteText">
    <w:name w:val="footnote text"/>
    <w:basedOn w:val="Normal"/>
    <w:link w:val="FootnoteTextChar"/>
    <w:uiPriority w:val="99"/>
    <w:semiHidden/>
    <w:unhideWhenUsed/>
    <w:rsid w:val="003A3D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D3A"/>
    <w:rPr>
      <w:sz w:val="20"/>
      <w:szCs w:val="20"/>
    </w:rPr>
  </w:style>
  <w:style w:type="character" w:styleId="FootnoteReference">
    <w:name w:val="footnote reference"/>
    <w:basedOn w:val="DefaultParagraphFont"/>
    <w:uiPriority w:val="99"/>
    <w:semiHidden/>
    <w:unhideWhenUsed/>
    <w:rsid w:val="003A3D3A"/>
    <w:rPr>
      <w:vertAlign w:val="superscript"/>
    </w:rPr>
  </w:style>
  <w:style w:type="paragraph" w:customStyle="1" w:styleId="RIESbriefreports">
    <w:name w:val="RIES brief/reports"/>
    <w:basedOn w:val="Heading1"/>
    <w:next w:val="Normal"/>
    <w:link w:val="RIESbriefreportsChar"/>
    <w:qFormat/>
    <w:rsid w:val="003A3D3A"/>
    <w:pPr>
      <w:pBdr>
        <w:bottom w:val="single" w:sz="4" w:space="1" w:color="auto"/>
      </w:pBdr>
      <w:spacing w:after="120"/>
    </w:pPr>
    <w:rPr>
      <w:rFonts w:asciiTheme="minorHAnsi" w:hAnsiTheme="minorHAnsi" w:cstheme="minorHAnsi"/>
      <w:sz w:val="24"/>
    </w:rPr>
  </w:style>
  <w:style w:type="character" w:customStyle="1" w:styleId="RIESbriefreportsChar">
    <w:name w:val="RIES brief/reports Char"/>
    <w:basedOn w:val="DefaultParagraphFont"/>
    <w:link w:val="RIESbriefreports"/>
    <w:rsid w:val="003A3D3A"/>
    <w:rPr>
      <w:rFonts w:eastAsiaTheme="majorEastAsia" w:cstheme="minorHAnsi"/>
      <w:b/>
      <w:bCs/>
      <w:color w:val="365F91" w:themeColor="accent1" w:themeShade="BF"/>
      <w:sz w:val="24"/>
      <w:szCs w:val="28"/>
    </w:rPr>
  </w:style>
  <w:style w:type="paragraph" w:styleId="Footer">
    <w:name w:val="footer"/>
    <w:basedOn w:val="Normal"/>
    <w:link w:val="FooterChar"/>
    <w:uiPriority w:val="99"/>
    <w:unhideWhenUsed/>
    <w:rsid w:val="003A3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D3A"/>
  </w:style>
  <w:style w:type="character" w:customStyle="1" w:styleId="Heading1Char">
    <w:name w:val="Heading 1 Char"/>
    <w:basedOn w:val="DefaultParagraphFont"/>
    <w:link w:val="Heading1"/>
    <w:uiPriority w:val="9"/>
    <w:rsid w:val="003A3D3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A3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D3A"/>
    <w:rPr>
      <w:rFonts w:ascii="Tahoma" w:hAnsi="Tahoma" w:cs="Tahoma"/>
      <w:sz w:val="16"/>
      <w:szCs w:val="16"/>
    </w:rPr>
  </w:style>
  <w:style w:type="character" w:customStyle="1" w:styleId="Heading2Char">
    <w:name w:val="Heading 2 Char"/>
    <w:basedOn w:val="DefaultParagraphFont"/>
    <w:link w:val="Heading2"/>
    <w:uiPriority w:val="9"/>
    <w:rsid w:val="000E0335"/>
    <w:rPr>
      <w:rFonts w:ascii="Calibri" w:eastAsiaTheme="majorEastAsia" w:hAnsi="Calibri" w:cstheme="majorBidi"/>
      <w:b/>
      <w:bCs/>
      <w:color w:val="165788"/>
      <w:sz w:val="32"/>
      <w:szCs w:val="26"/>
      <w:lang w:eastAsia="en-AU"/>
    </w:rPr>
  </w:style>
  <w:style w:type="paragraph" w:styleId="Title">
    <w:name w:val="Title"/>
    <w:basedOn w:val="Normal"/>
    <w:next w:val="Normal"/>
    <w:link w:val="TitleChar"/>
    <w:uiPriority w:val="10"/>
    <w:qFormat/>
    <w:rsid w:val="000E0335"/>
    <w:pPr>
      <w:spacing w:before="1440" w:after="360" w:line="300" w:lineRule="auto"/>
      <w:contextualSpacing/>
      <w:jc w:val="right"/>
    </w:pPr>
    <w:rPr>
      <w:rFonts w:ascii="Calibri" w:eastAsiaTheme="majorEastAsia" w:hAnsi="Calibri" w:cstheme="majorBidi"/>
      <w:b/>
      <w:color w:val="165788"/>
      <w:spacing w:val="5"/>
      <w:kern w:val="28"/>
      <w:sz w:val="72"/>
      <w:szCs w:val="52"/>
      <w:lang w:eastAsia="en-AU"/>
    </w:rPr>
  </w:style>
  <w:style w:type="character" w:customStyle="1" w:styleId="TitleChar">
    <w:name w:val="Title Char"/>
    <w:basedOn w:val="DefaultParagraphFont"/>
    <w:link w:val="Title"/>
    <w:uiPriority w:val="10"/>
    <w:rsid w:val="000E0335"/>
    <w:rPr>
      <w:rFonts w:ascii="Calibri" w:eastAsiaTheme="majorEastAsia" w:hAnsi="Calibri" w:cstheme="majorBidi"/>
      <w:b/>
      <w:color w:val="165788"/>
      <w:spacing w:val="5"/>
      <w:kern w:val="28"/>
      <w:sz w:val="72"/>
      <w:szCs w:val="52"/>
      <w:lang w:eastAsia="en-AU"/>
    </w:rPr>
  </w:style>
  <w:style w:type="character" w:styleId="Hyperlink">
    <w:name w:val="Hyperlink"/>
    <w:basedOn w:val="DefaultParagraphFont"/>
    <w:uiPriority w:val="99"/>
    <w:unhideWhenUsed/>
    <w:rsid w:val="000E0335"/>
    <w:rPr>
      <w:color w:val="0000FF" w:themeColor="hyperlink"/>
      <w:u w:val="single"/>
    </w:rPr>
  </w:style>
  <w:style w:type="paragraph" w:styleId="TOC1">
    <w:name w:val="toc 1"/>
    <w:basedOn w:val="Normal"/>
    <w:next w:val="Normal"/>
    <w:autoRedefine/>
    <w:uiPriority w:val="39"/>
    <w:rsid w:val="000E0335"/>
    <w:pPr>
      <w:tabs>
        <w:tab w:val="left" w:pos="8675"/>
      </w:tabs>
      <w:spacing w:before="120" w:after="100" w:line="300" w:lineRule="auto"/>
      <w:ind w:left="567"/>
    </w:pPr>
    <w:rPr>
      <w:rFonts w:ascii="Calibri" w:eastAsia="Times New Roman" w:hAnsi="Calibri" w:cs="Times New Roman"/>
      <w:b/>
      <w:color w:val="165788"/>
      <w:szCs w:val="24"/>
      <w:lang w:eastAsia="en-AU"/>
    </w:rPr>
  </w:style>
  <w:style w:type="paragraph" w:customStyle="1" w:styleId="Default">
    <w:name w:val="Default"/>
    <w:rsid w:val="000E0335"/>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0E0335"/>
    <w:pPr>
      <w:spacing w:before="120" w:after="120" w:line="300" w:lineRule="auto"/>
    </w:pPr>
    <w:rPr>
      <w:rFonts w:eastAsia="Times New Roman" w:cs="Times New Roman"/>
      <w:szCs w:val="24"/>
      <w:lang w:eastAsia="en-AU"/>
    </w:rPr>
  </w:style>
  <w:style w:type="character" w:customStyle="1" w:styleId="BodyTextChar">
    <w:name w:val="Body Text Char"/>
    <w:basedOn w:val="DefaultParagraphFont"/>
    <w:link w:val="BodyText"/>
    <w:rsid w:val="000E0335"/>
    <w:rPr>
      <w:rFonts w:eastAsia="Times New Roman" w:cs="Times New Roman"/>
      <w:szCs w:val="24"/>
      <w:lang w:eastAsia="en-AU"/>
    </w:rPr>
  </w:style>
  <w:style w:type="paragraph" w:customStyle="1" w:styleId="numberedpara">
    <w:name w:val="numbered para"/>
    <w:basedOn w:val="Normal"/>
    <w:rsid w:val="000E0335"/>
    <w:pPr>
      <w:numPr>
        <w:numId w:val="10"/>
      </w:numPr>
      <w:spacing w:after="0" w:line="240" w:lineRule="auto"/>
    </w:pPr>
    <w:rPr>
      <w:rFonts w:ascii="Calibri" w:hAnsi="Calibri" w:cs="Calibri"/>
      <w:lang w:eastAsia="en-AU"/>
    </w:rPr>
  </w:style>
  <w:style w:type="paragraph" w:styleId="TOC2">
    <w:name w:val="toc 2"/>
    <w:basedOn w:val="Normal"/>
    <w:next w:val="Normal"/>
    <w:autoRedefine/>
    <w:uiPriority w:val="39"/>
    <w:unhideWhenUsed/>
    <w:rsid w:val="000E0335"/>
    <w:pPr>
      <w:spacing w:after="100"/>
      <w:ind w:left="220"/>
    </w:pPr>
  </w:style>
  <w:style w:type="paragraph" w:customStyle="1" w:styleId="Figure">
    <w:name w:val="Figure"/>
    <w:basedOn w:val="Normal"/>
    <w:rsid w:val="00F63F5C"/>
    <w:pPr>
      <w:widowControl w:val="0"/>
      <w:spacing w:before="60" w:after="0" w:line="240" w:lineRule="auto"/>
      <w:jc w:val="center"/>
    </w:pPr>
    <w:rPr>
      <w:rFonts w:ascii="Calibri" w:eastAsia="Times New Roman" w:hAnsi="Calibri" w:cs="Times New Roman"/>
      <w:sz w:val="24"/>
      <w:szCs w:val="24"/>
      <w:lang w:eastAsia="en-AU"/>
    </w:rPr>
  </w:style>
  <w:style w:type="table" w:styleId="TableGrid">
    <w:name w:val="Table Grid"/>
    <w:basedOn w:val="TableNormal"/>
    <w:uiPriority w:val="59"/>
    <w:rsid w:val="00173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E00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5A7"/>
  </w:style>
  <w:style w:type="paragraph" w:styleId="Heading1">
    <w:name w:val="heading 1"/>
    <w:basedOn w:val="Normal"/>
    <w:next w:val="Normal"/>
    <w:link w:val="Heading1Char"/>
    <w:uiPriority w:val="9"/>
    <w:qFormat/>
    <w:rsid w:val="003A3D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335"/>
    <w:pPr>
      <w:keepNext/>
      <w:keepLines/>
      <w:tabs>
        <w:tab w:val="left" w:pos="567"/>
      </w:tabs>
      <w:spacing w:before="240" w:after="120" w:line="240" w:lineRule="auto"/>
      <w:outlineLvl w:val="1"/>
    </w:pPr>
    <w:rPr>
      <w:rFonts w:ascii="Calibri" w:eastAsiaTheme="majorEastAsia" w:hAnsi="Calibri" w:cstheme="majorBidi"/>
      <w:b/>
      <w:bCs/>
      <w:color w:val="165788"/>
      <w:sz w:val="32"/>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D3A"/>
    <w:pPr>
      <w:ind w:left="720"/>
      <w:contextualSpacing/>
    </w:pPr>
  </w:style>
  <w:style w:type="paragraph" w:styleId="Header">
    <w:name w:val="header"/>
    <w:basedOn w:val="Normal"/>
    <w:link w:val="HeaderChar"/>
    <w:uiPriority w:val="99"/>
    <w:unhideWhenUsed/>
    <w:rsid w:val="003A3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D3A"/>
  </w:style>
  <w:style w:type="paragraph" w:styleId="FootnoteText">
    <w:name w:val="footnote text"/>
    <w:basedOn w:val="Normal"/>
    <w:link w:val="FootnoteTextChar"/>
    <w:uiPriority w:val="99"/>
    <w:semiHidden/>
    <w:unhideWhenUsed/>
    <w:rsid w:val="003A3D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D3A"/>
    <w:rPr>
      <w:sz w:val="20"/>
      <w:szCs w:val="20"/>
    </w:rPr>
  </w:style>
  <w:style w:type="character" w:styleId="FootnoteReference">
    <w:name w:val="footnote reference"/>
    <w:basedOn w:val="DefaultParagraphFont"/>
    <w:uiPriority w:val="99"/>
    <w:semiHidden/>
    <w:unhideWhenUsed/>
    <w:rsid w:val="003A3D3A"/>
    <w:rPr>
      <w:vertAlign w:val="superscript"/>
    </w:rPr>
  </w:style>
  <w:style w:type="paragraph" w:customStyle="1" w:styleId="RIESbriefreports">
    <w:name w:val="RIES brief/reports"/>
    <w:basedOn w:val="Heading1"/>
    <w:next w:val="Normal"/>
    <w:link w:val="RIESbriefreportsChar"/>
    <w:qFormat/>
    <w:rsid w:val="003A3D3A"/>
    <w:pPr>
      <w:pBdr>
        <w:bottom w:val="single" w:sz="4" w:space="1" w:color="auto"/>
      </w:pBdr>
      <w:spacing w:after="120"/>
    </w:pPr>
    <w:rPr>
      <w:rFonts w:asciiTheme="minorHAnsi" w:hAnsiTheme="minorHAnsi" w:cstheme="minorHAnsi"/>
      <w:sz w:val="24"/>
    </w:rPr>
  </w:style>
  <w:style w:type="character" w:customStyle="1" w:styleId="RIESbriefreportsChar">
    <w:name w:val="RIES brief/reports Char"/>
    <w:basedOn w:val="DefaultParagraphFont"/>
    <w:link w:val="RIESbriefreports"/>
    <w:rsid w:val="003A3D3A"/>
    <w:rPr>
      <w:rFonts w:eastAsiaTheme="majorEastAsia" w:cstheme="minorHAnsi"/>
      <w:b/>
      <w:bCs/>
      <w:color w:val="365F91" w:themeColor="accent1" w:themeShade="BF"/>
      <w:sz w:val="24"/>
      <w:szCs w:val="28"/>
    </w:rPr>
  </w:style>
  <w:style w:type="paragraph" w:styleId="Footer">
    <w:name w:val="footer"/>
    <w:basedOn w:val="Normal"/>
    <w:link w:val="FooterChar"/>
    <w:uiPriority w:val="99"/>
    <w:unhideWhenUsed/>
    <w:rsid w:val="003A3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D3A"/>
  </w:style>
  <w:style w:type="character" w:customStyle="1" w:styleId="Heading1Char">
    <w:name w:val="Heading 1 Char"/>
    <w:basedOn w:val="DefaultParagraphFont"/>
    <w:link w:val="Heading1"/>
    <w:uiPriority w:val="9"/>
    <w:rsid w:val="003A3D3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A3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D3A"/>
    <w:rPr>
      <w:rFonts w:ascii="Tahoma" w:hAnsi="Tahoma" w:cs="Tahoma"/>
      <w:sz w:val="16"/>
      <w:szCs w:val="16"/>
    </w:rPr>
  </w:style>
  <w:style w:type="character" w:customStyle="1" w:styleId="Heading2Char">
    <w:name w:val="Heading 2 Char"/>
    <w:basedOn w:val="DefaultParagraphFont"/>
    <w:link w:val="Heading2"/>
    <w:uiPriority w:val="9"/>
    <w:rsid w:val="000E0335"/>
    <w:rPr>
      <w:rFonts w:ascii="Calibri" w:eastAsiaTheme="majorEastAsia" w:hAnsi="Calibri" w:cstheme="majorBidi"/>
      <w:b/>
      <w:bCs/>
      <w:color w:val="165788"/>
      <w:sz w:val="32"/>
      <w:szCs w:val="26"/>
      <w:lang w:eastAsia="en-AU"/>
    </w:rPr>
  </w:style>
  <w:style w:type="paragraph" w:styleId="Title">
    <w:name w:val="Title"/>
    <w:basedOn w:val="Normal"/>
    <w:next w:val="Normal"/>
    <w:link w:val="TitleChar"/>
    <w:uiPriority w:val="10"/>
    <w:qFormat/>
    <w:rsid w:val="000E0335"/>
    <w:pPr>
      <w:spacing w:before="1440" w:after="360" w:line="300" w:lineRule="auto"/>
      <w:contextualSpacing/>
      <w:jc w:val="right"/>
    </w:pPr>
    <w:rPr>
      <w:rFonts w:ascii="Calibri" w:eastAsiaTheme="majorEastAsia" w:hAnsi="Calibri" w:cstheme="majorBidi"/>
      <w:b/>
      <w:color w:val="165788"/>
      <w:spacing w:val="5"/>
      <w:kern w:val="28"/>
      <w:sz w:val="72"/>
      <w:szCs w:val="52"/>
      <w:lang w:eastAsia="en-AU"/>
    </w:rPr>
  </w:style>
  <w:style w:type="character" w:customStyle="1" w:styleId="TitleChar">
    <w:name w:val="Title Char"/>
    <w:basedOn w:val="DefaultParagraphFont"/>
    <w:link w:val="Title"/>
    <w:uiPriority w:val="10"/>
    <w:rsid w:val="000E0335"/>
    <w:rPr>
      <w:rFonts w:ascii="Calibri" w:eastAsiaTheme="majorEastAsia" w:hAnsi="Calibri" w:cstheme="majorBidi"/>
      <w:b/>
      <w:color w:val="165788"/>
      <w:spacing w:val="5"/>
      <w:kern w:val="28"/>
      <w:sz w:val="72"/>
      <w:szCs w:val="52"/>
      <w:lang w:eastAsia="en-AU"/>
    </w:rPr>
  </w:style>
  <w:style w:type="character" w:styleId="Hyperlink">
    <w:name w:val="Hyperlink"/>
    <w:basedOn w:val="DefaultParagraphFont"/>
    <w:uiPriority w:val="99"/>
    <w:unhideWhenUsed/>
    <w:rsid w:val="000E0335"/>
    <w:rPr>
      <w:color w:val="0000FF" w:themeColor="hyperlink"/>
      <w:u w:val="single"/>
    </w:rPr>
  </w:style>
  <w:style w:type="paragraph" w:styleId="TOC1">
    <w:name w:val="toc 1"/>
    <w:basedOn w:val="Normal"/>
    <w:next w:val="Normal"/>
    <w:autoRedefine/>
    <w:uiPriority w:val="39"/>
    <w:rsid w:val="000E0335"/>
    <w:pPr>
      <w:tabs>
        <w:tab w:val="left" w:pos="8675"/>
      </w:tabs>
      <w:spacing w:before="120" w:after="100" w:line="300" w:lineRule="auto"/>
      <w:ind w:left="567"/>
    </w:pPr>
    <w:rPr>
      <w:rFonts w:ascii="Calibri" w:eastAsia="Times New Roman" w:hAnsi="Calibri" w:cs="Times New Roman"/>
      <w:b/>
      <w:color w:val="165788"/>
      <w:szCs w:val="24"/>
      <w:lang w:eastAsia="en-AU"/>
    </w:rPr>
  </w:style>
  <w:style w:type="paragraph" w:customStyle="1" w:styleId="Default">
    <w:name w:val="Default"/>
    <w:rsid w:val="000E0335"/>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0E0335"/>
    <w:pPr>
      <w:spacing w:before="120" w:after="120" w:line="300" w:lineRule="auto"/>
    </w:pPr>
    <w:rPr>
      <w:rFonts w:eastAsia="Times New Roman" w:cs="Times New Roman"/>
      <w:szCs w:val="24"/>
      <w:lang w:eastAsia="en-AU"/>
    </w:rPr>
  </w:style>
  <w:style w:type="character" w:customStyle="1" w:styleId="BodyTextChar">
    <w:name w:val="Body Text Char"/>
    <w:basedOn w:val="DefaultParagraphFont"/>
    <w:link w:val="BodyText"/>
    <w:rsid w:val="000E0335"/>
    <w:rPr>
      <w:rFonts w:eastAsia="Times New Roman" w:cs="Times New Roman"/>
      <w:szCs w:val="24"/>
      <w:lang w:eastAsia="en-AU"/>
    </w:rPr>
  </w:style>
  <w:style w:type="paragraph" w:customStyle="1" w:styleId="numberedpara">
    <w:name w:val="numbered para"/>
    <w:basedOn w:val="Normal"/>
    <w:rsid w:val="000E0335"/>
    <w:pPr>
      <w:numPr>
        <w:numId w:val="10"/>
      </w:numPr>
      <w:spacing w:after="0" w:line="240" w:lineRule="auto"/>
    </w:pPr>
    <w:rPr>
      <w:rFonts w:ascii="Calibri" w:hAnsi="Calibri" w:cs="Calibri"/>
      <w:lang w:eastAsia="en-AU"/>
    </w:rPr>
  </w:style>
  <w:style w:type="paragraph" w:styleId="TOC2">
    <w:name w:val="toc 2"/>
    <w:basedOn w:val="Normal"/>
    <w:next w:val="Normal"/>
    <w:autoRedefine/>
    <w:uiPriority w:val="39"/>
    <w:unhideWhenUsed/>
    <w:rsid w:val="000E0335"/>
    <w:pPr>
      <w:spacing w:after="100"/>
      <w:ind w:left="220"/>
    </w:pPr>
  </w:style>
  <w:style w:type="paragraph" w:customStyle="1" w:styleId="Figure">
    <w:name w:val="Figure"/>
    <w:basedOn w:val="Normal"/>
    <w:rsid w:val="00F63F5C"/>
    <w:pPr>
      <w:widowControl w:val="0"/>
      <w:spacing w:before="60" w:after="0" w:line="240" w:lineRule="auto"/>
      <w:jc w:val="center"/>
    </w:pPr>
    <w:rPr>
      <w:rFonts w:ascii="Calibri" w:eastAsia="Times New Roman" w:hAnsi="Calibri" w:cs="Times New Roman"/>
      <w:sz w:val="24"/>
      <w:szCs w:val="24"/>
      <w:lang w:eastAsia="en-AU"/>
    </w:rPr>
  </w:style>
  <w:style w:type="table" w:styleId="TableGrid">
    <w:name w:val="Table Grid"/>
    <w:basedOn w:val="TableNormal"/>
    <w:uiPriority w:val="59"/>
    <w:rsid w:val="00173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E00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creativecommons.org/licenses/by/3.0/au/legalcode" TargetMode="External"/><Relationship Id="rId26" Type="http://schemas.openxmlformats.org/officeDocument/2006/relationships/hyperlink" Target="http://www.skillsinfo.gov.au" TargetMode="Externa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creativecommons.org/licenses/by/3.0/au/" TargetMode="External"/><Relationship Id="rId25" Type="http://schemas.openxmlformats.org/officeDocument/2006/relationships/hyperlink" Target="http://www.joboutlook.deewr.gov.au"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cid:image001.png@01CC5B5E.C6C84990"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deewr.gov.au/skillshortages" TargetMode="Externa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deewr.gov.au/lmip" TargetMode="Externa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mailto:recruitmentsurveys@deewr.gov.au" TargetMode="Externa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yperlink" Target="http://www.deewr.gov.au/regionalreports" TargetMode="External"/><Relationship Id="rId27" Type="http://schemas.openxmlformats.org/officeDocument/2006/relationships/hyperlink" Target="http://www.deewr.gov.au/australianjobs" TargetMode="External"/><Relationship Id="rId30"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EPNAS002\DBYU\DAS\12%2012-13%20Regional%20Survey%20files%20(by%20survey%20no.)\168.%20Sydney%20West%20and%20Blue%20Mountains%20PEA\04.%20Data%20Output%20and%20Admin\Admin%20data\Joel%20SWB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2174295226812E-2"/>
          <c:y val="3.619402391235934E-2"/>
          <c:w val="0.92291066013810252"/>
          <c:h val="0.77656029838375462"/>
        </c:manualLayout>
      </c:layout>
      <c:barChart>
        <c:barDir val="col"/>
        <c:grouping val="clustered"/>
        <c:varyColors val="0"/>
        <c:ser>
          <c:idx val="0"/>
          <c:order val="0"/>
          <c:tx>
            <c:strRef>
              <c:f>'survey data'!$B$173</c:f>
              <c:strCache>
                <c:ptCount val="1"/>
                <c:pt idx="0">
                  <c:v>2011</c:v>
                </c:pt>
              </c:strCache>
            </c:strRef>
          </c:tx>
          <c:invertIfNegative val="0"/>
          <c:dLbls>
            <c:showLegendKey val="0"/>
            <c:showVal val="1"/>
            <c:showCatName val="0"/>
            <c:showSerName val="0"/>
            <c:showPercent val="0"/>
            <c:showBubbleSize val="0"/>
            <c:showLeaderLines val="0"/>
          </c:dLbls>
          <c:cat>
            <c:strRef>
              <c:f>('survey data'!$A$174:$A$175,'survey data'!$A$177:$A$178)</c:f>
              <c:strCache>
                <c:ptCount val="4"/>
                <c:pt idx="0">
                  <c:v>Managers and Professionals</c:v>
                </c:pt>
                <c:pt idx="1">
                  <c:v>Technicians and Trades Workers</c:v>
                </c:pt>
                <c:pt idx="2">
                  <c:v>Other Occupations</c:v>
                </c:pt>
                <c:pt idx="3">
                  <c:v>Total</c:v>
                </c:pt>
              </c:strCache>
            </c:strRef>
          </c:cat>
          <c:val>
            <c:numRef>
              <c:f>('survey data'!$B$174:$B$175,'survey data'!$B$177:$B$178)</c:f>
              <c:numCache>
                <c:formatCode>0%</c:formatCode>
                <c:ptCount val="4"/>
                <c:pt idx="0">
                  <c:v>0.52777777777777779</c:v>
                </c:pt>
                <c:pt idx="1">
                  <c:v>0.65789473684210531</c:v>
                </c:pt>
                <c:pt idx="2">
                  <c:v>0.34188034188034189</c:v>
                </c:pt>
                <c:pt idx="3">
                  <c:v>0.43979057591623039</c:v>
                </c:pt>
              </c:numCache>
            </c:numRef>
          </c:val>
        </c:ser>
        <c:ser>
          <c:idx val="1"/>
          <c:order val="1"/>
          <c:tx>
            <c:strRef>
              <c:f>'survey data'!$C$173</c:f>
              <c:strCache>
                <c:ptCount val="1"/>
                <c:pt idx="0">
                  <c:v>2012</c:v>
                </c:pt>
              </c:strCache>
            </c:strRef>
          </c:tx>
          <c:invertIfNegative val="0"/>
          <c:dLbls>
            <c:showLegendKey val="0"/>
            <c:showVal val="1"/>
            <c:showCatName val="0"/>
            <c:showSerName val="0"/>
            <c:showPercent val="0"/>
            <c:showBubbleSize val="0"/>
            <c:showLeaderLines val="0"/>
          </c:dLbls>
          <c:cat>
            <c:strRef>
              <c:f>('survey data'!$A$174:$A$175,'survey data'!$A$177:$A$178)</c:f>
              <c:strCache>
                <c:ptCount val="4"/>
                <c:pt idx="0">
                  <c:v>Managers and Professionals</c:v>
                </c:pt>
                <c:pt idx="1">
                  <c:v>Technicians and Trades Workers</c:v>
                </c:pt>
                <c:pt idx="2">
                  <c:v>Other Occupations</c:v>
                </c:pt>
                <c:pt idx="3">
                  <c:v>Total</c:v>
                </c:pt>
              </c:strCache>
            </c:strRef>
          </c:cat>
          <c:val>
            <c:numRef>
              <c:f>('survey data'!$C$174:$C$175,'survey data'!$C$177:$C$178)</c:f>
              <c:numCache>
                <c:formatCode>0%</c:formatCode>
                <c:ptCount val="4"/>
                <c:pt idx="0">
                  <c:v>0.34042553191489361</c:v>
                </c:pt>
                <c:pt idx="1">
                  <c:v>0.40425531914893614</c:v>
                </c:pt>
                <c:pt idx="2">
                  <c:v>0.34536082474226804</c:v>
                </c:pt>
                <c:pt idx="3">
                  <c:v>0.35416666666666669</c:v>
                </c:pt>
              </c:numCache>
            </c:numRef>
          </c:val>
        </c:ser>
        <c:dLbls>
          <c:showLegendKey val="0"/>
          <c:showVal val="0"/>
          <c:showCatName val="0"/>
          <c:showSerName val="0"/>
          <c:showPercent val="0"/>
          <c:showBubbleSize val="0"/>
        </c:dLbls>
        <c:gapWidth val="150"/>
        <c:axId val="88307968"/>
        <c:axId val="105766912"/>
      </c:barChart>
      <c:catAx>
        <c:axId val="88307968"/>
        <c:scaling>
          <c:orientation val="minMax"/>
        </c:scaling>
        <c:delete val="0"/>
        <c:axPos val="b"/>
        <c:majorTickMark val="out"/>
        <c:minorTickMark val="none"/>
        <c:tickLblPos val="nextTo"/>
        <c:crossAx val="105766912"/>
        <c:crosses val="autoZero"/>
        <c:auto val="1"/>
        <c:lblAlgn val="ctr"/>
        <c:lblOffset val="100"/>
        <c:noMultiLvlLbl val="0"/>
      </c:catAx>
      <c:valAx>
        <c:axId val="105766912"/>
        <c:scaling>
          <c:orientation val="minMax"/>
        </c:scaling>
        <c:delete val="0"/>
        <c:axPos val="l"/>
        <c:majorGridlines>
          <c:spPr>
            <a:ln>
              <a:noFill/>
            </a:ln>
          </c:spPr>
        </c:majorGridlines>
        <c:numFmt formatCode="0%" sourceLinked="1"/>
        <c:majorTickMark val="out"/>
        <c:minorTickMark val="none"/>
        <c:tickLblPos val="nextTo"/>
        <c:crossAx val="88307968"/>
        <c:crosses val="autoZero"/>
        <c:crossBetween val="between"/>
      </c:valAx>
    </c:plotArea>
    <c:legend>
      <c:legendPos val="r"/>
      <c:layout>
        <c:manualLayout>
          <c:xMode val="edge"/>
          <c:yMode val="edge"/>
          <c:x val="0.55698182676476149"/>
          <c:y val="7.9191914421086085E-2"/>
          <c:w val="0.19099606303016645"/>
          <c:h val="0.15375978700760781"/>
        </c:manualLayout>
      </c:layout>
      <c:overlay val="0"/>
      <c:txPr>
        <a:bodyPr/>
        <a:lstStyle/>
        <a:p>
          <a:pPr>
            <a:defRPr sz="120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B8E8A-9589-4766-8922-6BE11D012DE8}"/>
</file>

<file path=customXml/itemProps2.xml><?xml version="1.0" encoding="utf-8"?>
<ds:datastoreItem xmlns:ds="http://schemas.openxmlformats.org/officeDocument/2006/customXml" ds:itemID="{08B38036-7822-43BA-87D6-8A2517C2A261}"/>
</file>

<file path=customXml/itemProps3.xml><?xml version="1.0" encoding="utf-8"?>
<ds:datastoreItem xmlns:ds="http://schemas.openxmlformats.org/officeDocument/2006/customXml" ds:itemID="{42DFC968-7A69-4788-B4C6-891D5163C7E2}"/>
</file>

<file path=customXml/itemProps4.xml><?xml version="1.0" encoding="utf-8"?>
<ds:datastoreItem xmlns:ds="http://schemas.openxmlformats.org/officeDocument/2006/customXml" ds:itemID="{A3D7C392-7A71-4405-8D3B-8E1DDC8B83AE}"/>
</file>

<file path=docProps/app.xml><?xml version="1.0" encoding="utf-8"?>
<Properties xmlns="http://schemas.openxmlformats.org/officeDocument/2006/extended-properties" xmlns:vt="http://schemas.openxmlformats.org/officeDocument/2006/docPropsVTypes">
  <Template>4B47BCF.dotm</Template>
  <TotalTime>434</TotalTime>
  <Pages>7</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Survey of Employers’ Recruitment Experiences Sydney West and Blue Mountains                   Priority Employment Area </vt:lpstr>
    </vt:vector>
  </TitlesOfParts>
  <Company>Australian Government</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Employers’ Recruitment Experiences Sydney West and Blue Mountains                   Priority Employment Area </dc:title>
  <dc:creator>Joel Meehan</dc:creator>
  <cp:lastModifiedBy>Joel Meehan</cp:lastModifiedBy>
  <cp:revision>59</cp:revision>
  <cp:lastPrinted>2013-04-04T04:26:00Z</cp:lastPrinted>
  <dcterms:created xsi:type="dcterms:W3CDTF">2013-02-25T22:34:00Z</dcterms:created>
  <dcterms:modified xsi:type="dcterms:W3CDTF">2013-05-20T01:10:00Z</dcterms:modified>
</cp:coreProperties>
</file>