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6BC"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t>Slide 1</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6pt;height:202.55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25" DrawAspect="Content" ObjectID="_1430893283" r:id="rId7"/>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u w:val="single"/>
          <w:lang w:val="en-US" w:eastAsia="en-AU"/>
        </w:rPr>
      </w:pPr>
      <w:r w:rsidRPr="00BF3E8E">
        <w:rPr>
          <w:rFonts w:asciiTheme="minorHAnsi" w:hAnsiTheme="minorHAnsi" w:cstheme="minorHAnsi"/>
          <w:b/>
          <w:bCs/>
          <w:color w:val="000000" w:themeColor="text1"/>
          <w:kern w:val="24"/>
          <w:sz w:val="24"/>
          <w:szCs w:val="24"/>
          <w:u w:val="single"/>
          <w:lang w:eastAsia="en-AU"/>
        </w:rPr>
        <w:t xml:space="preserve">Overview of the South Eastern Melbourne </w:t>
      </w:r>
      <w:r w:rsidRPr="00BF3E8E">
        <w:rPr>
          <w:rFonts w:asciiTheme="minorHAnsi" w:hAnsiTheme="minorHAnsi" w:cstheme="minorHAnsi"/>
          <w:b/>
          <w:bCs/>
          <w:color w:val="000000" w:themeColor="text1"/>
          <w:kern w:val="24"/>
          <w:sz w:val="24"/>
          <w:szCs w:val="24"/>
          <w:u w:val="single"/>
          <w:lang w:val="en-US" w:eastAsia="en-AU"/>
        </w:rPr>
        <w:t>Priority Employment Area</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val="en-US" w:eastAsia="en-AU"/>
        </w:rPr>
        <w:t>Presenter: Ivan Neville, Branch Manager, Labour Market Research and Analysis Branch</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2</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030" type="#_x0000_t75" style="width:270.6pt;height:202.55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30" DrawAspect="Content" ObjectID="_1430893284" r:id="rId9"/>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u w:val="single"/>
          <w:lang w:eastAsia="en-AU"/>
        </w:rPr>
      </w:pPr>
      <w:r w:rsidRPr="00BF3E8E">
        <w:rPr>
          <w:rFonts w:asciiTheme="minorHAnsi" w:hAnsiTheme="minorHAnsi" w:cstheme="minorHAnsi"/>
          <w:b/>
          <w:bCs/>
          <w:color w:val="000000" w:themeColor="text1"/>
          <w:kern w:val="24"/>
          <w:sz w:val="24"/>
          <w:szCs w:val="24"/>
          <w:u w:val="single"/>
          <w:lang w:eastAsia="en-AU"/>
        </w:rPr>
        <w:t xml:space="preserve">Map of South Eastern Melbourne </w:t>
      </w:r>
      <w:r w:rsidRPr="00BF3E8E">
        <w:rPr>
          <w:rFonts w:asciiTheme="minorHAnsi" w:hAnsiTheme="minorHAnsi" w:cstheme="minorHAnsi"/>
          <w:b/>
          <w:bCs/>
          <w:color w:val="000000" w:themeColor="text1"/>
          <w:kern w:val="24"/>
          <w:sz w:val="24"/>
          <w:szCs w:val="24"/>
          <w:u w:val="single"/>
          <w:lang w:val="en-US" w:eastAsia="en-AU"/>
        </w:rPr>
        <w:t>Priority Employment Area</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w:t>
      </w:r>
    </w:p>
    <w:p w:rsid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val="en-US" w:eastAsia="en-AU"/>
        </w:rPr>
        <w:t>A survey of Employers’ Recruitment Experiences</w:t>
      </w:r>
      <w:r w:rsidRPr="00BF3E8E">
        <w:rPr>
          <w:rFonts w:asciiTheme="minorHAnsi" w:hAnsiTheme="minorHAnsi" w:cstheme="minorHAnsi"/>
          <w:color w:val="000000" w:themeColor="text1"/>
          <w:kern w:val="24"/>
          <w:sz w:val="24"/>
          <w:szCs w:val="24"/>
          <w:lang w:eastAsia="en-AU"/>
        </w:rPr>
        <w:t xml:space="preserve"> in the South Eastern Melbourne </w:t>
      </w:r>
      <w:r w:rsidRPr="00BF3E8E">
        <w:rPr>
          <w:rFonts w:asciiTheme="minorHAnsi" w:hAnsiTheme="minorHAnsi" w:cstheme="minorHAnsi"/>
          <w:color w:val="000000" w:themeColor="text1"/>
          <w:kern w:val="24"/>
          <w:sz w:val="24"/>
          <w:szCs w:val="24"/>
          <w:lang w:val="en-US" w:eastAsia="en-AU"/>
        </w:rPr>
        <w:t xml:space="preserve">Priority Employment Area (PEA) </w:t>
      </w:r>
      <w:r w:rsidRPr="00BF3E8E">
        <w:rPr>
          <w:rFonts w:asciiTheme="minorHAnsi" w:hAnsiTheme="minorHAnsi" w:cstheme="minorHAnsi"/>
          <w:color w:val="000000" w:themeColor="text1"/>
          <w:kern w:val="24"/>
          <w:sz w:val="24"/>
          <w:szCs w:val="24"/>
          <w:lang w:eastAsia="en-AU"/>
        </w:rPr>
        <w:t xml:space="preserve">was conducted in April 2012. </w:t>
      </w:r>
      <w:r w:rsidRPr="00BF3E8E">
        <w:rPr>
          <w:rFonts w:asciiTheme="minorHAnsi" w:hAnsiTheme="minorHAnsi" w:cstheme="minorHAnsi"/>
          <w:color w:val="000000" w:themeColor="text1"/>
          <w:kern w:val="24"/>
          <w:sz w:val="24"/>
          <w:szCs w:val="24"/>
          <w:lang w:eastAsia="en-AU"/>
        </w:rPr>
        <w:br/>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This area was previously surveyed in February 2010 and July 2009.</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The South Eastern Melbourne PEA comprises the five Local Government Areas (LGAs) of Cardinia, Casey, Greater Dandenong, Frankston and Kingston.</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3</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035" type="#_x0000_t75" style="width:270.6pt;height:202.55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35" DrawAspect="Content" ObjectID="_1430893285" r:id="rId11"/>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b/>
          <w:bCs/>
          <w:color w:val="000000" w:themeColor="text1"/>
          <w:kern w:val="24"/>
          <w:sz w:val="24"/>
          <w:szCs w:val="24"/>
          <w:u w:val="single"/>
          <w:lang w:eastAsia="en-AU"/>
        </w:rPr>
        <w:t xml:space="preserve">What has </w:t>
      </w:r>
      <w:r w:rsidRPr="00BF3E8E">
        <w:rPr>
          <w:rFonts w:asciiTheme="minorHAnsi" w:hAnsiTheme="minorHAnsi" w:cstheme="minorHAnsi"/>
          <w:b/>
          <w:bCs/>
          <w:color w:val="000000" w:themeColor="text1"/>
          <w:kern w:val="24"/>
          <w:sz w:val="24"/>
          <w:szCs w:val="24"/>
          <w:u w:val="single"/>
          <w:lang w:eastAsia="en-AU"/>
        </w:rPr>
        <w:t>changed</w:t>
      </w:r>
      <w:r>
        <w:rPr>
          <w:rFonts w:asciiTheme="minorHAnsi" w:hAnsiTheme="minorHAnsi" w:cstheme="minorHAnsi"/>
          <w:b/>
          <w:bCs/>
          <w:color w:val="000000" w:themeColor="text1"/>
          <w:kern w:val="24"/>
          <w:sz w:val="24"/>
          <w:szCs w:val="24"/>
          <w:u w:val="single"/>
          <w:lang w:eastAsia="en-AU"/>
        </w:rPr>
        <w:t>? – South Eastern Melbourne PEA</w:t>
      </w:r>
      <w:r>
        <w:t xml:space="preserve"> </w:t>
      </w:r>
      <w:r w:rsidRPr="00BF3E8E">
        <w:rPr>
          <w:rFonts w:asciiTheme="minorHAnsi" w:hAnsiTheme="minorHAnsi" w:cstheme="minorHAnsi"/>
          <w:color w:val="000000" w:themeColor="text1"/>
          <w:kern w:val="24"/>
          <w:sz w:val="24"/>
          <w:szCs w:val="24"/>
          <w:lang w:eastAsia="en-AU"/>
        </w:rPr>
        <w:t>(</w:t>
      </w:r>
      <w:r>
        <w:rPr>
          <w:rFonts w:asciiTheme="minorHAnsi" w:hAnsiTheme="minorHAnsi" w:cstheme="minorHAnsi"/>
          <w:color w:val="000000" w:themeColor="text1"/>
          <w:kern w:val="24"/>
          <w:sz w:val="24"/>
          <w:szCs w:val="24"/>
          <w:lang w:eastAsia="en-AU"/>
        </w:rPr>
        <w:t>s</w:t>
      </w:r>
      <w:r w:rsidRPr="00BF3E8E">
        <w:rPr>
          <w:rFonts w:asciiTheme="minorHAnsi" w:hAnsiTheme="minorHAnsi" w:cstheme="minorHAnsi"/>
          <w:color w:val="000000" w:themeColor="text1"/>
          <w:kern w:val="24"/>
          <w:sz w:val="24"/>
          <w:szCs w:val="24"/>
          <w:lang w:eastAsia="en-AU"/>
        </w:rPr>
        <w:t>ince</w:t>
      </w:r>
      <w:r w:rsidRPr="00BF3E8E">
        <w:rPr>
          <w:rFonts w:asciiTheme="minorHAnsi" w:hAnsiTheme="minorHAnsi" w:cstheme="minorHAnsi"/>
          <w:color w:val="000000" w:themeColor="text1"/>
          <w:kern w:val="24"/>
          <w:sz w:val="24"/>
          <w:szCs w:val="24"/>
          <w:lang w:eastAsia="en-AU"/>
        </w:rPr>
        <w:t xml:space="preserve"> last presentation on 4 September 2012)</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i/>
          <w:iCs/>
          <w:color w:val="000000" w:themeColor="text1"/>
          <w:kern w:val="24"/>
          <w:sz w:val="24"/>
          <w:szCs w:val="24"/>
          <w:lang w:eastAsia="en-AU"/>
        </w:rPr>
        <w:t>Source: ABS, Census of Population and Housing, 2011 and 2006; ABS Labour Market, April 2013; DEEWR, Small Area Labour Markets, December 2012</w:t>
      </w: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u w:val="single"/>
          <w:lang w:eastAsia="en-AU"/>
        </w:rPr>
      </w:pPr>
    </w:p>
    <w:p w:rsidR="00BF3E8E" w:rsidRPr="00BF3E8E" w:rsidRDefault="00BF3E8E" w:rsidP="00BF3E8E">
      <w:pPr>
        <w:numPr>
          <w:ilvl w:val="0"/>
          <w:numId w:val="1"/>
        </w:numPr>
        <w:autoSpaceDE w:val="0"/>
        <w:autoSpaceDN w:val="0"/>
        <w:adjustRightInd w:val="0"/>
        <w:ind w:left="540" w:hanging="540"/>
        <w:rPr>
          <w:rFonts w:asciiTheme="minorHAnsi" w:hAnsiTheme="minorHAnsi" w:cstheme="minorHAnsi"/>
          <w:color w:val="000000" w:themeColor="text1"/>
          <w:kern w:val="24"/>
          <w:sz w:val="24"/>
          <w:szCs w:val="24"/>
          <w:lang w:eastAsia="en-AU"/>
        </w:rPr>
      </w:pPr>
      <w:r w:rsidRPr="00BF3E8E">
        <w:rPr>
          <w:rFonts w:asciiTheme="minorHAnsi" w:hAnsiTheme="minorHAnsi" w:cstheme="minorHAnsi"/>
          <w:b/>
          <w:bCs/>
          <w:color w:val="000000" w:themeColor="text1"/>
          <w:kern w:val="24"/>
          <w:sz w:val="24"/>
          <w:szCs w:val="24"/>
          <w:lang w:eastAsia="en-AU"/>
        </w:rPr>
        <w:t xml:space="preserve">Unemployment rates </w:t>
      </w:r>
      <w:r w:rsidRPr="00BF3E8E">
        <w:rPr>
          <w:rFonts w:asciiTheme="minorHAnsi" w:hAnsiTheme="minorHAnsi" w:cstheme="minorHAnsi"/>
          <w:color w:val="000000" w:themeColor="text1"/>
          <w:kern w:val="24"/>
          <w:sz w:val="24"/>
          <w:szCs w:val="24"/>
          <w:lang w:eastAsia="en-AU"/>
        </w:rPr>
        <w:t>have increased throughout the PEA</w:t>
      </w:r>
    </w:p>
    <w:p w:rsidR="00BF3E8E" w:rsidRPr="00BF3E8E" w:rsidRDefault="00BF3E8E" w:rsidP="00BF3E8E">
      <w:pPr>
        <w:numPr>
          <w:ilvl w:val="0"/>
          <w:numId w:val="1"/>
        </w:numPr>
        <w:autoSpaceDE w:val="0"/>
        <w:autoSpaceDN w:val="0"/>
        <w:adjustRightInd w:val="0"/>
        <w:ind w:left="540" w:hanging="540"/>
        <w:rPr>
          <w:rFonts w:asciiTheme="minorHAnsi" w:hAnsiTheme="minorHAnsi" w:cstheme="minorHAnsi"/>
          <w:color w:val="000000" w:themeColor="text1"/>
          <w:kern w:val="24"/>
          <w:sz w:val="24"/>
          <w:szCs w:val="24"/>
          <w:lang w:eastAsia="en-AU"/>
        </w:rPr>
      </w:pPr>
      <w:r w:rsidRPr="00BF3E8E">
        <w:rPr>
          <w:rFonts w:asciiTheme="minorHAnsi" w:hAnsiTheme="minorHAnsi" w:cstheme="minorHAnsi"/>
          <w:b/>
          <w:bCs/>
          <w:color w:val="000000" w:themeColor="text1"/>
          <w:kern w:val="24"/>
          <w:sz w:val="24"/>
          <w:szCs w:val="24"/>
          <w:lang w:eastAsia="en-AU"/>
        </w:rPr>
        <w:t xml:space="preserve">Working age participation rate </w:t>
      </w:r>
      <w:r w:rsidRPr="00BF3E8E">
        <w:rPr>
          <w:rFonts w:asciiTheme="minorHAnsi" w:hAnsiTheme="minorHAnsi" w:cstheme="minorHAnsi"/>
          <w:color w:val="000000" w:themeColor="text1"/>
          <w:kern w:val="24"/>
          <w:sz w:val="24"/>
          <w:szCs w:val="24"/>
          <w:lang w:eastAsia="en-AU"/>
        </w:rPr>
        <w:t>(15-64 years old) was similar</w:t>
      </w:r>
    </w:p>
    <w:p w:rsidR="00BF3E8E" w:rsidRPr="00BF3E8E" w:rsidRDefault="00BF3E8E" w:rsidP="00BF3E8E">
      <w:pPr>
        <w:numPr>
          <w:ilvl w:val="0"/>
          <w:numId w:val="1"/>
        </w:numPr>
        <w:autoSpaceDE w:val="0"/>
        <w:autoSpaceDN w:val="0"/>
        <w:adjustRightInd w:val="0"/>
        <w:ind w:left="540" w:hanging="540"/>
        <w:rPr>
          <w:rFonts w:asciiTheme="minorHAnsi" w:hAnsiTheme="minorHAnsi" w:cstheme="minorHAnsi"/>
          <w:b/>
          <w:bCs/>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Fewer </w:t>
      </w:r>
      <w:r w:rsidRPr="00BF3E8E">
        <w:rPr>
          <w:rFonts w:asciiTheme="minorHAnsi" w:hAnsiTheme="minorHAnsi" w:cstheme="minorHAnsi"/>
          <w:b/>
          <w:bCs/>
          <w:color w:val="000000" w:themeColor="text1"/>
          <w:kern w:val="24"/>
          <w:sz w:val="24"/>
          <w:szCs w:val="24"/>
          <w:lang w:eastAsia="en-AU"/>
        </w:rPr>
        <w:t xml:space="preserve">teenage full-time unemployed </w:t>
      </w:r>
    </w:p>
    <w:p w:rsidR="00BF3E8E" w:rsidRPr="00BF3E8E" w:rsidRDefault="00BF3E8E" w:rsidP="00BF3E8E">
      <w:pPr>
        <w:numPr>
          <w:ilvl w:val="0"/>
          <w:numId w:val="1"/>
        </w:numPr>
        <w:autoSpaceDE w:val="0"/>
        <w:autoSpaceDN w:val="0"/>
        <w:adjustRightInd w:val="0"/>
        <w:ind w:left="540" w:hanging="540"/>
        <w:rPr>
          <w:rFonts w:asciiTheme="minorHAnsi" w:hAnsiTheme="minorHAnsi" w:cstheme="minorHAnsi"/>
          <w:b/>
          <w:bCs/>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Increase in the number of 25-34 year olds who had </w:t>
      </w:r>
      <w:r w:rsidRPr="00BF3E8E">
        <w:rPr>
          <w:rFonts w:asciiTheme="minorHAnsi" w:hAnsiTheme="minorHAnsi" w:cstheme="minorHAnsi"/>
          <w:b/>
          <w:bCs/>
          <w:color w:val="000000" w:themeColor="text1"/>
          <w:kern w:val="24"/>
          <w:sz w:val="24"/>
          <w:szCs w:val="24"/>
          <w:lang w:eastAsia="en-AU"/>
        </w:rPr>
        <w:t>completed Year 12</w:t>
      </w:r>
    </w:p>
    <w:p w:rsidR="00BF3E8E" w:rsidRPr="00BF3E8E" w:rsidRDefault="00BF3E8E" w:rsidP="00BF3E8E">
      <w:pPr>
        <w:numPr>
          <w:ilvl w:val="0"/>
          <w:numId w:val="1"/>
        </w:numPr>
        <w:autoSpaceDE w:val="0"/>
        <w:autoSpaceDN w:val="0"/>
        <w:adjustRightInd w:val="0"/>
        <w:ind w:left="540" w:hanging="54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Proportion of </w:t>
      </w:r>
      <w:r w:rsidRPr="00BF3E8E">
        <w:rPr>
          <w:rFonts w:asciiTheme="minorHAnsi" w:hAnsiTheme="minorHAnsi" w:cstheme="minorHAnsi"/>
          <w:b/>
          <w:bCs/>
          <w:color w:val="000000" w:themeColor="text1"/>
          <w:kern w:val="24"/>
          <w:sz w:val="24"/>
          <w:szCs w:val="24"/>
          <w:lang w:eastAsia="en-AU"/>
        </w:rPr>
        <w:t xml:space="preserve">disengaged youth </w:t>
      </w:r>
      <w:r w:rsidRPr="00BF3E8E">
        <w:rPr>
          <w:rFonts w:asciiTheme="minorHAnsi" w:hAnsiTheme="minorHAnsi" w:cstheme="minorHAnsi"/>
          <w:color w:val="000000" w:themeColor="text1"/>
          <w:kern w:val="24"/>
          <w:sz w:val="24"/>
          <w:szCs w:val="24"/>
          <w:lang w:eastAsia="en-AU"/>
        </w:rPr>
        <w:t>(20-24 years old) was similar</w:t>
      </w:r>
    </w:p>
    <w:p w:rsidR="00BF3E8E" w:rsidRPr="00BF3E8E" w:rsidRDefault="00BF3E8E" w:rsidP="00BF3E8E">
      <w:pPr>
        <w:numPr>
          <w:ilvl w:val="0"/>
          <w:numId w:val="1"/>
        </w:numPr>
        <w:autoSpaceDE w:val="0"/>
        <w:autoSpaceDN w:val="0"/>
        <w:adjustRightInd w:val="0"/>
        <w:ind w:left="540" w:hanging="54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Reliance on </w:t>
      </w:r>
      <w:r w:rsidRPr="00BF3E8E">
        <w:rPr>
          <w:rFonts w:asciiTheme="minorHAnsi" w:hAnsiTheme="minorHAnsi" w:cstheme="minorHAnsi"/>
          <w:b/>
          <w:bCs/>
          <w:color w:val="000000" w:themeColor="text1"/>
          <w:kern w:val="24"/>
          <w:sz w:val="24"/>
          <w:szCs w:val="24"/>
          <w:lang w:eastAsia="en-AU"/>
        </w:rPr>
        <w:t xml:space="preserve">income support payments </w:t>
      </w:r>
      <w:r w:rsidRPr="00BF3E8E">
        <w:rPr>
          <w:rFonts w:asciiTheme="minorHAnsi" w:hAnsiTheme="minorHAnsi" w:cstheme="minorHAnsi"/>
          <w:color w:val="000000" w:themeColor="text1"/>
          <w:kern w:val="24"/>
          <w:sz w:val="24"/>
          <w:szCs w:val="24"/>
          <w:lang w:eastAsia="en-AU"/>
        </w:rPr>
        <w:t>was similar</w:t>
      </w:r>
    </w:p>
    <w:p w:rsidR="00BF3E8E" w:rsidRPr="00BF3E8E" w:rsidRDefault="00BF3E8E" w:rsidP="00BF3E8E">
      <w:pPr>
        <w:numPr>
          <w:ilvl w:val="0"/>
          <w:numId w:val="1"/>
        </w:numPr>
        <w:autoSpaceDE w:val="0"/>
        <w:autoSpaceDN w:val="0"/>
        <w:adjustRightInd w:val="0"/>
        <w:ind w:left="540" w:hanging="54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The number of </w:t>
      </w:r>
      <w:r w:rsidRPr="00BF3E8E">
        <w:rPr>
          <w:rFonts w:asciiTheme="minorHAnsi" w:hAnsiTheme="minorHAnsi" w:cstheme="minorHAnsi"/>
          <w:b/>
          <w:bCs/>
          <w:color w:val="000000" w:themeColor="text1"/>
          <w:kern w:val="24"/>
          <w:sz w:val="24"/>
          <w:szCs w:val="24"/>
          <w:lang w:eastAsia="en-AU"/>
        </w:rPr>
        <w:t xml:space="preserve">jobless families </w:t>
      </w:r>
      <w:r w:rsidRPr="00BF3E8E">
        <w:rPr>
          <w:rFonts w:asciiTheme="minorHAnsi" w:hAnsiTheme="minorHAnsi" w:cstheme="minorHAnsi"/>
          <w:color w:val="000000" w:themeColor="text1"/>
          <w:kern w:val="24"/>
          <w:sz w:val="24"/>
          <w:szCs w:val="24"/>
          <w:lang w:eastAsia="en-AU"/>
        </w:rPr>
        <w:t>was similar</w:t>
      </w:r>
    </w:p>
    <w:p w:rsidR="00BF3E8E" w:rsidRPr="00BF3E8E" w:rsidRDefault="00BF3E8E" w:rsidP="00BF3E8E">
      <w:pPr>
        <w:autoSpaceDE w:val="0"/>
        <w:autoSpaceDN w:val="0"/>
        <w:adjustRightInd w:val="0"/>
        <w:ind w:left="1980" w:hanging="54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4</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040" type="#_x0000_t75" style="width:270.6pt;height:202.5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40" DrawAspect="Content" ObjectID="_1430893286" r:id="rId13"/>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u w:val="single"/>
          <w:lang w:eastAsia="en-AU"/>
        </w:rPr>
      </w:pPr>
      <w:r w:rsidRPr="00BF3E8E">
        <w:rPr>
          <w:rFonts w:asciiTheme="minorHAnsi" w:hAnsiTheme="minorHAnsi" w:cstheme="minorHAnsi"/>
          <w:b/>
          <w:bCs/>
          <w:color w:val="000000" w:themeColor="text1"/>
          <w:kern w:val="24"/>
          <w:sz w:val="24"/>
          <w:szCs w:val="24"/>
          <w:u w:val="single"/>
          <w:lang w:eastAsia="en-AU"/>
        </w:rPr>
        <w:t xml:space="preserve">Profile of South Eastern Melbourne </w:t>
      </w:r>
      <w:r w:rsidRPr="00BF3E8E">
        <w:rPr>
          <w:rFonts w:asciiTheme="minorHAnsi" w:hAnsiTheme="minorHAnsi" w:cstheme="minorHAnsi"/>
          <w:b/>
          <w:bCs/>
          <w:color w:val="000000" w:themeColor="text1"/>
          <w:kern w:val="24"/>
          <w:sz w:val="24"/>
          <w:szCs w:val="24"/>
          <w:u w:val="single"/>
          <w:lang w:val="en-US" w:eastAsia="en-AU"/>
        </w:rPr>
        <w:t>PEA</w:t>
      </w: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r w:rsidRPr="00BF3E8E">
        <w:rPr>
          <w:rFonts w:asciiTheme="minorHAnsi" w:hAnsiTheme="minorHAnsi" w:cstheme="minorHAnsi"/>
          <w:i/>
          <w:iCs/>
          <w:color w:val="000000" w:themeColor="text1"/>
          <w:kern w:val="24"/>
          <w:sz w:val="24"/>
          <w:szCs w:val="24"/>
          <w:lang w:eastAsia="en-AU"/>
        </w:rPr>
        <w:t xml:space="preserve">Source: ABS, Census of Population and Housing, 2011 and 2006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val="en-US" w:eastAsia="en-AU"/>
        </w:rPr>
      </w:pPr>
      <w:r w:rsidRPr="00BF3E8E">
        <w:rPr>
          <w:rFonts w:asciiTheme="minorHAnsi" w:hAnsiTheme="minorHAnsi" w:cstheme="minorHAnsi"/>
          <w:color w:val="000000" w:themeColor="text1"/>
          <w:kern w:val="24"/>
          <w:sz w:val="24"/>
          <w:szCs w:val="24"/>
          <w:lang w:val="en-US" w:eastAsia="en-AU"/>
        </w:rPr>
        <w:t>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val="en-US" w:eastAsia="en-AU"/>
        </w:rPr>
      </w:pPr>
      <w:r w:rsidRPr="00BF3E8E">
        <w:rPr>
          <w:rFonts w:asciiTheme="minorHAnsi" w:hAnsiTheme="minorHAnsi" w:cstheme="minorHAnsi"/>
          <w:color w:val="000000" w:themeColor="text1"/>
          <w:kern w:val="24"/>
          <w:sz w:val="24"/>
          <w:szCs w:val="24"/>
          <w:lang w:val="en-US" w:eastAsia="en-AU"/>
        </w:rPr>
        <w:t xml:space="preserve">At the time of the 2011 Census, the adult population (15 years and over) of the South Eastern Melbourne PEA was 581,100 people.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val="en-US" w:eastAsia="en-AU"/>
        </w:rPr>
        <w:t xml:space="preserve"> - </w:t>
      </w:r>
      <w:r w:rsidRPr="00BF3E8E">
        <w:rPr>
          <w:rFonts w:asciiTheme="minorHAnsi" w:hAnsiTheme="minorHAnsi" w:cstheme="minorHAnsi"/>
          <w:color w:val="000000" w:themeColor="text1"/>
          <w:kern w:val="24"/>
          <w:sz w:val="24"/>
          <w:szCs w:val="24"/>
          <w:lang w:eastAsia="en-AU"/>
        </w:rPr>
        <w:t>The Casey LGA recorded the largest adult population with 193,800 people.</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The South Eastern Melbourne PEA experienced adult population growth of 14</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between 2006 and 2011, a higher level of growth compared with the Victorian and Australian averages of 9</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 - The highest adult population growth was recorded in the Cardinia LGA with an increase of 32</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over the same period.</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At the time of the 2011 census, the working age participation rate for the PEA was 75.2</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only slightly lower than that for both Victoria (75.6</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and Australia (75.8</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 - The Cardinia LGA recorded the highest participation rate at 78.5</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 - The Greater Dandenong LGA recorded the lowest participation rate at 66.8</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At the time of the 2011 Census, the proportion of the adult population aged 65 and over in the South Eastern Melbourne PEA was slightly lower at 15</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compared with Victoria and Australian (both 17</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At the time of the 2011 Census, the median age in the South Eastern Melbourne PEA was 36 years. </w:t>
      </w: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5</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045" type="#_x0000_t75" style="width:270.6pt;height:202.5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45" DrawAspect="Content" ObjectID="_1430893287" r:id="rId15"/>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b/>
          <w:bCs/>
          <w:color w:val="000000" w:themeColor="text1"/>
          <w:kern w:val="24"/>
          <w:sz w:val="24"/>
          <w:szCs w:val="24"/>
          <w:u w:val="single"/>
          <w:lang w:eastAsia="en-AU"/>
        </w:rPr>
        <w:t>Employment profile – Working Age Population</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i/>
          <w:iCs/>
          <w:color w:val="000000" w:themeColor="text1"/>
          <w:kern w:val="24"/>
          <w:sz w:val="24"/>
          <w:szCs w:val="24"/>
          <w:lang w:eastAsia="en-AU"/>
        </w:rPr>
        <w:t>Source: ABS, Census of Population and Housing, 2011 and 2006</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At the time of the 2011 Census the working age population participation rate for the South Eastern Melbourne PEA was 75.2</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on a par with Victoria (77.6</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and Australia (75.8</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The South Eastern Melbourne PEA has had larger employment growth (15</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in the five years to 2011 compared to the average for Victoria and Australia (both 10</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The proportion of part-time employment in the PEA (29</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was similar to Victoria and Australia (31</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and 30</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respectively).</w:t>
      </w: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6</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050" type="#_x0000_t75" style="width:270.6pt;height:202.5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50" DrawAspect="Content" ObjectID="_1430893288" r:id="rId17"/>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u w:val="single"/>
          <w:lang w:eastAsia="en-AU"/>
        </w:rPr>
      </w:pPr>
      <w:r w:rsidRPr="00BF3E8E">
        <w:rPr>
          <w:rFonts w:asciiTheme="minorHAnsi" w:hAnsiTheme="minorHAnsi" w:cstheme="minorHAnsi"/>
          <w:b/>
          <w:bCs/>
          <w:color w:val="000000" w:themeColor="text1"/>
          <w:kern w:val="24"/>
          <w:sz w:val="24"/>
          <w:szCs w:val="24"/>
          <w:u w:val="single"/>
          <w:lang w:eastAsia="en-AU"/>
        </w:rPr>
        <w:t>Unemployment Rate Time Series</w:t>
      </w: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r w:rsidRPr="00BF3E8E">
        <w:rPr>
          <w:rFonts w:asciiTheme="minorHAnsi" w:hAnsiTheme="minorHAnsi" w:cstheme="minorHAnsi"/>
          <w:i/>
          <w:iCs/>
          <w:color w:val="000000" w:themeColor="text1"/>
          <w:kern w:val="24"/>
          <w:sz w:val="24"/>
          <w:szCs w:val="24"/>
          <w:lang w:eastAsia="en-AU"/>
        </w:rPr>
        <w:t>Source:</w:t>
      </w:r>
      <w:r w:rsidRPr="00BF3E8E">
        <w:rPr>
          <w:rFonts w:asciiTheme="minorHAnsi" w:hAnsiTheme="minorHAnsi" w:cstheme="minorHAnsi"/>
          <w:color w:val="000000" w:themeColor="text1"/>
          <w:kern w:val="24"/>
          <w:sz w:val="24"/>
          <w:szCs w:val="24"/>
          <w:lang w:eastAsia="en-AU"/>
        </w:rPr>
        <w:t xml:space="preserve">  </w:t>
      </w:r>
      <w:r w:rsidRPr="00BF3E8E">
        <w:rPr>
          <w:rFonts w:asciiTheme="minorHAnsi" w:hAnsiTheme="minorHAnsi" w:cstheme="minorHAnsi"/>
          <w:i/>
          <w:iCs/>
          <w:color w:val="000000" w:themeColor="text1"/>
          <w:kern w:val="24"/>
          <w:sz w:val="24"/>
          <w:szCs w:val="24"/>
          <w:lang w:eastAsia="en-AU"/>
        </w:rPr>
        <w:t>DEEWR Small Area Labour Markets, December 2012</w:t>
      </w: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This time series chart shows the unemployment rates from March 2008 to December 2012 for the South Eastern Melbourne PEA, Victoria and Australia.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The unemployment rate for the South Eastern Melbourne PEA peaked at</w:t>
      </w:r>
      <w:r>
        <w:rPr>
          <w:rFonts w:asciiTheme="minorHAnsi" w:hAnsiTheme="minorHAnsi" w:cstheme="minorHAnsi"/>
          <w:color w:val="000000" w:themeColor="text1"/>
          <w:kern w:val="24"/>
          <w:sz w:val="24"/>
          <w:szCs w:val="24"/>
          <w:lang w:eastAsia="en-AU"/>
        </w:rPr>
        <w:t xml:space="preserve"> 7.0 per cent in December 2009 </w:t>
      </w:r>
      <w:r w:rsidRPr="00BF3E8E">
        <w:rPr>
          <w:rFonts w:asciiTheme="minorHAnsi" w:hAnsiTheme="minorHAnsi" w:cstheme="minorHAnsi"/>
          <w:color w:val="000000" w:themeColor="text1"/>
          <w:kern w:val="24"/>
          <w:sz w:val="24"/>
          <w:szCs w:val="24"/>
          <w:lang w:eastAsia="en-AU"/>
        </w:rPr>
        <w:t>before falling to 5.9</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in June 2011.  It has since risen to stand at 6.7</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in December 2012.  This is higher than the rate for both Victoria and Australia (5.5</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and 5.2</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respectively).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7</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055" type="#_x0000_t75" style="width:270.6pt;height:202.5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55" DrawAspect="Content" ObjectID="_1430893289" r:id="rId19"/>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u w:val="single"/>
          <w:lang w:eastAsia="en-AU"/>
        </w:rPr>
      </w:pPr>
      <w:r w:rsidRPr="00BF3E8E">
        <w:rPr>
          <w:rFonts w:asciiTheme="minorHAnsi" w:hAnsiTheme="minorHAnsi" w:cstheme="minorHAnsi"/>
          <w:b/>
          <w:bCs/>
          <w:color w:val="000000" w:themeColor="text1"/>
          <w:kern w:val="24"/>
          <w:sz w:val="24"/>
          <w:szCs w:val="24"/>
          <w:u w:val="single"/>
          <w:lang w:eastAsia="en-AU"/>
        </w:rPr>
        <w:t>Unemployment Rate</w:t>
      </w: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r w:rsidRPr="00BF3E8E">
        <w:rPr>
          <w:rFonts w:asciiTheme="minorHAnsi" w:hAnsiTheme="minorHAnsi" w:cstheme="minorHAnsi"/>
          <w:i/>
          <w:iCs/>
          <w:color w:val="000000" w:themeColor="text1"/>
          <w:kern w:val="24"/>
          <w:sz w:val="24"/>
          <w:szCs w:val="24"/>
          <w:lang w:eastAsia="en-AU"/>
        </w:rPr>
        <w:t>Source:</w:t>
      </w:r>
      <w:r w:rsidRPr="00BF3E8E">
        <w:rPr>
          <w:rFonts w:asciiTheme="minorHAnsi" w:hAnsiTheme="minorHAnsi" w:cstheme="minorHAnsi"/>
          <w:color w:val="000000" w:themeColor="text1"/>
          <w:kern w:val="24"/>
          <w:sz w:val="24"/>
          <w:szCs w:val="24"/>
          <w:lang w:eastAsia="en-AU"/>
        </w:rPr>
        <w:t xml:space="preserve">  </w:t>
      </w:r>
      <w:r w:rsidRPr="00BF3E8E">
        <w:rPr>
          <w:rFonts w:asciiTheme="minorHAnsi" w:hAnsiTheme="minorHAnsi" w:cstheme="minorHAnsi"/>
          <w:i/>
          <w:iCs/>
          <w:color w:val="000000" w:themeColor="text1"/>
          <w:kern w:val="24"/>
          <w:sz w:val="24"/>
          <w:szCs w:val="24"/>
          <w:lang w:eastAsia="en-AU"/>
        </w:rPr>
        <w:t>DEEWR Small Area Labour Markets, December 2012; ABS Labour Force, April 2013</w:t>
      </w: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As at December 2012, the South Eastern Melbourne PEA had an unemployment rate of 6.7</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higher than Victoria (5.6</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and Australia (5.4</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The unemployment rate for the South Eastern Melbourne PEA increased by 0.7 percentage points over the 12 months to December 2012. The seasonally adjusted unemployment rate for Victoria and Australia also increased over the 12 months to April 2013 (both 0.5 percentage points).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Unemployment rates within the South Eastern Melbourne PEA vary considerably across the LGAs. </w:t>
      </w:r>
      <w:r w:rsidRPr="00BF3E8E">
        <w:rPr>
          <w:rFonts w:asciiTheme="minorHAnsi" w:hAnsiTheme="minorHAnsi" w:cstheme="minorHAnsi"/>
          <w:color w:val="000000" w:themeColor="text1"/>
          <w:kern w:val="24"/>
          <w:sz w:val="24"/>
          <w:szCs w:val="24"/>
          <w:lang w:eastAsia="en-AU"/>
        </w:rPr>
        <w:br/>
        <w:t xml:space="preserve"> - The Greater Dandenong LGA recorded the highest unemployment rate of 9.1</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 - The Cardinia LGA recorded the lowest unemployment rate of 5.5</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w:t>
      </w: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8</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060" type="#_x0000_t75" style="width:270.6pt;height:202.5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60" DrawAspect="Content" ObjectID="_1430893290" r:id="rId21"/>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u w:val="single"/>
          <w:lang w:eastAsia="en-AU"/>
        </w:rPr>
      </w:pPr>
      <w:r w:rsidRPr="00BF3E8E">
        <w:rPr>
          <w:rFonts w:asciiTheme="minorHAnsi" w:hAnsiTheme="minorHAnsi" w:cstheme="minorHAnsi"/>
          <w:b/>
          <w:bCs/>
          <w:color w:val="000000" w:themeColor="text1"/>
          <w:kern w:val="24"/>
          <w:sz w:val="24"/>
          <w:szCs w:val="24"/>
          <w:u w:val="single"/>
          <w:lang w:eastAsia="en-AU"/>
        </w:rPr>
        <w:t>Industry of Employment – South Eastern Melbourne PEA</w:t>
      </w: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r w:rsidRPr="00BF3E8E">
        <w:rPr>
          <w:rFonts w:asciiTheme="minorHAnsi" w:hAnsiTheme="minorHAnsi" w:cstheme="minorHAnsi"/>
          <w:i/>
          <w:iCs/>
          <w:color w:val="000000" w:themeColor="text1"/>
          <w:kern w:val="24"/>
          <w:sz w:val="24"/>
          <w:szCs w:val="24"/>
          <w:lang w:eastAsia="en-AU"/>
        </w:rPr>
        <w:t>Source:  ABS, Census of Population and Housing, 2011 (place of work)</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The Manufacturing industry recorded the highest employment growth in the PEA (21</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This was followed by the Retail Trade (13</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Health Care and Social Assistance (11</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Construction and Education and Training industries (both 8</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w:t>
      </w: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9</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065" type="#_x0000_t75" style="width:270.6pt;height:202.5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65" DrawAspect="Content" ObjectID="_1430893291" r:id="rId23"/>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u w:val="single"/>
          <w:lang w:eastAsia="en-AU"/>
        </w:rPr>
      </w:pPr>
      <w:r w:rsidRPr="00BF3E8E">
        <w:rPr>
          <w:rFonts w:asciiTheme="minorHAnsi" w:hAnsiTheme="minorHAnsi" w:cstheme="minorHAnsi"/>
          <w:b/>
          <w:bCs/>
          <w:color w:val="000000" w:themeColor="text1"/>
          <w:kern w:val="24"/>
          <w:sz w:val="24"/>
          <w:szCs w:val="24"/>
          <w:u w:val="single"/>
          <w:lang w:eastAsia="en-AU"/>
        </w:rPr>
        <w:t>Industry by Local Government Area - by place of work</w:t>
      </w: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r w:rsidRPr="00BF3E8E">
        <w:rPr>
          <w:rFonts w:asciiTheme="minorHAnsi" w:hAnsiTheme="minorHAnsi" w:cstheme="minorHAnsi"/>
          <w:i/>
          <w:iCs/>
          <w:color w:val="000000" w:themeColor="text1"/>
          <w:kern w:val="24"/>
          <w:sz w:val="24"/>
          <w:szCs w:val="24"/>
          <w:lang w:eastAsia="en-AU"/>
        </w:rPr>
        <w:t>Source:  ABS, Census of Population and Housing, 2011 (place of work)</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The Local Government Areas in the South Eastern Melbourne Priority Employment Area each have different industry profiles.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Employment in the Greater Dandenong LGA is heavily reliant on the Manufacturing industry. Almost one in three people (30</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were employed in this industry at the time of the 2011 Census, compared with 9</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for Australia.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In the Frankston LGA 19</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of people were employed in the Health Care and Social Assistance industry, compared with 12</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for Australia. </w:t>
      </w: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10</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070" type="#_x0000_t75" style="width:270.6pt;height:202.5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70" DrawAspect="Content" ObjectID="_1430893292" r:id="rId25"/>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u w:val="single"/>
          <w:lang w:eastAsia="en-AU"/>
        </w:rPr>
      </w:pPr>
      <w:r w:rsidRPr="00BF3E8E">
        <w:rPr>
          <w:rFonts w:asciiTheme="minorHAnsi" w:hAnsiTheme="minorHAnsi" w:cstheme="minorHAnsi"/>
          <w:b/>
          <w:bCs/>
          <w:color w:val="000000" w:themeColor="text1"/>
          <w:kern w:val="24"/>
          <w:sz w:val="24"/>
          <w:szCs w:val="24"/>
          <w:u w:val="single"/>
          <w:lang w:eastAsia="en-AU"/>
        </w:rPr>
        <w:t>Projected Employment Growth by Industry, Five Years to 2016-17 - South Eastern Melbourne</w:t>
      </w: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r w:rsidRPr="00BF3E8E">
        <w:rPr>
          <w:rFonts w:asciiTheme="minorHAnsi" w:hAnsiTheme="minorHAnsi" w:cstheme="minorHAnsi"/>
          <w:i/>
          <w:iCs/>
          <w:color w:val="000000" w:themeColor="text1"/>
          <w:kern w:val="24"/>
          <w:sz w:val="24"/>
          <w:szCs w:val="24"/>
          <w:lang w:eastAsia="en-AU"/>
        </w:rPr>
        <w:t>Source:  DEEWR, Regional Projections to 2016-17, www.deewr.gov.au/lmip</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DEEWR Regional Projections to 2016-17 project the largest employment growth in the South Eastern Melbourne PEA to be in the Health Care and Social Assistance industry. The industry is likely to employ an additional 6,300 people by 2016-17. Employment growth is also likely for the Retail Trade (3,900 people) and Construction (2,500 people) industries.</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It is projected that the Manufacturing industry will have the largest decrease in employment with approximately 4,000 less people being employed in the industry by 2016-17.</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11</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075" type="#_x0000_t75" style="width:270.6pt;height:202.5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75" DrawAspect="Content" ObjectID="_1430893293" r:id="rId27"/>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u w:val="single"/>
          <w:lang w:eastAsia="en-AU"/>
        </w:rPr>
      </w:pPr>
      <w:r w:rsidRPr="00BF3E8E">
        <w:rPr>
          <w:rFonts w:asciiTheme="minorHAnsi" w:hAnsiTheme="minorHAnsi" w:cstheme="minorHAnsi"/>
          <w:b/>
          <w:bCs/>
          <w:color w:val="000000" w:themeColor="text1"/>
          <w:kern w:val="24"/>
          <w:sz w:val="24"/>
          <w:szCs w:val="24"/>
          <w:u w:val="single"/>
          <w:lang w:eastAsia="en-AU"/>
        </w:rPr>
        <w:t>Travel outside of the PEA for work / Travel to the PEA for work</w:t>
      </w: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r w:rsidRPr="00BF3E8E">
        <w:rPr>
          <w:rFonts w:asciiTheme="minorHAnsi" w:hAnsiTheme="minorHAnsi" w:cstheme="minorHAnsi"/>
          <w:i/>
          <w:iCs/>
          <w:color w:val="000000" w:themeColor="text1"/>
          <w:kern w:val="24"/>
          <w:sz w:val="24"/>
          <w:szCs w:val="24"/>
          <w:lang w:eastAsia="en-AU"/>
        </w:rPr>
        <w:t>Source:  ABS, 2011 Census of Population and Housing</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lang w:eastAsia="en-AU"/>
        </w:rPr>
      </w:pPr>
      <w:r w:rsidRPr="00BF3E8E">
        <w:rPr>
          <w:rFonts w:asciiTheme="minorHAnsi" w:hAnsiTheme="minorHAnsi" w:cstheme="minorHAnsi"/>
          <w:b/>
          <w:bCs/>
          <w:color w:val="000000" w:themeColor="text1"/>
          <w:kern w:val="24"/>
          <w:sz w:val="24"/>
          <w:szCs w:val="24"/>
          <w:lang w:eastAsia="en-AU"/>
        </w:rPr>
        <w:t>Living in the PEA and travelling outside for work:</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At the time of the 2011 Census, around 293,400 employed people of working age (15-64 years) were residing in the South Eastern Melbourne PEA.</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Of those people, 56</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(164,700 people) worked in the PEA.</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The remaining 44</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(128,700 people) travelled outside of the PEA for work.</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The largest proportions travelled to</w:t>
      </w:r>
      <w:proofErr w:type="gramStart"/>
      <w:r w:rsidRPr="00BF3E8E">
        <w:rPr>
          <w:rFonts w:asciiTheme="minorHAnsi" w:hAnsiTheme="minorHAnsi" w:cstheme="minorHAnsi"/>
          <w:color w:val="000000" w:themeColor="text1"/>
          <w:kern w:val="24"/>
          <w:sz w:val="24"/>
          <w:szCs w:val="24"/>
          <w:lang w:eastAsia="en-AU"/>
        </w:rPr>
        <w:t>:</w:t>
      </w:r>
      <w:proofErr w:type="gramEnd"/>
      <w:r w:rsidRPr="00BF3E8E">
        <w:rPr>
          <w:rFonts w:asciiTheme="minorHAnsi" w:hAnsiTheme="minorHAnsi" w:cstheme="minorHAnsi"/>
          <w:color w:val="000000" w:themeColor="text1"/>
          <w:kern w:val="24"/>
          <w:sz w:val="24"/>
          <w:szCs w:val="24"/>
          <w:lang w:eastAsia="en-AU"/>
        </w:rPr>
        <w:br/>
        <w:t>Melbourne LGA (25,400 people or 20</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of people travelling outside the PEA for work)</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Monash LGA (24,400 people or 19</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of people travelling outside the PEA for work</w:t>
      </w:r>
      <w:r w:rsidRPr="00BF3E8E">
        <w:rPr>
          <w:rFonts w:asciiTheme="minorHAnsi" w:hAnsiTheme="minorHAnsi" w:cstheme="minorHAnsi"/>
          <w:color w:val="000000" w:themeColor="text1"/>
          <w:kern w:val="24"/>
          <w:sz w:val="24"/>
          <w:szCs w:val="24"/>
          <w:lang w:eastAsia="en-AU"/>
        </w:rPr>
        <w:t xml:space="preserve">) </w:t>
      </w:r>
      <w:r w:rsidRPr="00BF3E8E">
        <w:rPr>
          <w:rFonts w:asciiTheme="minorHAnsi" w:hAnsiTheme="minorHAnsi" w:cstheme="minorHAnsi"/>
          <w:color w:val="000000" w:themeColor="text1"/>
          <w:kern w:val="24"/>
          <w:sz w:val="24"/>
          <w:szCs w:val="24"/>
          <w:lang w:eastAsia="en-AU"/>
        </w:rPr>
        <w:br/>
        <w:t>Knox LGA (9,300</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or 7</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of people travelling outside the PEA for work)</w:t>
      </w: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lang w:eastAsia="en-AU"/>
        </w:rPr>
      </w:pPr>
      <w:r w:rsidRPr="00BF3E8E">
        <w:rPr>
          <w:rFonts w:asciiTheme="minorHAnsi" w:hAnsiTheme="minorHAnsi" w:cstheme="minorHAnsi"/>
          <w:b/>
          <w:bCs/>
          <w:color w:val="000000" w:themeColor="text1"/>
          <w:kern w:val="24"/>
          <w:sz w:val="24"/>
          <w:szCs w:val="24"/>
          <w:lang w:eastAsia="en-AU"/>
        </w:rPr>
        <w:t>Living outside the PEA and travelling to the PEA for work:</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At the time of the 2011 Census, 237,100 people were employed in the South Eastern Melbourne PEA.</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Of those people working in the PEA, 69</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(164,700 people) lived in the PEA and the remaining 31</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(72,500 people) lived outside the PEA and travelled to the PEA to work.</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The largest proportions travelled from:</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Mornington Peninsula LGA (12,700 people or 18</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of people travelling to the PEA for work)</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Monash LGA (9,800 people or 14</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of people travelling to the PEA for work)</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Knox LGA (8,400 people or 12</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of people travelling to the PEA for work)</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12</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080" type="#_x0000_t75" style="width:270.6pt;height:202.5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80" DrawAspect="Content" ObjectID="_1430893294" r:id="rId29"/>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u w:val="single"/>
          <w:lang w:eastAsia="en-AU"/>
        </w:rPr>
      </w:pPr>
      <w:r w:rsidRPr="00BF3E8E">
        <w:rPr>
          <w:rFonts w:asciiTheme="minorHAnsi" w:hAnsiTheme="minorHAnsi" w:cstheme="minorHAnsi"/>
          <w:b/>
          <w:bCs/>
          <w:color w:val="000000" w:themeColor="text1"/>
          <w:kern w:val="24"/>
          <w:sz w:val="24"/>
          <w:szCs w:val="24"/>
          <w:u w:val="single"/>
          <w:lang w:eastAsia="en-AU"/>
        </w:rPr>
        <w:t>Teenage Full-Time Unemployment</w:t>
      </w: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r w:rsidRPr="00BF3E8E">
        <w:rPr>
          <w:rFonts w:asciiTheme="minorHAnsi" w:hAnsiTheme="minorHAnsi" w:cstheme="minorHAnsi"/>
          <w:i/>
          <w:iCs/>
          <w:color w:val="000000" w:themeColor="text1"/>
          <w:kern w:val="24"/>
          <w:sz w:val="24"/>
          <w:szCs w:val="24"/>
          <w:lang w:eastAsia="en-AU"/>
        </w:rPr>
        <w:t>Source: ABS Labour Force data, March 2013 (12 month average)</w:t>
      </w: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Due to their lack of skills and experience, teenagers in the full-time labour market can be particularly vulnerable during a labour market downturn.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The teenage full-time unemployment rate is the proportion of those aged 15 to 19 years, participating full-time in the labour market, who are unemployed.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br/>
        <w:t>As at March 2013, the teenage full-time unemployment rate for the South Eastern Melbourne Labour Force Region (</w:t>
      </w:r>
      <w:proofErr w:type="spellStart"/>
      <w:r w:rsidRPr="00BF3E8E">
        <w:rPr>
          <w:rFonts w:asciiTheme="minorHAnsi" w:hAnsiTheme="minorHAnsi" w:cstheme="minorHAnsi"/>
          <w:color w:val="000000" w:themeColor="text1"/>
          <w:kern w:val="24"/>
          <w:sz w:val="24"/>
          <w:szCs w:val="24"/>
          <w:lang w:eastAsia="en-AU"/>
        </w:rPr>
        <w:t>LFR</w:t>
      </w:r>
      <w:proofErr w:type="spellEnd"/>
      <w:r w:rsidRPr="00BF3E8E">
        <w:rPr>
          <w:rFonts w:asciiTheme="minorHAnsi" w:hAnsiTheme="minorHAnsi" w:cstheme="minorHAnsi"/>
          <w:color w:val="000000" w:themeColor="text1"/>
          <w:kern w:val="24"/>
          <w:sz w:val="24"/>
          <w:szCs w:val="24"/>
          <w:lang w:eastAsia="en-AU"/>
        </w:rPr>
        <w:t>) was 15.3</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This proportion was lower than the state (26.7</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and national (24.3</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averages.</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As at March 2013, the teenage full-time unemployment to teenage population ratio in the South Eastern Melbourne </w:t>
      </w:r>
      <w:proofErr w:type="spellStart"/>
      <w:r w:rsidRPr="00BF3E8E">
        <w:rPr>
          <w:rFonts w:asciiTheme="minorHAnsi" w:hAnsiTheme="minorHAnsi" w:cstheme="minorHAnsi"/>
          <w:color w:val="000000" w:themeColor="text1"/>
          <w:kern w:val="24"/>
          <w:sz w:val="24"/>
          <w:szCs w:val="24"/>
          <w:lang w:eastAsia="en-AU"/>
        </w:rPr>
        <w:t>LFR</w:t>
      </w:r>
      <w:proofErr w:type="spellEnd"/>
      <w:r w:rsidRPr="00BF3E8E">
        <w:rPr>
          <w:rFonts w:asciiTheme="minorHAnsi" w:hAnsiTheme="minorHAnsi" w:cstheme="minorHAnsi"/>
          <w:color w:val="000000" w:themeColor="text1"/>
          <w:kern w:val="24"/>
          <w:sz w:val="24"/>
          <w:szCs w:val="24"/>
          <w:lang w:eastAsia="en-AU"/>
        </w:rPr>
        <w:t xml:space="preserve"> was 2.0</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This figure was lower than the rates in Victoria and Australia (3.7</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and 4.2</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respectively). </w:t>
      </w: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13</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085" type="#_x0000_t75" style="width:270.6pt;height:202.5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85" DrawAspect="Content" ObjectID="_1430893295" r:id="rId31"/>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u w:val="single"/>
          <w:lang w:eastAsia="en-AU"/>
        </w:rPr>
      </w:pPr>
      <w:r w:rsidRPr="00BF3E8E">
        <w:rPr>
          <w:rFonts w:asciiTheme="minorHAnsi" w:hAnsiTheme="minorHAnsi" w:cstheme="minorHAnsi"/>
          <w:b/>
          <w:bCs/>
          <w:color w:val="000000" w:themeColor="text1"/>
          <w:kern w:val="24"/>
          <w:sz w:val="24"/>
          <w:szCs w:val="24"/>
          <w:u w:val="single"/>
          <w:lang w:eastAsia="en-AU"/>
        </w:rPr>
        <w:t>High Levels of Disengagement amongst Young Adults – (20-24 year olds)</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i/>
          <w:iCs/>
          <w:color w:val="000000" w:themeColor="text1"/>
          <w:kern w:val="24"/>
          <w:sz w:val="24"/>
          <w:szCs w:val="24"/>
          <w:lang w:eastAsia="en-AU"/>
        </w:rPr>
        <w:t>Source: ABS, Census of Population and Housing, 2011</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At the time of the 2011 Census, 13</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of young adults (persons aged 20 to 24 years) in the South Eastern Melbourne PEA were neither working nor studying. This figure was slightly higher compared with Victoria (11</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and Australia (13</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For young adult males in the PEA, 6</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were not in the labour force and not studying and a further 5</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were unemployed and not studying. For young adult females in the PEA, 12</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were not in the labour force and not studying and a further 4</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were unemployed and not studying.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The Cardinia and Greater Dandenong LGAs had particularly large proportions of young adult females not in the labour force or unemployed (13</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and 14</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respectively). The proportion of young adult males not in the labour force or unemployed was also largest in the Greater Dandenong LGA (7</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14</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090" type="#_x0000_t75" style="width:270.6pt;height:202.5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90" DrawAspect="Content" ObjectID="_1430893296" r:id="rId33"/>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u w:val="single"/>
          <w:lang w:eastAsia="en-AU"/>
        </w:rPr>
      </w:pPr>
      <w:r w:rsidRPr="00BF3E8E">
        <w:rPr>
          <w:rFonts w:asciiTheme="minorHAnsi" w:hAnsiTheme="minorHAnsi" w:cstheme="minorHAnsi"/>
          <w:b/>
          <w:bCs/>
          <w:color w:val="000000" w:themeColor="text1"/>
          <w:kern w:val="24"/>
          <w:sz w:val="24"/>
          <w:szCs w:val="24"/>
          <w:u w:val="single"/>
          <w:lang w:eastAsia="en-AU"/>
        </w:rPr>
        <w:t>Higher Rates of Income Support in Greater Dandenong and Frankston LGAs</w:t>
      </w: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r w:rsidRPr="00BF3E8E">
        <w:rPr>
          <w:rFonts w:asciiTheme="minorHAnsi" w:hAnsiTheme="minorHAnsi" w:cstheme="minorHAnsi"/>
          <w:i/>
          <w:iCs/>
          <w:color w:val="000000" w:themeColor="text1"/>
          <w:kern w:val="24"/>
          <w:sz w:val="24"/>
          <w:szCs w:val="24"/>
          <w:lang w:eastAsia="en-AU"/>
        </w:rPr>
        <w:t xml:space="preserve">Source: DEEWR administrative data, March 2013; ABS, Census of Population and Housing, 2011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As at March 2013, 19</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of the working age population in the South Eastern Melbourne PEA was in receipt of an income support payment, higher compared with both Victoria and Australia (both 17</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Over one quarter (27</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of the working age population in the Greater Dandenong LGA were in receipt of an income support payment.</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The proportion of the working age population in the PEA in receipt of an unemployment benefit (6</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was slightly higher than both Victoria and Australia.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A larger proportion of the working age population in the Greater Dandenong LGA (9</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were in receipt of unemployment benefits than elsewhere in the South Eastern Melbourne PEA.</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The number of unemployment beneficiaries in the region rose by 24</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over the year to March 2013, compared with a 19</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rise nationally.</w:t>
      </w: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15</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095" type="#_x0000_t75" style="width:270.6pt;height:202.5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95" DrawAspect="Content" ObjectID="_1430893297" r:id="rId35"/>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r w:rsidRPr="00BF3E8E">
        <w:rPr>
          <w:rFonts w:asciiTheme="minorHAnsi" w:hAnsiTheme="minorHAnsi" w:cstheme="minorHAnsi"/>
          <w:b/>
          <w:bCs/>
          <w:color w:val="000000" w:themeColor="text1"/>
          <w:kern w:val="24"/>
          <w:sz w:val="24"/>
          <w:szCs w:val="24"/>
          <w:u w:val="single"/>
          <w:lang w:eastAsia="en-AU"/>
        </w:rPr>
        <w:t>Jobless Families</w:t>
      </w:r>
      <w:r w:rsidRPr="00BF3E8E">
        <w:rPr>
          <w:rFonts w:asciiTheme="minorHAnsi" w:hAnsiTheme="minorHAnsi" w:cstheme="minorHAnsi"/>
          <w:b/>
          <w:bCs/>
          <w:color w:val="000000" w:themeColor="text1"/>
          <w:kern w:val="24"/>
          <w:sz w:val="24"/>
          <w:szCs w:val="24"/>
          <w:u w:val="single"/>
          <w:lang w:eastAsia="en-AU"/>
        </w:rPr>
        <w:br/>
      </w:r>
      <w:r w:rsidRPr="00BF3E8E">
        <w:rPr>
          <w:rFonts w:asciiTheme="minorHAnsi" w:hAnsiTheme="minorHAnsi" w:cstheme="minorHAnsi"/>
          <w:i/>
          <w:iCs/>
          <w:color w:val="000000" w:themeColor="text1"/>
          <w:kern w:val="24"/>
          <w:sz w:val="24"/>
          <w:szCs w:val="24"/>
          <w:lang w:eastAsia="en-AU"/>
        </w:rPr>
        <w:t>Source: ABS, Census of Population and Housing, 2011 and 2006</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Overall, at the time of the 2011 Census, the proportion of families who were jobless in the South Eastern Melbourne PEA (14</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was comparable with Victoria (13</w:t>
      </w:r>
      <w:r>
        <w:rPr>
          <w:rFonts w:asciiTheme="minorHAnsi" w:hAnsiTheme="minorHAnsi" w:cstheme="minorHAnsi"/>
          <w:color w:val="000000" w:themeColor="text1"/>
          <w:kern w:val="24"/>
          <w:sz w:val="24"/>
          <w:szCs w:val="24"/>
          <w:lang w:eastAsia="en-AU"/>
        </w:rPr>
        <w:t xml:space="preserve"> per cent) and </w:t>
      </w:r>
      <w:r w:rsidRPr="00BF3E8E">
        <w:rPr>
          <w:rFonts w:asciiTheme="minorHAnsi" w:hAnsiTheme="minorHAnsi" w:cstheme="minorHAnsi"/>
          <w:color w:val="000000" w:themeColor="text1"/>
          <w:kern w:val="24"/>
          <w:sz w:val="24"/>
          <w:szCs w:val="24"/>
          <w:lang w:eastAsia="en-AU"/>
        </w:rPr>
        <w:t>the same as Australia. Within the PEA, the largest proportion of families who were jobless was in the Greater Dandenong LGA (23</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br/>
        <w:t>The Greater Dandenong LGA also recorded the largest proportion of couple families who were jobless (14</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and lone parent families who are jobless (56</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The proportion of lone parent families who were jobless in the PEA (44</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was also on a par with Victoria and Australia (43 and 44</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respectively).</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Jobless families are families where parents are not employed or in the labour force with children under 15 years of age.</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In the five years to 2011, there has been a decline in Jobless families in all LGAs except Casey LGA.</w:t>
      </w: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16</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100" type="#_x0000_t75" style="width:270.6pt;height:202.5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100" DrawAspect="Content" ObjectID="_1430893298" r:id="rId37"/>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r w:rsidRPr="00BF3E8E">
        <w:rPr>
          <w:rFonts w:asciiTheme="minorHAnsi" w:hAnsiTheme="minorHAnsi" w:cstheme="minorHAnsi"/>
          <w:b/>
          <w:bCs/>
          <w:color w:val="000000" w:themeColor="text1"/>
          <w:kern w:val="24"/>
          <w:sz w:val="24"/>
          <w:szCs w:val="24"/>
          <w:u w:val="single"/>
          <w:lang w:eastAsia="en-AU"/>
        </w:rPr>
        <w:t>Lower Levels of Educational Attainment, persons aged 25-34 years</w:t>
      </w:r>
      <w:r w:rsidRPr="00BF3E8E">
        <w:rPr>
          <w:rFonts w:asciiTheme="minorHAnsi" w:hAnsiTheme="minorHAnsi" w:cstheme="minorHAnsi"/>
          <w:b/>
          <w:bCs/>
          <w:color w:val="000000" w:themeColor="text1"/>
          <w:kern w:val="24"/>
          <w:sz w:val="24"/>
          <w:szCs w:val="24"/>
          <w:lang w:eastAsia="en-AU"/>
        </w:rPr>
        <w:br/>
      </w:r>
      <w:r w:rsidRPr="00BF3E8E">
        <w:rPr>
          <w:rFonts w:asciiTheme="minorHAnsi" w:hAnsiTheme="minorHAnsi" w:cstheme="minorHAnsi"/>
          <w:i/>
          <w:iCs/>
          <w:color w:val="000000" w:themeColor="text1"/>
          <w:kern w:val="24"/>
          <w:sz w:val="24"/>
          <w:szCs w:val="24"/>
          <w:lang w:eastAsia="en-AU"/>
        </w:rPr>
        <w:t>Source: ABS, Census of Population and Housing, 2011 and 2006</w:t>
      </w: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lang w:eastAsia="en-AU"/>
        </w:rPr>
      </w:pPr>
      <w:r w:rsidRPr="00BF3E8E">
        <w:rPr>
          <w:rFonts w:asciiTheme="minorHAnsi" w:hAnsiTheme="minorHAnsi" w:cstheme="minorHAnsi"/>
          <w:b/>
          <w:bCs/>
          <w:color w:val="000000" w:themeColor="text1"/>
          <w:kern w:val="24"/>
          <w:sz w:val="24"/>
          <w:szCs w:val="24"/>
          <w:lang w:eastAsia="en-AU"/>
        </w:rPr>
        <w:t>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The level of educational attainment is strongly linked with labour market performance and the ability of a region (or its population) to respond flexibly to an economic downturn. For example, upon retrenchment, those with lower educational attainment will find it significantly more difficult to find subsequent employment than their higher skilled counterparts.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At the time of the 2011 Census, the proportion of 25 to 34 year olds in the South Eastern Melbourne PEA who had completed Year 12 or equivalent was 74</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a smaller figure than both Victoria (79</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and Australia (75</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Job seekers who have not completed Year 12 or equivalent and have limited experience in the workforce are likely to lack many basic employability skills that employers value and look for in applicants.</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The proportion of 25 to 34 year olds who attained an Advanced Diploma, Diploma or Certificate III &amp; IV in the PEA (34</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was higher than state and national proportions (29</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and 30</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respectively).</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Only 28</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of 25 to 34 year olds attained a Bachelor Degree or higher qualification in the </w:t>
      </w:r>
      <w:r w:rsidRPr="00BF3E8E">
        <w:rPr>
          <w:rFonts w:asciiTheme="minorHAnsi" w:hAnsiTheme="minorHAnsi" w:cstheme="minorHAnsi"/>
          <w:color w:val="000000" w:themeColor="text1"/>
          <w:kern w:val="24"/>
          <w:sz w:val="24"/>
          <w:szCs w:val="24"/>
          <w:lang w:val="en-US" w:eastAsia="en-AU"/>
        </w:rPr>
        <w:t>PEA</w:t>
      </w:r>
      <w:r w:rsidRPr="00BF3E8E">
        <w:rPr>
          <w:rFonts w:asciiTheme="minorHAnsi" w:hAnsiTheme="minorHAnsi" w:cstheme="minorHAnsi"/>
          <w:color w:val="000000" w:themeColor="text1"/>
          <w:kern w:val="24"/>
          <w:sz w:val="24"/>
          <w:szCs w:val="24"/>
          <w:lang w:eastAsia="en-AU"/>
        </w:rPr>
        <w:t>. This figure is notably smaller than that for Victoria and Australia (40</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and 35</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respectively).</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17</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105" type="#_x0000_t75" style="width:270.6pt;height:202.5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105" DrawAspect="Content" ObjectID="_1430893299" r:id="rId39"/>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b/>
          <w:bCs/>
          <w:color w:val="000000" w:themeColor="text1"/>
          <w:kern w:val="24"/>
          <w:sz w:val="24"/>
          <w:szCs w:val="24"/>
          <w:u w:val="single"/>
          <w:lang w:eastAsia="en-AU"/>
        </w:rPr>
        <w:t>Education and Labour Market Outcomes - Persons aged 25-34 years</w:t>
      </w:r>
      <w:r w:rsidRPr="00BF3E8E">
        <w:rPr>
          <w:rFonts w:asciiTheme="minorHAnsi" w:hAnsiTheme="minorHAnsi" w:cstheme="minorHAnsi"/>
          <w:color w:val="000000" w:themeColor="text1"/>
          <w:kern w:val="24"/>
          <w:sz w:val="24"/>
          <w:szCs w:val="24"/>
          <w:lang w:eastAsia="en-AU"/>
        </w:rPr>
        <w:br/>
      </w:r>
      <w:r w:rsidRPr="00BF3E8E">
        <w:rPr>
          <w:rFonts w:asciiTheme="minorHAnsi" w:hAnsiTheme="minorHAnsi" w:cstheme="minorHAnsi"/>
          <w:i/>
          <w:iCs/>
          <w:color w:val="000000" w:themeColor="text1"/>
          <w:kern w:val="24"/>
          <w:sz w:val="24"/>
          <w:szCs w:val="24"/>
          <w:lang w:eastAsia="en-AU"/>
        </w:rPr>
        <w:t>Source: ABS, Census of Population and Housing, 2011</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There is a strong relationship between educational attainment and employment outcomes.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For those aged 25 to 34 years in the South Eastern Melbourne PEA, there were high unemployment rates for those who did not complete Year 12 or equivalent (10.6</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and those who had completed Certificate Level I and/or II (16.1</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For those who had completed Year 12 or equivalent, Certificate Level III and/or IV qualification, an Advanced Diploma and Diploma Level or a Bachelor Degree or higher, the unemployment rates were considerably lower (Year 12 or equivalent 5.9</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Certificate Level III and/or IV 3.8</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Advanced Diploma and Diploma Level 4.1</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Bachelor Degree or higher 4.3</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In addition, generally the higher the level of education the more likely a person will be to participate in the labour market. This emphasises the importance of continuing education in assisting people obtain employment and participate in the labour market. </w:t>
      </w: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18</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110" type="#_x0000_t75" style="width:270.6pt;height:202.5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110" DrawAspect="Content" ObjectID="_1430893300" r:id="rId41"/>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u w:val="single"/>
          <w:lang w:eastAsia="en-AU"/>
        </w:rPr>
      </w:pPr>
      <w:proofErr w:type="spellStart"/>
      <w:r w:rsidRPr="00BF3E8E">
        <w:rPr>
          <w:rFonts w:asciiTheme="minorHAnsi" w:hAnsiTheme="minorHAnsi" w:cstheme="minorHAnsi"/>
          <w:b/>
          <w:bCs/>
          <w:color w:val="000000" w:themeColor="text1"/>
          <w:kern w:val="24"/>
          <w:sz w:val="24"/>
          <w:szCs w:val="24"/>
          <w:u w:val="single"/>
          <w:lang w:eastAsia="en-AU"/>
        </w:rPr>
        <w:t>OTMESC</w:t>
      </w:r>
      <w:proofErr w:type="spellEnd"/>
      <w:r w:rsidRPr="00BF3E8E">
        <w:rPr>
          <w:rFonts w:asciiTheme="minorHAnsi" w:hAnsiTheme="minorHAnsi" w:cstheme="minorHAnsi"/>
          <w:b/>
          <w:bCs/>
          <w:color w:val="000000" w:themeColor="text1"/>
          <w:kern w:val="24"/>
          <w:sz w:val="24"/>
          <w:szCs w:val="24"/>
          <w:u w:val="single"/>
          <w:lang w:eastAsia="en-AU"/>
        </w:rPr>
        <w:t xml:space="preserve"> Labour Market Outcomes – Working Age Population (15-64 years)</w:t>
      </w: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r w:rsidRPr="00BF3E8E">
        <w:rPr>
          <w:rFonts w:asciiTheme="minorHAnsi" w:hAnsiTheme="minorHAnsi" w:cstheme="minorHAnsi"/>
          <w:i/>
          <w:iCs/>
          <w:color w:val="000000" w:themeColor="text1"/>
          <w:kern w:val="24"/>
          <w:sz w:val="24"/>
          <w:szCs w:val="24"/>
          <w:lang w:eastAsia="en-AU"/>
        </w:rPr>
        <w:t>Source: ABS, Census of Population and Housing, 2011</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This table compares the labour market outcomes for those people born in an other than main English speaking country (</w:t>
      </w:r>
      <w:proofErr w:type="spellStart"/>
      <w:r w:rsidRPr="00BF3E8E">
        <w:rPr>
          <w:rFonts w:asciiTheme="minorHAnsi" w:hAnsiTheme="minorHAnsi" w:cstheme="minorHAnsi"/>
          <w:color w:val="000000" w:themeColor="text1"/>
          <w:kern w:val="24"/>
          <w:sz w:val="24"/>
          <w:szCs w:val="24"/>
          <w:lang w:eastAsia="en-AU"/>
        </w:rPr>
        <w:t>OTMESC</w:t>
      </w:r>
      <w:proofErr w:type="spellEnd"/>
      <w:r w:rsidRPr="00BF3E8E">
        <w:rPr>
          <w:rFonts w:asciiTheme="minorHAnsi" w:hAnsiTheme="minorHAnsi" w:cstheme="minorHAnsi"/>
          <w:color w:val="000000" w:themeColor="text1"/>
          <w:kern w:val="24"/>
          <w:sz w:val="24"/>
          <w:szCs w:val="24"/>
          <w:lang w:eastAsia="en-AU"/>
        </w:rPr>
        <w:t xml:space="preserve">) with those born in a main English speaking country (MESC) in the PEA. </w:t>
      </w:r>
      <w:r w:rsidRPr="00BF3E8E">
        <w:rPr>
          <w:rFonts w:asciiTheme="minorHAnsi" w:hAnsiTheme="minorHAnsi" w:cstheme="minorHAnsi"/>
          <w:color w:val="000000" w:themeColor="text1"/>
          <w:kern w:val="24"/>
          <w:sz w:val="24"/>
          <w:szCs w:val="24"/>
          <w:lang w:eastAsia="en-AU"/>
        </w:rPr>
        <w:br/>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MESC countries are Australia, Canada, Ireland, New Zealand, South Africa, United Kingdom and the United States of America.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At the time of the 2011 Census, the South Eastern Melbourne PEA had a larger proportion (31</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of working age persons born in </w:t>
      </w:r>
      <w:proofErr w:type="spellStart"/>
      <w:r w:rsidRPr="00BF3E8E">
        <w:rPr>
          <w:rFonts w:asciiTheme="minorHAnsi" w:hAnsiTheme="minorHAnsi" w:cstheme="minorHAnsi"/>
          <w:color w:val="000000" w:themeColor="text1"/>
          <w:kern w:val="24"/>
          <w:sz w:val="24"/>
          <w:szCs w:val="24"/>
          <w:lang w:eastAsia="en-AU"/>
        </w:rPr>
        <w:t>OTMESC</w:t>
      </w:r>
      <w:proofErr w:type="spellEnd"/>
      <w:r w:rsidRPr="00BF3E8E">
        <w:rPr>
          <w:rFonts w:asciiTheme="minorHAnsi" w:hAnsiTheme="minorHAnsi" w:cstheme="minorHAnsi"/>
          <w:color w:val="000000" w:themeColor="text1"/>
          <w:kern w:val="24"/>
          <w:sz w:val="24"/>
          <w:szCs w:val="24"/>
          <w:lang w:eastAsia="en-AU"/>
        </w:rPr>
        <w:t xml:space="preserve"> countries than both Victoria (23</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and Australia (19</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A large majority (64</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of the working age population in the Greater Dandenong LGA were born in an </w:t>
      </w:r>
      <w:proofErr w:type="spellStart"/>
      <w:r w:rsidRPr="00BF3E8E">
        <w:rPr>
          <w:rFonts w:asciiTheme="minorHAnsi" w:hAnsiTheme="minorHAnsi" w:cstheme="minorHAnsi"/>
          <w:color w:val="000000" w:themeColor="text1"/>
          <w:kern w:val="24"/>
          <w:sz w:val="24"/>
          <w:szCs w:val="24"/>
          <w:lang w:eastAsia="en-AU"/>
        </w:rPr>
        <w:t>OTMESC</w:t>
      </w:r>
      <w:proofErr w:type="spellEnd"/>
      <w:r w:rsidRPr="00BF3E8E">
        <w:rPr>
          <w:rFonts w:asciiTheme="minorHAnsi" w:hAnsiTheme="minorHAnsi" w:cstheme="minorHAnsi"/>
          <w:color w:val="000000" w:themeColor="text1"/>
          <w:kern w:val="24"/>
          <w:sz w:val="24"/>
          <w:szCs w:val="24"/>
          <w:lang w:eastAsia="en-AU"/>
        </w:rPr>
        <w:t xml:space="preserve"> country.</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Persons born in </w:t>
      </w:r>
      <w:proofErr w:type="spellStart"/>
      <w:r w:rsidRPr="00BF3E8E">
        <w:rPr>
          <w:rFonts w:asciiTheme="minorHAnsi" w:hAnsiTheme="minorHAnsi" w:cstheme="minorHAnsi"/>
          <w:color w:val="000000" w:themeColor="text1"/>
          <w:kern w:val="24"/>
          <w:sz w:val="24"/>
          <w:szCs w:val="24"/>
          <w:lang w:eastAsia="en-AU"/>
        </w:rPr>
        <w:t>OTMESC</w:t>
      </w:r>
      <w:proofErr w:type="spellEnd"/>
      <w:r w:rsidRPr="00BF3E8E">
        <w:rPr>
          <w:rFonts w:asciiTheme="minorHAnsi" w:hAnsiTheme="minorHAnsi" w:cstheme="minorHAnsi"/>
          <w:color w:val="000000" w:themeColor="text1"/>
          <w:kern w:val="24"/>
          <w:sz w:val="24"/>
          <w:szCs w:val="24"/>
          <w:lang w:eastAsia="en-AU"/>
        </w:rPr>
        <w:t xml:space="preserve"> countries have a higher unemployment rate and lower participation rate when compared with those born in MESC countries. In the South Eastern Melbourne PEA the unemployment rate for the </w:t>
      </w:r>
      <w:proofErr w:type="spellStart"/>
      <w:r w:rsidRPr="00BF3E8E">
        <w:rPr>
          <w:rFonts w:asciiTheme="minorHAnsi" w:hAnsiTheme="minorHAnsi" w:cstheme="minorHAnsi"/>
          <w:color w:val="000000" w:themeColor="text1"/>
          <w:kern w:val="24"/>
          <w:sz w:val="24"/>
          <w:szCs w:val="24"/>
          <w:lang w:eastAsia="en-AU"/>
        </w:rPr>
        <w:t>OTMESC</w:t>
      </w:r>
      <w:proofErr w:type="spellEnd"/>
      <w:r w:rsidRPr="00BF3E8E">
        <w:rPr>
          <w:rFonts w:asciiTheme="minorHAnsi" w:hAnsiTheme="minorHAnsi" w:cstheme="minorHAnsi"/>
          <w:color w:val="000000" w:themeColor="text1"/>
          <w:kern w:val="24"/>
          <w:sz w:val="24"/>
          <w:szCs w:val="24"/>
          <w:lang w:eastAsia="en-AU"/>
        </w:rPr>
        <w:t xml:space="preserve"> working age population was 7.8</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(down from 8.3</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at the time of the 2006 Census) compared with 5.3</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for the MESC working age population. The participation rate was 70.1</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(up from 68</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at the time of the 2006 census) for the </w:t>
      </w:r>
      <w:proofErr w:type="spellStart"/>
      <w:r w:rsidRPr="00BF3E8E">
        <w:rPr>
          <w:rFonts w:asciiTheme="minorHAnsi" w:hAnsiTheme="minorHAnsi" w:cstheme="minorHAnsi"/>
          <w:color w:val="000000" w:themeColor="text1"/>
          <w:kern w:val="24"/>
          <w:sz w:val="24"/>
          <w:szCs w:val="24"/>
          <w:lang w:eastAsia="en-AU"/>
        </w:rPr>
        <w:t>OTMESC</w:t>
      </w:r>
      <w:proofErr w:type="spellEnd"/>
      <w:r w:rsidRPr="00BF3E8E">
        <w:rPr>
          <w:rFonts w:asciiTheme="minorHAnsi" w:hAnsiTheme="minorHAnsi" w:cstheme="minorHAnsi"/>
          <w:color w:val="000000" w:themeColor="text1"/>
          <w:kern w:val="24"/>
          <w:sz w:val="24"/>
          <w:szCs w:val="24"/>
          <w:lang w:eastAsia="en-AU"/>
        </w:rPr>
        <w:t xml:space="preserve"> working age population compared with 77.7</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for the MESC working age population.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19</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115" type="#_x0000_t75" style="width:270.6pt;height:202.55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115" DrawAspect="Content" ObjectID="_1430893301" r:id="rId43"/>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u w:val="single"/>
          <w:lang w:eastAsia="en-AU"/>
        </w:rPr>
      </w:pPr>
      <w:r w:rsidRPr="00BF3E8E">
        <w:rPr>
          <w:rFonts w:asciiTheme="minorHAnsi" w:hAnsiTheme="minorHAnsi" w:cstheme="minorHAnsi"/>
          <w:b/>
          <w:bCs/>
          <w:color w:val="000000" w:themeColor="text1"/>
          <w:kern w:val="24"/>
          <w:sz w:val="24"/>
          <w:szCs w:val="24"/>
          <w:u w:val="single"/>
          <w:lang w:eastAsia="en-AU"/>
        </w:rPr>
        <w:t>Fewer Skilled Migrants in the PEA</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Source: </w:t>
      </w:r>
      <w:r w:rsidRPr="00BF3E8E">
        <w:rPr>
          <w:rFonts w:asciiTheme="minorHAnsi" w:hAnsiTheme="minorHAnsi" w:cstheme="minorHAnsi"/>
          <w:i/>
          <w:iCs/>
          <w:color w:val="000000" w:themeColor="text1"/>
          <w:kern w:val="24"/>
          <w:sz w:val="24"/>
          <w:szCs w:val="24"/>
          <w:lang w:eastAsia="en-AU"/>
        </w:rPr>
        <w:t>Department of Immigration and Citizenship. Settlement reporting: http://www.immi.gov.au/settlement, May 2008 to May 2013</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There have been over 27,300 migrants (aged 18-64 years) settle in the South Eastern Melbourne PEA over the past 5 years:</w:t>
      </w:r>
    </w:p>
    <w:p w:rsidR="00BF3E8E" w:rsidRPr="00BF3E8E" w:rsidRDefault="00BF3E8E" w:rsidP="00BF3E8E">
      <w:pPr>
        <w:numPr>
          <w:ilvl w:val="0"/>
          <w:numId w:val="2"/>
        </w:numPr>
        <w:autoSpaceDE w:val="0"/>
        <w:autoSpaceDN w:val="0"/>
        <w:adjustRightInd w:val="0"/>
        <w:ind w:left="72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47</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(12,700 migrants) settled under the skilled migration stream, compared with 59</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for Australia. </w:t>
      </w:r>
    </w:p>
    <w:p w:rsidR="00BF3E8E" w:rsidRPr="00BF3E8E" w:rsidRDefault="00BF3E8E" w:rsidP="00BF3E8E">
      <w:pPr>
        <w:numPr>
          <w:ilvl w:val="0"/>
          <w:numId w:val="2"/>
        </w:numPr>
        <w:autoSpaceDE w:val="0"/>
        <w:autoSpaceDN w:val="0"/>
        <w:adjustRightInd w:val="0"/>
        <w:ind w:left="72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39</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(10,600 migrants) settled under the family migration stream, compared with 34</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for Australia. </w:t>
      </w:r>
    </w:p>
    <w:p w:rsidR="00BF3E8E" w:rsidRPr="00BF3E8E" w:rsidRDefault="00BF3E8E" w:rsidP="00BF3E8E">
      <w:pPr>
        <w:numPr>
          <w:ilvl w:val="0"/>
          <w:numId w:val="2"/>
        </w:numPr>
        <w:autoSpaceDE w:val="0"/>
        <w:autoSpaceDN w:val="0"/>
        <w:adjustRightInd w:val="0"/>
        <w:ind w:left="72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15</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(4,000 migrants) settled under the humanitarian migration stream, compared with 7</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for Australia.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South Eastern Melbourne PEA migrants:</w:t>
      </w:r>
    </w:p>
    <w:p w:rsidR="00BF3E8E" w:rsidRPr="00BF3E8E" w:rsidRDefault="00BF3E8E" w:rsidP="00BF3E8E">
      <w:pPr>
        <w:numPr>
          <w:ilvl w:val="0"/>
          <w:numId w:val="2"/>
        </w:numPr>
        <w:autoSpaceDE w:val="0"/>
        <w:autoSpaceDN w:val="0"/>
        <w:adjustRightInd w:val="0"/>
        <w:ind w:left="72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21</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of skilled migrants had ‘nil’ or ‘poor’ English language proficiency.</w:t>
      </w:r>
    </w:p>
    <w:p w:rsidR="00BF3E8E" w:rsidRPr="00BF3E8E" w:rsidRDefault="00BF3E8E" w:rsidP="00BF3E8E">
      <w:pPr>
        <w:numPr>
          <w:ilvl w:val="0"/>
          <w:numId w:val="2"/>
        </w:numPr>
        <w:autoSpaceDE w:val="0"/>
        <w:autoSpaceDN w:val="0"/>
        <w:adjustRightInd w:val="0"/>
        <w:ind w:left="72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73</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of family and humanitarian migrants had ‘nil’ or ‘poor’ English language proficiency.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20</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120" type="#_x0000_t75" style="width:270.6pt;height:202.55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120" DrawAspect="Content" ObjectID="_1430893302" r:id="rId45"/>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u w:val="single"/>
          <w:lang w:eastAsia="en-AU"/>
        </w:rPr>
      </w:pPr>
      <w:r w:rsidRPr="00BF3E8E">
        <w:rPr>
          <w:rFonts w:asciiTheme="minorHAnsi" w:hAnsiTheme="minorHAnsi" w:cstheme="minorHAnsi"/>
          <w:b/>
          <w:bCs/>
          <w:color w:val="000000" w:themeColor="text1"/>
          <w:kern w:val="24"/>
          <w:sz w:val="24"/>
          <w:szCs w:val="24"/>
          <w:u w:val="single"/>
          <w:lang w:eastAsia="en-AU"/>
        </w:rPr>
        <w:t xml:space="preserve">Migrant Underutilisation- </w:t>
      </w:r>
      <w:proofErr w:type="gramStart"/>
      <w:r w:rsidRPr="00BF3E8E">
        <w:rPr>
          <w:rFonts w:asciiTheme="minorHAnsi" w:hAnsiTheme="minorHAnsi" w:cstheme="minorHAnsi"/>
          <w:b/>
          <w:bCs/>
          <w:color w:val="000000" w:themeColor="text1"/>
          <w:kern w:val="24"/>
          <w:sz w:val="24"/>
          <w:szCs w:val="24"/>
          <w:u w:val="single"/>
          <w:lang w:eastAsia="en-AU"/>
        </w:rPr>
        <w:t>For</w:t>
      </w:r>
      <w:proofErr w:type="gramEnd"/>
      <w:r w:rsidRPr="00BF3E8E">
        <w:rPr>
          <w:rFonts w:asciiTheme="minorHAnsi" w:hAnsiTheme="minorHAnsi" w:cstheme="minorHAnsi"/>
          <w:b/>
          <w:bCs/>
          <w:color w:val="000000" w:themeColor="text1"/>
          <w:kern w:val="24"/>
          <w:sz w:val="24"/>
          <w:szCs w:val="24"/>
          <w:u w:val="single"/>
          <w:lang w:eastAsia="en-AU"/>
        </w:rPr>
        <w:t xml:space="preserve"> Persons with a Bachelor Degree or higher</w:t>
      </w: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r w:rsidRPr="00BF3E8E">
        <w:rPr>
          <w:rFonts w:asciiTheme="minorHAnsi" w:hAnsiTheme="minorHAnsi" w:cstheme="minorHAnsi"/>
          <w:i/>
          <w:iCs/>
          <w:color w:val="000000" w:themeColor="text1"/>
          <w:kern w:val="24"/>
          <w:sz w:val="24"/>
          <w:szCs w:val="24"/>
          <w:lang w:eastAsia="en-AU"/>
        </w:rPr>
        <w:t>Source: ABS, Census of Population and Housing, 2011</w:t>
      </w: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Overall, a quarter of the working age population in the South Eastern Melbourne PEA born in an </w:t>
      </w:r>
      <w:proofErr w:type="spellStart"/>
      <w:r w:rsidRPr="00BF3E8E">
        <w:rPr>
          <w:rFonts w:asciiTheme="minorHAnsi" w:hAnsiTheme="minorHAnsi" w:cstheme="minorHAnsi"/>
          <w:color w:val="000000" w:themeColor="text1"/>
          <w:kern w:val="24"/>
          <w:sz w:val="24"/>
          <w:szCs w:val="24"/>
          <w:lang w:eastAsia="en-AU"/>
        </w:rPr>
        <w:t>OTMESC</w:t>
      </w:r>
      <w:proofErr w:type="spellEnd"/>
      <w:r w:rsidRPr="00BF3E8E">
        <w:rPr>
          <w:rFonts w:asciiTheme="minorHAnsi" w:hAnsiTheme="minorHAnsi" w:cstheme="minorHAnsi"/>
          <w:color w:val="000000" w:themeColor="text1"/>
          <w:kern w:val="24"/>
          <w:sz w:val="24"/>
          <w:szCs w:val="24"/>
          <w:lang w:eastAsia="en-AU"/>
        </w:rPr>
        <w:t xml:space="preserve"> had obtained a Bachelor Degree or higher qualification according to the 2011 Census. This compared with 14</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for the MESC population.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There was a lower level of labour market participation for highly qualified </w:t>
      </w:r>
      <w:proofErr w:type="spellStart"/>
      <w:r w:rsidRPr="00BF3E8E">
        <w:rPr>
          <w:rFonts w:asciiTheme="minorHAnsi" w:hAnsiTheme="minorHAnsi" w:cstheme="minorHAnsi"/>
          <w:color w:val="000000" w:themeColor="text1"/>
          <w:kern w:val="24"/>
          <w:sz w:val="24"/>
          <w:szCs w:val="24"/>
          <w:lang w:eastAsia="en-AU"/>
        </w:rPr>
        <w:t>OTMESC</w:t>
      </w:r>
      <w:proofErr w:type="spellEnd"/>
      <w:r w:rsidRPr="00BF3E8E">
        <w:rPr>
          <w:rFonts w:asciiTheme="minorHAnsi" w:hAnsiTheme="minorHAnsi" w:cstheme="minorHAnsi"/>
          <w:color w:val="000000" w:themeColor="text1"/>
          <w:kern w:val="24"/>
          <w:sz w:val="24"/>
          <w:szCs w:val="24"/>
          <w:lang w:eastAsia="en-AU"/>
        </w:rPr>
        <w:t xml:space="preserve"> persons compared with the MESC population in the South Eastern Melbourne PEA. For </w:t>
      </w:r>
      <w:proofErr w:type="gramStart"/>
      <w:r w:rsidRPr="00BF3E8E">
        <w:rPr>
          <w:rFonts w:asciiTheme="minorHAnsi" w:hAnsiTheme="minorHAnsi" w:cstheme="minorHAnsi"/>
          <w:color w:val="000000" w:themeColor="text1"/>
          <w:kern w:val="24"/>
          <w:sz w:val="24"/>
          <w:szCs w:val="24"/>
          <w:lang w:eastAsia="en-AU"/>
        </w:rPr>
        <w:t>both males</w:t>
      </w:r>
      <w:proofErr w:type="gramEnd"/>
      <w:r w:rsidRPr="00BF3E8E">
        <w:rPr>
          <w:rFonts w:asciiTheme="minorHAnsi" w:hAnsiTheme="minorHAnsi" w:cstheme="minorHAnsi"/>
          <w:color w:val="000000" w:themeColor="text1"/>
          <w:kern w:val="24"/>
          <w:sz w:val="24"/>
          <w:szCs w:val="24"/>
          <w:lang w:eastAsia="en-AU"/>
        </w:rPr>
        <w:t xml:space="preserve"> and females, a larger proportion of the </w:t>
      </w:r>
      <w:proofErr w:type="spellStart"/>
      <w:r w:rsidRPr="00BF3E8E">
        <w:rPr>
          <w:rFonts w:asciiTheme="minorHAnsi" w:hAnsiTheme="minorHAnsi" w:cstheme="minorHAnsi"/>
          <w:color w:val="000000" w:themeColor="text1"/>
          <w:kern w:val="24"/>
          <w:sz w:val="24"/>
          <w:szCs w:val="24"/>
          <w:lang w:eastAsia="en-AU"/>
        </w:rPr>
        <w:t>OTMESC</w:t>
      </w:r>
      <w:proofErr w:type="spellEnd"/>
      <w:r w:rsidRPr="00BF3E8E">
        <w:rPr>
          <w:rFonts w:asciiTheme="minorHAnsi" w:hAnsiTheme="minorHAnsi" w:cstheme="minorHAnsi"/>
          <w:color w:val="000000" w:themeColor="text1"/>
          <w:kern w:val="24"/>
          <w:sz w:val="24"/>
          <w:szCs w:val="24"/>
          <w:lang w:eastAsia="en-AU"/>
        </w:rPr>
        <w:t xml:space="preserve"> population with a Bachelor Degree or higher were either not in the labour force, unemployed or employed in a low skilled occupation.</w:t>
      </w: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21</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125" type="#_x0000_t75" style="width:270.6pt;height:202.55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125" DrawAspect="Content" ObjectID="_1430893303" r:id="rId47"/>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u w:val="single"/>
          <w:lang w:eastAsia="en-AU"/>
        </w:rPr>
      </w:pPr>
      <w:r w:rsidRPr="00BF3E8E">
        <w:rPr>
          <w:rFonts w:asciiTheme="minorHAnsi" w:hAnsiTheme="minorHAnsi" w:cstheme="minorHAnsi"/>
          <w:b/>
          <w:bCs/>
          <w:color w:val="000000" w:themeColor="text1"/>
          <w:kern w:val="24"/>
          <w:sz w:val="24"/>
          <w:szCs w:val="24"/>
          <w:u w:val="single"/>
          <w:lang w:eastAsia="en-AU"/>
        </w:rPr>
        <w:t>English Proficiency &amp; Labour Force Outcomes – For persons (</w:t>
      </w:r>
      <w:proofErr w:type="spellStart"/>
      <w:r w:rsidRPr="00BF3E8E">
        <w:rPr>
          <w:rFonts w:asciiTheme="minorHAnsi" w:hAnsiTheme="minorHAnsi" w:cstheme="minorHAnsi"/>
          <w:b/>
          <w:bCs/>
          <w:color w:val="000000" w:themeColor="text1"/>
          <w:kern w:val="24"/>
          <w:sz w:val="24"/>
          <w:szCs w:val="24"/>
          <w:u w:val="single"/>
          <w:lang w:eastAsia="en-AU"/>
        </w:rPr>
        <w:t>WAP</w:t>
      </w:r>
      <w:proofErr w:type="spellEnd"/>
      <w:r w:rsidRPr="00BF3E8E">
        <w:rPr>
          <w:rFonts w:asciiTheme="minorHAnsi" w:hAnsiTheme="minorHAnsi" w:cstheme="minorHAnsi"/>
          <w:b/>
          <w:bCs/>
          <w:color w:val="000000" w:themeColor="text1"/>
          <w:kern w:val="24"/>
          <w:sz w:val="24"/>
          <w:szCs w:val="24"/>
          <w:u w:val="single"/>
          <w:lang w:eastAsia="en-AU"/>
        </w:rPr>
        <w:t>) who speak a language other than English</w:t>
      </w: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r w:rsidRPr="00BF3E8E">
        <w:rPr>
          <w:rFonts w:asciiTheme="minorHAnsi" w:hAnsiTheme="minorHAnsi" w:cstheme="minorHAnsi"/>
          <w:i/>
          <w:iCs/>
          <w:color w:val="000000" w:themeColor="text1"/>
          <w:kern w:val="24"/>
          <w:sz w:val="24"/>
          <w:szCs w:val="24"/>
          <w:lang w:eastAsia="en-AU"/>
        </w:rPr>
        <w:t>Source: ABS, Census of Population and Housing</w:t>
      </w:r>
      <w:r w:rsidRPr="00BF3E8E">
        <w:rPr>
          <w:rFonts w:asciiTheme="minorHAnsi" w:hAnsiTheme="minorHAnsi" w:cstheme="minorHAnsi"/>
          <w:color w:val="000000" w:themeColor="text1"/>
          <w:kern w:val="24"/>
          <w:sz w:val="24"/>
          <w:szCs w:val="24"/>
          <w:lang w:eastAsia="en-AU"/>
        </w:rPr>
        <w:t xml:space="preserve">, </w:t>
      </w:r>
      <w:r w:rsidRPr="00BF3E8E">
        <w:rPr>
          <w:rFonts w:asciiTheme="minorHAnsi" w:hAnsiTheme="minorHAnsi" w:cstheme="minorHAnsi"/>
          <w:i/>
          <w:iCs/>
          <w:color w:val="000000" w:themeColor="text1"/>
          <w:kern w:val="24"/>
          <w:sz w:val="24"/>
          <w:szCs w:val="24"/>
          <w:lang w:eastAsia="en-AU"/>
        </w:rPr>
        <w:t>2011</w:t>
      </w: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At the time of the 2011 Census, people in the South Eastern Melbourne PEA with lower levels of English proficiency were less likely to be successful in the labour market.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People with low English proficiency are far more likely to be unemployed or not participating in the labour market.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People who speak English “well” are also likely to have poorer labour force outcomes than those who only speak English.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In the South Eastern Melbourne PEA, the unemployment rate for those people aged 18-64 who did not speak English at all was 18.2</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and the participation rate was 27.5</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This was far worse when compared with people aged 18-64 who only spoke English (5.1</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unemployment rate and 78.4</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participation rate). </w:t>
      </w: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22</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130" type="#_x0000_t75" style="width:270.6pt;height:202.55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130" DrawAspect="Content" ObjectID="_1430893304" r:id="rId49"/>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b/>
          <w:bCs/>
          <w:color w:val="000000" w:themeColor="text1"/>
          <w:kern w:val="24"/>
          <w:sz w:val="24"/>
          <w:szCs w:val="24"/>
          <w:u w:val="single"/>
          <w:lang w:eastAsia="en-AU"/>
        </w:rPr>
        <w:t xml:space="preserve">High competition for vacancies, but large skills gap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i/>
          <w:iCs/>
          <w:color w:val="000000" w:themeColor="text1"/>
          <w:kern w:val="24"/>
          <w:sz w:val="24"/>
          <w:szCs w:val="24"/>
          <w:lang w:eastAsia="en-AU"/>
        </w:rPr>
        <w:t>Source: DEEWR Survey of Employers Recruitment Experiences, April 2012</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Employers in the South Eastern Melbourne PEA experienced a higher level of competition for vacancies in their most recent recruitment round.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There was an average of 16.5 applicants per vacancy (compared to 7.9 applicants per vacancy for all regions surveyed in the 12 months to June 2012), of whom an average of 4.2 applicants were considered suitable by employers (2.3 applicants for all regions).</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Competition was particularly high in the Kingston LGA where there was an average of 23.6 applicants and 6.5 suitable applicants per vacancy.</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Vacancies for Clerical and Administrative Workers received the highest number of applicants (31.4 applicants per vacancy). Machinery Operator and Driver vacancies received above average applicants and recorded the highest number of suitable applicants per vacancy across all occupation groups (5.6 suitable applicants).</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Employers recruiting for Community and Personal Service Workers received the lowest average number of applicants and suitable applicants per vacancy (6.6 applicants and 3.4 suitable applicants)</w:t>
      </w:r>
      <w:proofErr w:type="gramStart"/>
      <w:r w:rsidRPr="00BF3E8E">
        <w:rPr>
          <w:rFonts w:asciiTheme="minorHAnsi" w:hAnsiTheme="minorHAnsi" w:cstheme="minorHAnsi"/>
          <w:color w:val="000000" w:themeColor="text1"/>
          <w:kern w:val="24"/>
          <w:sz w:val="24"/>
          <w:szCs w:val="24"/>
          <w:lang w:eastAsia="en-AU"/>
        </w:rPr>
        <w:t>,</w:t>
      </w:r>
      <w:proofErr w:type="gramEnd"/>
      <w:r w:rsidRPr="00BF3E8E">
        <w:rPr>
          <w:rFonts w:asciiTheme="minorHAnsi" w:hAnsiTheme="minorHAnsi" w:cstheme="minorHAnsi"/>
          <w:color w:val="000000" w:themeColor="text1"/>
          <w:kern w:val="24"/>
          <w:sz w:val="24"/>
          <w:szCs w:val="24"/>
          <w:lang w:eastAsia="en-AU"/>
        </w:rPr>
        <w:t xml:space="preserve"> however, the average number of suitable applicants for this occupation was still greater than the national average (2.3 suitable applicants).</w:t>
      </w: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23</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135" type="#_x0000_t75" style="width:270.6pt;height:202.55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12" ShapeID="_x0000_i1135" DrawAspect="Content" ObjectID="_1430893305" r:id="rId51"/>
        </w:object>
      </w:r>
      <w:bookmarkStart w:id="0" w:name="_GoBack"/>
      <w:bookmarkEnd w:id="0"/>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u w:val="single"/>
          <w:lang w:eastAsia="en-AU"/>
        </w:rPr>
      </w:pPr>
      <w:r w:rsidRPr="00BF3E8E">
        <w:rPr>
          <w:rFonts w:asciiTheme="minorHAnsi" w:hAnsiTheme="minorHAnsi" w:cstheme="minorHAnsi"/>
          <w:b/>
          <w:bCs/>
          <w:color w:val="000000" w:themeColor="text1"/>
          <w:kern w:val="24"/>
          <w:sz w:val="24"/>
          <w:szCs w:val="24"/>
          <w:u w:val="single"/>
          <w:lang w:eastAsia="en-AU"/>
        </w:rPr>
        <w:t>Reasons Applicants Were Unsuitable</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i/>
          <w:iCs/>
          <w:color w:val="000000" w:themeColor="text1"/>
          <w:kern w:val="24"/>
          <w:sz w:val="24"/>
          <w:szCs w:val="24"/>
          <w:lang w:eastAsia="en-AU"/>
        </w:rPr>
        <w:t>Source: DEEWR, Survey of Employers’ Recruitment Experiences, April 2012</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Of employers in the PEA who recruited, 66</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had at least one unsuitable applicant in their most recent recruitment round. Of those considered unsuitable for the position, the most common reasons were a lack of experience to perform job duties (61</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of employers who had unsuitable applicants), insufficient qualifications or training (33</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and the applicant being located interstate or overseas (19</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w:t>
      </w:r>
      <w:r w:rsidRPr="00BF3E8E">
        <w:rPr>
          <w:rFonts w:asciiTheme="minorHAnsi" w:hAnsiTheme="minorHAnsi" w:cstheme="minorHAnsi"/>
          <w:color w:val="000000" w:themeColor="text1"/>
          <w:kern w:val="24"/>
          <w:sz w:val="24"/>
          <w:szCs w:val="24"/>
          <w:lang w:val="en-US" w:eastAsia="en-AU"/>
        </w:rPr>
        <w:t>Other reasons included employability skills.</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24</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140" type="#_x0000_t75" style="width:270.6pt;height:202.55pt"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o:OLEObject Type="Embed" ProgID="PowerPoint.Slide.12" ShapeID="_x0000_i1140" DrawAspect="Content" ObjectID="_1430893306" r:id="rId53"/>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u w:val="single"/>
          <w:lang w:eastAsia="en-AU"/>
        </w:rPr>
      </w:pPr>
      <w:r w:rsidRPr="00BF3E8E">
        <w:rPr>
          <w:rFonts w:asciiTheme="minorHAnsi" w:hAnsiTheme="minorHAnsi" w:cstheme="minorHAnsi"/>
          <w:b/>
          <w:bCs/>
          <w:color w:val="000000" w:themeColor="text1"/>
          <w:kern w:val="24"/>
          <w:sz w:val="24"/>
          <w:szCs w:val="24"/>
          <w:u w:val="single"/>
          <w:lang w:eastAsia="en-AU"/>
        </w:rPr>
        <w:t>Basic Employability Skills</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i/>
          <w:iCs/>
          <w:color w:val="000000" w:themeColor="text1"/>
          <w:kern w:val="24"/>
          <w:sz w:val="24"/>
          <w:szCs w:val="24"/>
          <w:lang w:eastAsia="en-AU"/>
        </w:rPr>
        <w:t>Source: DEEWR Survey of Employers Recruitment Experiences, December 2010</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Most importance placed on:                  </w:t>
      </w:r>
    </w:p>
    <w:p w:rsidR="00BF3E8E" w:rsidRPr="00BF3E8E" w:rsidRDefault="00BF3E8E" w:rsidP="00BF3E8E">
      <w:pPr>
        <w:numPr>
          <w:ilvl w:val="0"/>
          <w:numId w:val="3"/>
        </w:num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 30</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personal traits and qualities only</w:t>
      </w:r>
    </w:p>
    <w:p w:rsidR="00BF3E8E" w:rsidRPr="00BF3E8E" w:rsidRDefault="00BF3E8E" w:rsidP="00BF3E8E">
      <w:pPr>
        <w:numPr>
          <w:ilvl w:val="0"/>
          <w:numId w:val="3"/>
        </w:num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 28</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technical skills only</w:t>
      </w:r>
    </w:p>
    <w:p w:rsidR="00BF3E8E" w:rsidRPr="00BF3E8E" w:rsidRDefault="00BF3E8E" w:rsidP="00BF3E8E">
      <w:pPr>
        <w:numPr>
          <w:ilvl w:val="0"/>
          <w:numId w:val="3"/>
        </w:num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 41</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both equally important</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Personal traits and qualities applicants lacked:</w:t>
      </w:r>
    </w:p>
    <w:p w:rsidR="00BF3E8E" w:rsidRPr="00BF3E8E" w:rsidRDefault="00BF3E8E" w:rsidP="00BF3E8E">
      <w:pPr>
        <w:numPr>
          <w:ilvl w:val="0"/>
          <w:numId w:val="3"/>
        </w:num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 Communication</w:t>
      </w:r>
    </w:p>
    <w:p w:rsidR="00BF3E8E" w:rsidRPr="00BF3E8E" w:rsidRDefault="00BF3E8E" w:rsidP="00BF3E8E">
      <w:pPr>
        <w:numPr>
          <w:ilvl w:val="0"/>
          <w:numId w:val="3"/>
        </w:num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 Motivation</w:t>
      </w:r>
    </w:p>
    <w:p w:rsidR="00BF3E8E" w:rsidRPr="00BF3E8E" w:rsidRDefault="00BF3E8E" w:rsidP="00BF3E8E">
      <w:pPr>
        <w:numPr>
          <w:ilvl w:val="0"/>
          <w:numId w:val="3"/>
        </w:num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 Enthusiasm</w:t>
      </w:r>
    </w:p>
    <w:p w:rsidR="00BF3E8E" w:rsidRPr="00BF3E8E" w:rsidRDefault="00BF3E8E" w:rsidP="00BF3E8E">
      <w:pPr>
        <w:numPr>
          <w:ilvl w:val="0"/>
          <w:numId w:val="3"/>
        </w:num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 Confidence</w:t>
      </w: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25</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145" type="#_x0000_t75" style="width:270.6pt;height:202.55pt" o:ole="" o:bordertopcolor="this" o:borderleftcolor="this" o:borderbottomcolor="this" o:borderrightcolor="this">
            <v:imagedata r:id="rId54" o:title=""/>
            <w10:bordertop type="single" width="4" shadow="t"/>
            <w10:borderleft type="single" width="4" shadow="t"/>
            <w10:borderbottom type="single" width="4" shadow="t"/>
            <w10:borderright type="single" width="4" shadow="t"/>
          </v:shape>
          <o:OLEObject Type="Embed" ProgID="PowerPoint.Slide.12" ShapeID="_x0000_i1145" DrawAspect="Content" ObjectID="_1430893307" r:id="rId55"/>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u w:val="single"/>
          <w:lang w:eastAsia="en-AU"/>
        </w:rPr>
      </w:pPr>
      <w:r w:rsidRPr="00BF3E8E">
        <w:rPr>
          <w:rFonts w:asciiTheme="minorHAnsi" w:hAnsiTheme="minorHAnsi" w:cstheme="minorHAnsi"/>
          <w:b/>
          <w:bCs/>
          <w:color w:val="000000" w:themeColor="text1"/>
          <w:kern w:val="24"/>
          <w:sz w:val="24"/>
          <w:szCs w:val="24"/>
          <w:u w:val="single"/>
          <w:lang w:eastAsia="en-AU"/>
        </w:rPr>
        <w:t>Occupations Most Commonly Reported as Difficult to Fill</w:t>
      </w: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r w:rsidRPr="00BF3E8E">
        <w:rPr>
          <w:rFonts w:asciiTheme="minorHAnsi" w:hAnsiTheme="minorHAnsi" w:cstheme="minorHAnsi"/>
          <w:i/>
          <w:iCs/>
          <w:color w:val="000000" w:themeColor="text1"/>
          <w:kern w:val="24"/>
          <w:sz w:val="24"/>
          <w:szCs w:val="24"/>
          <w:lang w:eastAsia="en-AU"/>
        </w:rPr>
        <w:t>Source:  DEEWR, Survey of Employers’ Recruitment Experiences, April 2012</w:t>
      </w: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This slide shows the occupations that employers in the South Eastern Melbourne PEA most commonly reported as being difficult to fill.</w:t>
      </w: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lang w:eastAsia="en-AU"/>
        </w:rPr>
      </w:pPr>
      <w:r w:rsidRPr="00BF3E8E">
        <w:rPr>
          <w:rFonts w:asciiTheme="minorHAnsi" w:hAnsiTheme="minorHAnsi" w:cstheme="minorHAnsi"/>
          <w:b/>
          <w:bCs/>
          <w:color w:val="000000" w:themeColor="text1"/>
          <w:kern w:val="24"/>
          <w:sz w:val="24"/>
          <w:szCs w:val="24"/>
          <w:lang w:eastAsia="en-AU"/>
        </w:rPr>
        <w:t>Bachelor Degree or Higher VET Qualifications</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Child Carers</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Electricians</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Early Childhood (Pre-primary School) Teachers</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Metal Fitters and Machinists</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Structural Steel and Welding Trades Workers</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Carpenters and Joiners</w:t>
      </w: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b/>
          <w:bCs/>
          <w:color w:val="000000" w:themeColor="text1"/>
          <w:kern w:val="24"/>
          <w:sz w:val="24"/>
          <w:szCs w:val="24"/>
          <w:lang w:eastAsia="en-AU"/>
        </w:rPr>
        <w:t>Other occupations</w:t>
      </w:r>
      <w:r w:rsidRPr="00BF3E8E">
        <w:rPr>
          <w:rFonts w:asciiTheme="minorHAnsi" w:hAnsiTheme="minorHAnsi" w:cstheme="minorHAnsi"/>
          <w:color w:val="000000" w:themeColor="text1"/>
          <w:kern w:val="24"/>
          <w:sz w:val="24"/>
          <w:szCs w:val="24"/>
          <w:lang w:eastAsia="en-AU"/>
        </w:rPr>
        <w:br/>
        <w:t>Sales Representatives</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Truck Drivers</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Receptionists</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Sales Assistants (General)</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26</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150" type="#_x0000_t75" style="width:270.6pt;height:202.55pt" o:ole="" o:bordertopcolor="this" o:borderleftcolor="this" o:borderbottomcolor="this" o:borderrightcolor="this">
            <v:imagedata r:id="rId56" o:title=""/>
            <w10:bordertop type="single" width="4" shadow="t"/>
            <w10:borderleft type="single" width="4" shadow="t"/>
            <w10:borderbottom type="single" width="4" shadow="t"/>
            <w10:borderright type="single" width="4" shadow="t"/>
          </v:shape>
          <o:OLEObject Type="Embed" ProgID="PowerPoint.Slide.12" ShapeID="_x0000_i1150" DrawAspect="Content" ObjectID="_1430893308" r:id="rId57"/>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b/>
          <w:bCs/>
          <w:i/>
          <w:iCs/>
          <w:color w:val="000000" w:themeColor="text1"/>
          <w:kern w:val="24"/>
          <w:sz w:val="24"/>
          <w:szCs w:val="24"/>
          <w:u w:val="single"/>
          <w:lang w:eastAsia="en-AU"/>
        </w:rPr>
      </w:pPr>
      <w:r w:rsidRPr="00BF3E8E">
        <w:rPr>
          <w:rFonts w:asciiTheme="minorHAnsi" w:hAnsiTheme="minorHAnsi" w:cstheme="minorHAnsi"/>
          <w:b/>
          <w:bCs/>
          <w:color w:val="000000" w:themeColor="text1"/>
          <w:kern w:val="24"/>
          <w:sz w:val="24"/>
          <w:szCs w:val="24"/>
          <w:u w:val="single"/>
          <w:lang w:eastAsia="en-AU"/>
        </w:rPr>
        <w:t>Local Labour Supply</w:t>
      </w: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r w:rsidRPr="00BF3E8E">
        <w:rPr>
          <w:rFonts w:asciiTheme="minorHAnsi" w:hAnsiTheme="minorHAnsi" w:cstheme="minorHAnsi"/>
          <w:i/>
          <w:iCs/>
          <w:color w:val="000000" w:themeColor="text1"/>
          <w:kern w:val="24"/>
          <w:sz w:val="24"/>
          <w:szCs w:val="24"/>
          <w:lang w:eastAsia="en-AU"/>
        </w:rPr>
        <w:t>Source:</w:t>
      </w:r>
      <w:r w:rsidRPr="00BF3E8E">
        <w:rPr>
          <w:rFonts w:asciiTheme="minorHAnsi" w:hAnsiTheme="minorHAnsi" w:cstheme="minorHAnsi"/>
          <w:color w:val="000000" w:themeColor="text1"/>
          <w:kern w:val="24"/>
          <w:sz w:val="24"/>
          <w:szCs w:val="24"/>
          <w:lang w:eastAsia="en-AU"/>
        </w:rPr>
        <w:t xml:space="preserve">  </w:t>
      </w:r>
      <w:r w:rsidRPr="00BF3E8E">
        <w:rPr>
          <w:rFonts w:asciiTheme="minorHAnsi" w:hAnsiTheme="minorHAnsi" w:cstheme="minorHAnsi"/>
          <w:i/>
          <w:iCs/>
          <w:color w:val="000000" w:themeColor="text1"/>
          <w:kern w:val="24"/>
          <w:sz w:val="24"/>
          <w:szCs w:val="24"/>
          <w:lang w:eastAsia="en-AU"/>
        </w:rPr>
        <w:t>ABS Census of Population and Housing, 2011</w:t>
      </w: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The ‘Untapped labour force’ is the number of people who are </w:t>
      </w:r>
      <w:proofErr w:type="gramStart"/>
      <w:r w:rsidRPr="00BF3E8E">
        <w:rPr>
          <w:rFonts w:asciiTheme="minorHAnsi" w:hAnsiTheme="minorHAnsi" w:cstheme="minorHAnsi"/>
          <w:color w:val="000000" w:themeColor="text1"/>
          <w:kern w:val="24"/>
          <w:sz w:val="24"/>
          <w:szCs w:val="24"/>
          <w:lang w:eastAsia="en-AU"/>
        </w:rPr>
        <w:t>Not</w:t>
      </w:r>
      <w:proofErr w:type="gramEnd"/>
      <w:r w:rsidRPr="00BF3E8E">
        <w:rPr>
          <w:rFonts w:asciiTheme="minorHAnsi" w:hAnsiTheme="minorHAnsi" w:cstheme="minorHAnsi"/>
          <w:color w:val="000000" w:themeColor="text1"/>
          <w:kern w:val="24"/>
          <w:sz w:val="24"/>
          <w:szCs w:val="24"/>
          <w:lang w:eastAsia="en-AU"/>
        </w:rPr>
        <w:t xml:space="preserve"> in the Labour Force or who are Unemployed.</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At the time of the 2011 Census there was a slightly lower participation rate for females aged 25-39 (72</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compared with Australia (75</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People from an “</w:t>
      </w:r>
      <w:proofErr w:type="spellStart"/>
      <w:r w:rsidRPr="00BF3E8E">
        <w:rPr>
          <w:rFonts w:asciiTheme="minorHAnsi" w:hAnsiTheme="minorHAnsi" w:cstheme="minorHAnsi"/>
          <w:color w:val="000000" w:themeColor="text1"/>
          <w:kern w:val="24"/>
          <w:sz w:val="24"/>
          <w:szCs w:val="24"/>
          <w:lang w:eastAsia="en-AU"/>
        </w:rPr>
        <w:t>OTMESC</w:t>
      </w:r>
      <w:proofErr w:type="spellEnd"/>
      <w:r w:rsidRPr="00BF3E8E">
        <w:rPr>
          <w:rFonts w:asciiTheme="minorHAnsi" w:hAnsiTheme="minorHAnsi" w:cstheme="minorHAnsi"/>
          <w:color w:val="000000" w:themeColor="text1"/>
          <w:kern w:val="24"/>
          <w:sz w:val="24"/>
          <w:szCs w:val="24"/>
          <w:lang w:eastAsia="en-AU"/>
        </w:rPr>
        <w:t>” background had a similar participation rate in the PEA (70</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compared with Australia (69</w:t>
      </w:r>
      <w:r>
        <w:rPr>
          <w:rFonts w:asciiTheme="minorHAnsi" w:hAnsiTheme="minorHAnsi" w:cstheme="minorHAnsi"/>
          <w:color w:val="000000" w:themeColor="text1"/>
          <w:kern w:val="24"/>
          <w:sz w:val="24"/>
          <w:szCs w:val="24"/>
          <w:lang w:eastAsia="en-AU"/>
        </w:rPr>
        <w:t> per cent</w:t>
      </w:r>
      <w:r w:rsidRPr="00BF3E8E">
        <w:rPr>
          <w:rFonts w:asciiTheme="minorHAnsi" w:hAnsiTheme="minorHAnsi" w:cstheme="minorHAnsi"/>
          <w:color w:val="000000" w:themeColor="text1"/>
          <w:kern w:val="24"/>
          <w:sz w:val="24"/>
          <w:szCs w:val="24"/>
          <w:lang w:eastAsia="en-AU"/>
        </w:rPr>
        <w:t xml:space="preserve">). </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27</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155" type="#_x0000_t75" style="width:270.6pt;height:202.55pt" o:ole="" o:bordertopcolor="this" o:borderleftcolor="this" o:borderbottomcolor="this" o:borderrightcolor="this">
            <v:imagedata r:id="rId58" o:title=""/>
            <w10:bordertop type="single" width="4" shadow="t"/>
            <w10:borderleft type="single" width="4" shadow="t"/>
            <w10:borderbottom type="single" width="4" shadow="t"/>
            <w10:borderright type="single" width="4" shadow="t"/>
          </v:shape>
          <o:OLEObject Type="Embed" ProgID="PowerPoint.Slide.12" ShapeID="_x0000_i1155" DrawAspect="Content" ObjectID="_1430893309" r:id="rId59"/>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b/>
          <w:bCs/>
          <w:color w:val="000000" w:themeColor="text1"/>
          <w:kern w:val="24"/>
          <w:sz w:val="24"/>
          <w:szCs w:val="24"/>
          <w:u w:val="single"/>
          <w:lang w:eastAsia="en-AU"/>
        </w:rPr>
        <w:t>What should employers be doing?</w:t>
      </w:r>
    </w:p>
    <w:p w:rsidR="00BF3E8E" w:rsidRPr="00BF3E8E" w:rsidRDefault="00BF3E8E" w:rsidP="00BF3E8E">
      <w:pPr>
        <w:autoSpaceDE w:val="0"/>
        <w:autoSpaceDN w:val="0"/>
        <w:adjustRightInd w:val="0"/>
        <w:rPr>
          <w:rFonts w:asciiTheme="minorHAnsi" w:hAnsiTheme="minorHAnsi" w:cstheme="minorHAnsi"/>
          <w:i/>
          <w:iCs/>
          <w:color w:val="000000" w:themeColor="text1"/>
          <w:kern w:val="24"/>
          <w:sz w:val="24"/>
          <w:szCs w:val="24"/>
          <w:lang w:eastAsia="en-AU"/>
        </w:rPr>
      </w:pPr>
      <w:r w:rsidRPr="00BF3E8E">
        <w:rPr>
          <w:rFonts w:asciiTheme="minorHAnsi" w:hAnsiTheme="minorHAnsi" w:cstheme="minorHAnsi"/>
          <w:i/>
          <w:iCs/>
          <w:color w:val="000000" w:themeColor="text1"/>
          <w:kern w:val="24"/>
          <w:sz w:val="24"/>
          <w:szCs w:val="24"/>
          <w:lang w:eastAsia="en-AU"/>
        </w:rPr>
        <w:t>Source:  www.fairwork.gov.au</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numPr>
          <w:ilvl w:val="0"/>
          <w:numId w:val="2"/>
        </w:numPr>
        <w:autoSpaceDE w:val="0"/>
        <w:autoSpaceDN w:val="0"/>
        <w:adjustRightInd w:val="0"/>
        <w:rPr>
          <w:rFonts w:asciiTheme="minorHAnsi" w:hAnsiTheme="minorHAnsi" w:cstheme="minorHAnsi"/>
          <w:color w:val="000000" w:themeColor="text1"/>
          <w:kern w:val="24"/>
          <w:sz w:val="24"/>
          <w:szCs w:val="24"/>
          <w:lang w:val="en-US" w:eastAsia="en-AU"/>
        </w:rPr>
      </w:pPr>
      <w:r w:rsidRPr="00BF3E8E">
        <w:rPr>
          <w:rFonts w:asciiTheme="minorHAnsi" w:hAnsiTheme="minorHAnsi" w:cstheme="minorHAnsi"/>
          <w:color w:val="000000" w:themeColor="text1"/>
          <w:kern w:val="24"/>
          <w:sz w:val="24"/>
          <w:szCs w:val="24"/>
          <w:lang w:val="en-US" w:eastAsia="en-AU"/>
        </w:rPr>
        <w:t xml:space="preserve"> Phased retirement</w:t>
      </w:r>
    </w:p>
    <w:p w:rsidR="00BF3E8E" w:rsidRPr="00BF3E8E" w:rsidRDefault="00BF3E8E" w:rsidP="00BF3E8E">
      <w:pPr>
        <w:numPr>
          <w:ilvl w:val="0"/>
          <w:numId w:val="2"/>
        </w:numPr>
        <w:autoSpaceDE w:val="0"/>
        <w:autoSpaceDN w:val="0"/>
        <w:adjustRightInd w:val="0"/>
        <w:rPr>
          <w:rFonts w:asciiTheme="minorHAnsi" w:hAnsiTheme="minorHAnsi" w:cstheme="minorHAnsi"/>
          <w:color w:val="000000" w:themeColor="text1"/>
          <w:kern w:val="24"/>
          <w:sz w:val="24"/>
          <w:szCs w:val="24"/>
          <w:lang w:val="en-US" w:eastAsia="en-AU"/>
        </w:rPr>
      </w:pPr>
      <w:r w:rsidRPr="00BF3E8E">
        <w:rPr>
          <w:rFonts w:asciiTheme="minorHAnsi" w:hAnsiTheme="minorHAnsi" w:cstheme="minorHAnsi"/>
          <w:color w:val="000000" w:themeColor="text1"/>
          <w:kern w:val="24"/>
          <w:sz w:val="24"/>
          <w:szCs w:val="24"/>
          <w:lang w:val="en-US" w:eastAsia="en-AU"/>
        </w:rPr>
        <w:t xml:space="preserve"> Flexible hours / leave</w:t>
      </w:r>
    </w:p>
    <w:p w:rsidR="00BF3E8E" w:rsidRPr="00BF3E8E" w:rsidRDefault="00BF3E8E" w:rsidP="00BF3E8E">
      <w:pPr>
        <w:numPr>
          <w:ilvl w:val="0"/>
          <w:numId w:val="2"/>
        </w:numPr>
        <w:autoSpaceDE w:val="0"/>
        <w:autoSpaceDN w:val="0"/>
        <w:adjustRightInd w:val="0"/>
        <w:rPr>
          <w:rFonts w:asciiTheme="minorHAnsi" w:hAnsiTheme="minorHAnsi" w:cstheme="minorHAnsi"/>
          <w:color w:val="000000" w:themeColor="text1"/>
          <w:kern w:val="24"/>
          <w:sz w:val="24"/>
          <w:szCs w:val="24"/>
          <w:lang w:val="en-US" w:eastAsia="en-AU"/>
        </w:rPr>
      </w:pPr>
      <w:r w:rsidRPr="00BF3E8E">
        <w:rPr>
          <w:rFonts w:asciiTheme="minorHAnsi" w:hAnsiTheme="minorHAnsi" w:cstheme="minorHAnsi"/>
          <w:color w:val="000000" w:themeColor="text1"/>
          <w:kern w:val="24"/>
          <w:sz w:val="24"/>
          <w:szCs w:val="24"/>
          <w:lang w:val="en-US" w:eastAsia="en-AU"/>
        </w:rPr>
        <w:t xml:space="preserve"> Job sharing</w:t>
      </w:r>
    </w:p>
    <w:p w:rsidR="00BF3E8E" w:rsidRPr="00BF3E8E" w:rsidRDefault="00BF3E8E" w:rsidP="00BF3E8E">
      <w:pPr>
        <w:numPr>
          <w:ilvl w:val="0"/>
          <w:numId w:val="2"/>
        </w:numPr>
        <w:autoSpaceDE w:val="0"/>
        <w:autoSpaceDN w:val="0"/>
        <w:adjustRightInd w:val="0"/>
        <w:rPr>
          <w:rFonts w:asciiTheme="minorHAnsi" w:hAnsiTheme="minorHAnsi" w:cstheme="minorHAnsi"/>
          <w:color w:val="000000" w:themeColor="text1"/>
          <w:kern w:val="24"/>
          <w:sz w:val="24"/>
          <w:szCs w:val="24"/>
          <w:lang w:val="en-US" w:eastAsia="en-AU"/>
        </w:rPr>
      </w:pPr>
      <w:r w:rsidRPr="00BF3E8E">
        <w:rPr>
          <w:rFonts w:asciiTheme="minorHAnsi" w:hAnsiTheme="minorHAnsi" w:cstheme="minorHAnsi"/>
          <w:color w:val="000000" w:themeColor="text1"/>
          <w:kern w:val="24"/>
          <w:sz w:val="24"/>
          <w:szCs w:val="24"/>
          <w:lang w:val="en-US" w:eastAsia="en-AU"/>
        </w:rPr>
        <w:t xml:space="preserve"> Job compression (working longer but fewer days)</w:t>
      </w:r>
    </w:p>
    <w:p w:rsidR="00BF3E8E" w:rsidRPr="00BF3E8E" w:rsidRDefault="00BF3E8E" w:rsidP="00BF3E8E">
      <w:pPr>
        <w:numPr>
          <w:ilvl w:val="0"/>
          <w:numId w:val="2"/>
        </w:numPr>
        <w:autoSpaceDE w:val="0"/>
        <w:autoSpaceDN w:val="0"/>
        <w:adjustRightInd w:val="0"/>
        <w:rPr>
          <w:rFonts w:asciiTheme="minorHAnsi" w:hAnsiTheme="minorHAnsi" w:cstheme="minorHAnsi"/>
          <w:color w:val="000000" w:themeColor="text1"/>
          <w:kern w:val="24"/>
          <w:sz w:val="24"/>
          <w:szCs w:val="24"/>
          <w:lang w:val="en-US" w:eastAsia="en-AU"/>
        </w:rPr>
      </w:pPr>
      <w:r w:rsidRPr="00BF3E8E">
        <w:rPr>
          <w:rFonts w:asciiTheme="minorHAnsi" w:hAnsiTheme="minorHAnsi" w:cstheme="minorHAnsi"/>
          <w:color w:val="000000" w:themeColor="text1"/>
          <w:kern w:val="24"/>
          <w:sz w:val="24"/>
          <w:szCs w:val="24"/>
          <w:lang w:val="en-US" w:eastAsia="en-AU"/>
        </w:rPr>
        <w:t xml:space="preserve"> Teleworking</w:t>
      </w:r>
    </w:p>
    <w:p w:rsidR="00BF3E8E" w:rsidRPr="00BF3E8E" w:rsidRDefault="00BF3E8E" w:rsidP="00BF3E8E">
      <w:pPr>
        <w:numPr>
          <w:ilvl w:val="0"/>
          <w:numId w:val="2"/>
        </w:numPr>
        <w:autoSpaceDE w:val="0"/>
        <w:autoSpaceDN w:val="0"/>
        <w:adjustRightInd w:val="0"/>
        <w:rPr>
          <w:rFonts w:asciiTheme="minorHAnsi" w:hAnsiTheme="minorHAnsi" w:cstheme="minorHAnsi"/>
          <w:color w:val="000000" w:themeColor="text1"/>
          <w:kern w:val="24"/>
          <w:sz w:val="24"/>
          <w:szCs w:val="24"/>
          <w:lang w:val="en-US" w:eastAsia="en-AU"/>
        </w:rPr>
      </w:pPr>
      <w:r w:rsidRPr="00BF3E8E">
        <w:rPr>
          <w:rFonts w:asciiTheme="minorHAnsi" w:hAnsiTheme="minorHAnsi" w:cstheme="minorHAnsi"/>
          <w:color w:val="000000" w:themeColor="text1"/>
          <w:kern w:val="24"/>
          <w:sz w:val="24"/>
          <w:szCs w:val="24"/>
          <w:lang w:val="en-US" w:eastAsia="en-AU"/>
        </w:rPr>
        <w:t xml:space="preserve"> Ongoing training</w:t>
      </w:r>
    </w:p>
    <w:p w:rsidR="00BF3E8E" w:rsidRPr="00BF3E8E" w:rsidRDefault="00BF3E8E" w:rsidP="00BF3E8E">
      <w:pPr>
        <w:numPr>
          <w:ilvl w:val="0"/>
          <w:numId w:val="2"/>
        </w:num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val="en-US" w:eastAsia="en-AU"/>
        </w:rPr>
        <w:t xml:space="preserve"> Cater for those with caring responsibilities</w:t>
      </w: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28</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160" type="#_x0000_t75" style="width:270.6pt;height:202.55pt" o:ole="" o:bordertopcolor="this" o:borderleftcolor="this" o:borderbottomcolor="this" o:borderrightcolor="this">
            <v:imagedata r:id="rId60" o:title=""/>
            <w10:bordertop type="single" width="4" shadow="t"/>
            <w10:borderleft type="single" width="4" shadow="t"/>
            <w10:borderbottom type="single" width="4" shadow="t"/>
            <w10:borderright type="single" width="4" shadow="t"/>
          </v:shape>
          <o:OLEObject Type="Embed" ProgID="PowerPoint.Slide.12" ShapeID="_x0000_i1160" DrawAspect="Content" ObjectID="_1430893310" r:id="rId61"/>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u w:val="single"/>
          <w:lang w:eastAsia="en-AU"/>
        </w:rPr>
      </w:pPr>
      <w:r w:rsidRPr="00BF3E8E">
        <w:rPr>
          <w:rFonts w:asciiTheme="minorHAnsi" w:hAnsiTheme="minorHAnsi" w:cstheme="minorHAnsi"/>
          <w:b/>
          <w:bCs/>
          <w:color w:val="000000" w:themeColor="text1"/>
          <w:kern w:val="24"/>
          <w:sz w:val="24"/>
          <w:szCs w:val="24"/>
          <w:u w:val="single"/>
          <w:lang w:eastAsia="en-AU"/>
        </w:rPr>
        <w:t>Conclusion</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lang w:val="en-US" w:eastAsia="en-AU"/>
        </w:rPr>
      </w:pPr>
      <w:r w:rsidRPr="00BF3E8E">
        <w:rPr>
          <w:rFonts w:asciiTheme="minorHAnsi" w:hAnsiTheme="minorHAnsi" w:cstheme="minorHAnsi"/>
          <w:b/>
          <w:bCs/>
          <w:color w:val="000000" w:themeColor="text1"/>
          <w:kern w:val="24"/>
          <w:sz w:val="24"/>
          <w:szCs w:val="24"/>
          <w:lang w:val="en-US" w:eastAsia="en-AU"/>
        </w:rPr>
        <w:t>Some softness in the labour market and conditions are subdued</w:t>
      </w: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lang w:eastAsia="en-AU"/>
        </w:rPr>
      </w:pPr>
      <w:r w:rsidRPr="00BF3E8E">
        <w:rPr>
          <w:rFonts w:asciiTheme="minorHAnsi" w:hAnsiTheme="minorHAnsi" w:cstheme="minorHAnsi"/>
          <w:b/>
          <w:bCs/>
          <w:color w:val="000000" w:themeColor="text1"/>
          <w:kern w:val="24"/>
          <w:sz w:val="24"/>
          <w:szCs w:val="24"/>
          <w:lang w:eastAsia="en-AU"/>
        </w:rPr>
        <w:t xml:space="preserve">Opportunities </w:t>
      </w:r>
    </w:p>
    <w:p w:rsidR="00BF3E8E" w:rsidRPr="00BF3E8E" w:rsidRDefault="00BF3E8E" w:rsidP="00BF3E8E">
      <w:pPr>
        <w:numPr>
          <w:ilvl w:val="0"/>
          <w:numId w:val="4"/>
        </w:numPr>
        <w:autoSpaceDE w:val="0"/>
        <w:autoSpaceDN w:val="0"/>
        <w:adjustRightInd w:val="0"/>
        <w:ind w:left="1170" w:hanging="450"/>
        <w:rPr>
          <w:rFonts w:asciiTheme="minorHAnsi" w:hAnsiTheme="minorHAnsi" w:cstheme="minorHAnsi"/>
          <w:color w:val="000000" w:themeColor="text1"/>
          <w:kern w:val="24"/>
          <w:sz w:val="24"/>
          <w:szCs w:val="24"/>
          <w:lang w:val="en-US" w:eastAsia="en-AU"/>
        </w:rPr>
      </w:pPr>
      <w:r w:rsidRPr="00BF3E8E">
        <w:rPr>
          <w:rFonts w:asciiTheme="minorHAnsi" w:hAnsiTheme="minorHAnsi" w:cstheme="minorHAnsi"/>
          <w:color w:val="000000" w:themeColor="text1"/>
          <w:kern w:val="24"/>
          <w:sz w:val="24"/>
          <w:szCs w:val="24"/>
          <w:lang w:val="en-US" w:eastAsia="en-AU"/>
        </w:rPr>
        <w:t>Large employing industries</w:t>
      </w:r>
    </w:p>
    <w:p w:rsidR="00BF3E8E" w:rsidRPr="00BF3E8E" w:rsidRDefault="00BF3E8E" w:rsidP="00BF3E8E">
      <w:pPr>
        <w:numPr>
          <w:ilvl w:val="0"/>
          <w:numId w:val="4"/>
        </w:numPr>
        <w:autoSpaceDE w:val="0"/>
        <w:autoSpaceDN w:val="0"/>
        <w:adjustRightInd w:val="0"/>
        <w:ind w:left="1170" w:hanging="450"/>
        <w:rPr>
          <w:rFonts w:asciiTheme="minorHAnsi" w:hAnsiTheme="minorHAnsi" w:cstheme="minorHAnsi"/>
          <w:color w:val="000000" w:themeColor="text1"/>
          <w:kern w:val="24"/>
          <w:sz w:val="24"/>
          <w:szCs w:val="24"/>
          <w:lang w:val="en-US" w:eastAsia="en-AU"/>
        </w:rPr>
      </w:pPr>
      <w:r w:rsidRPr="00BF3E8E">
        <w:rPr>
          <w:rFonts w:asciiTheme="minorHAnsi" w:hAnsiTheme="minorHAnsi" w:cstheme="minorHAnsi"/>
          <w:color w:val="000000" w:themeColor="text1"/>
          <w:kern w:val="24"/>
          <w:sz w:val="24"/>
          <w:szCs w:val="24"/>
          <w:lang w:val="en-US" w:eastAsia="en-AU"/>
        </w:rPr>
        <w:t>Employers having difficulty filling vacancies across a broad range of occupations</w:t>
      </w:r>
    </w:p>
    <w:p w:rsidR="00BF3E8E" w:rsidRPr="00BF3E8E" w:rsidRDefault="00BF3E8E" w:rsidP="00BF3E8E">
      <w:pPr>
        <w:numPr>
          <w:ilvl w:val="0"/>
          <w:numId w:val="4"/>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val="en-US" w:eastAsia="en-AU"/>
        </w:rPr>
        <w:t>Broader Melbourne labour market (transport)</w:t>
      </w: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lang w:eastAsia="en-AU"/>
        </w:rPr>
      </w:pPr>
      <w:r w:rsidRPr="00BF3E8E">
        <w:rPr>
          <w:rFonts w:asciiTheme="minorHAnsi" w:hAnsiTheme="minorHAnsi" w:cstheme="minorHAnsi"/>
          <w:b/>
          <w:bCs/>
          <w:color w:val="000000" w:themeColor="text1"/>
          <w:kern w:val="24"/>
          <w:sz w:val="24"/>
          <w:szCs w:val="24"/>
          <w:lang w:eastAsia="en-AU"/>
        </w:rPr>
        <w:t>Disadvantaged Groups</w:t>
      </w:r>
    </w:p>
    <w:p w:rsidR="00BF3E8E" w:rsidRPr="00BF3E8E" w:rsidRDefault="00BF3E8E" w:rsidP="00BF3E8E">
      <w:pPr>
        <w:numPr>
          <w:ilvl w:val="0"/>
          <w:numId w:val="4"/>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Disengaged youth, jobless families, less educated, migrants</w:t>
      </w: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lang w:eastAsia="en-AU"/>
        </w:rPr>
      </w:pPr>
      <w:r w:rsidRPr="00BF3E8E">
        <w:rPr>
          <w:rFonts w:asciiTheme="minorHAnsi" w:hAnsiTheme="minorHAnsi" w:cstheme="minorHAnsi"/>
          <w:b/>
          <w:bCs/>
          <w:color w:val="000000" w:themeColor="text1"/>
          <w:kern w:val="24"/>
          <w:sz w:val="24"/>
          <w:szCs w:val="24"/>
          <w:lang w:eastAsia="en-AU"/>
        </w:rPr>
        <w:t>Job seekers need to be job ready</w:t>
      </w:r>
    </w:p>
    <w:p w:rsidR="00BF3E8E" w:rsidRPr="00BF3E8E" w:rsidRDefault="00BF3E8E" w:rsidP="00BF3E8E">
      <w:pPr>
        <w:numPr>
          <w:ilvl w:val="0"/>
          <w:numId w:val="4"/>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Work experience / training / apprenticeships </w:t>
      </w:r>
    </w:p>
    <w:p w:rsidR="00BF3E8E" w:rsidRPr="00BF3E8E" w:rsidRDefault="00BF3E8E" w:rsidP="00BF3E8E">
      <w:pPr>
        <w:numPr>
          <w:ilvl w:val="0"/>
          <w:numId w:val="4"/>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val="en-US" w:eastAsia="en-AU"/>
        </w:rPr>
        <w:t>English proficiency</w:t>
      </w:r>
    </w:p>
    <w:p w:rsidR="00BF3E8E" w:rsidRPr="00BF3E8E" w:rsidRDefault="00BF3E8E" w:rsidP="00BF3E8E">
      <w:pPr>
        <w:numPr>
          <w:ilvl w:val="0"/>
          <w:numId w:val="4"/>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Employability skills </w:t>
      </w: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lang w:eastAsia="en-AU"/>
        </w:rPr>
      </w:pPr>
      <w:r w:rsidRPr="00BF3E8E">
        <w:rPr>
          <w:rFonts w:asciiTheme="minorHAnsi" w:hAnsiTheme="minorHAnsi" w:cstheme="minorHAnsi"/>
          <w:b/>
          <w:bCs/>
          <w:color w:val="000000" w:themeColor="text1"/>
          <w:kern w:val="24"/>
          <w:sz w:val="24"/>
          <w:szCs w:val="24"/>
          <w:lang w:eastAsia="en-AU"/>
        </w:rPr>
        <w:t>Collaborate with key stakeholders, employers and local employment co-ordinator</w:t>
      </w: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29</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165" type="#_x0000_t75" style="width:270.6pt;height:202.55pt" o:ole="" o:bordertopcolor="this" o:borderleftcolor="this" o:borderbottomcolor="this" o:borderrightcolor="this">
            <v:imagedata r:id="rId62" o:title=""/>
            <w10:bordertop type="single" width="4" shadow="t"/>
            <w10:borderleft type="single" width="4" shadow="t"/>
            <w10:borderbottom type="single" width="4" shadow="t"/>
            <w10:borderright type="single" width="4" shadow="t"/>
          </v:shape>
          <o:OLEObject Type="Embed" ProgID="PowerPoint.Slide.12" ShapeID="_x0000_i1165" DrawAspect="Content" ObjectID="_1430893311" r:id="rId63"/>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u w:val="single"/>
          <w:lang w:eastAsia="en-AU"/>
        </w:rPr>
      </w:pPr>
      <w:r w:rsidRPr="00BF3E8E">
        <w:rPr>
          <w:rFonts w:asciiTheme="minorHAnsi" w:hAnsiTheme="minorHAnsi" w:cstheme="minorHAnsi"/>
          <w:b/>
          <w:bCs/>
          <w:color w:val="000000" w:themeColor="text1"/>
          <w:kern w:val="24"/>
          <w:sz w:val="24"/>
          <w:szCs w:val="24"/>
          <w:u w:val="single"/>
          <w:lang w:eastAsia="en-AU"/>
        </w:rPr>
        <w:t>Further information</w:t>
      </w:r>
    </w:p>
    <w:p w:rsidR="00BF3E8E" w:rsidRPr="00BF3E8E" w:rsidRDefault="00BF3E8E" w:rsidP="00BF3E8E">
      <w:pPr>
        <w:autoSpaceDE w:val="0"/>
        <w:autoSpaceDN w:val="0"/>
        <w:adjustRightInd w:val="0"/>
        <w:rPr>
          <w:rFonts w:asciiTheme="minorHAnsi" w:hAnsiTheme="minorHAnsi" w:cstheme="minorHAnsi"/>
          <w:b/>
          <w:bCs/>
          <w:color w:val="000000" w:themeColor="text1"/>
          <w:kern w:val="24"/>
          <w:sz w:val="24"/>
          <w:szCs w:val="24"/>
          <w:u w:val="single"/>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More information on labour market conditions and other research on small areas can be found on these web sites:</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numPr>
          <w:ilvl w:val="0"/>
          <w:numId w:val="3"/>
        </w:numPr>
        <w:autoSpaceDE w:val="0"/>
        <w:autoSpaceDN w:val="0"/>
        <w:adjustRightInd w:val="0"/>
        <w:ind w:left="990" w:hanging="27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u w:val="single"/>
          <w:lang w:eastAsia="en-AU"/>
        </w:rPr>
        <w:t>www.deewr.gov.au/regional-reports-employers-recruitment-experiences</w:t>
      </w:r>
    </w:p>
    <w:p w:rsidR="00BF3E8E" w:rsidRPr="00BF3E8E" w:rsidRDefault="00BF3E8E" w:rsidP="00BF3E8E">
      <w:pPr>
        <w:numPr>
          <w:ilvl w:val="0"/>
          <w:numId w:val="3"/>
        </w:numPr>
        <w:autoSpaceDE w:val="0"/>
        <w:autoSpaceDN w:val="0"/>
        <w:adjustRightInd w:val="0"/>
        <w:ind w:left="990" w:hanging="27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u w:val="single"/>
          <w:lang w:eastAsia="en-AU"/>
        </w:rPr>
        <w:t>www.deewr.gov.au/lmip</w:t>
      </w:r>
    </w:p>
    <w:p w:rsidR="00BF3E8E" w:rsidRPr="00BF3E8E" w:rsidRDefault="00BF3E8E" w:rsidP="00BF3E8E">
      <w:pPr>
        <w:numPr>
          <w:ilvl w:val="0"/>
          <w:numId w:val="3"/>
        </w:numPr>
        <w:autoSpaceDE w:val="0"/>
        <w:autoSpaceDN w:val="0"/>
        <w:adjustRightInd w:val="0"/>
        <w:ind w:left="990" w:hanging="27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u w:val="single"/>
          <w:lang w:eastAsia="en-AU"/>
        </w:rPr>
        <w:t>www.deewr.gov.au/SkillShortages</w:t>
      </w:r>
    </w:p>
    <w:p w:rsidR="00BF3E8E" w:rsidRPr="00BF3E8E" w:rsidRDefault="00BF3E8E" w:rsidP="00BF3E8E">
      <w:pPr>
        <w:numPr>
          <w:ilvl w:val="0"/>
          <w:numId w:val="3"/>
        </w:numPr>
        <w:autoSpaceDE w:val="0"/>
        <w:autoSpaceDN w:val="0"/>
        <w:adjustRightInd w:val="0"/>
        <w:ind w:left="990" w:hanging="27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u w:val="single"/>
          <w:lang w:eastAsia="en-AU"/>
        </w:rPr>
        <w:t>www.deewr.gov.au/australianjobs</w:t>
      </w:r>
    </w:p>
    <w:p w:rsidR="00BF3E8E" w:rsidRPr="00BF3E8E" w:rsidRDefault="00BF3E8E" w:rsidP="00BF3E8E">
      <w:pPr>
        <w:numPr>
          <w:ilvl w:val="0"/>
          <w:numId w:val="3"/>
        </w:numPr>
        <w:autoSpaceDE w:val="0"/>
        <w:autoSpaceDN w:val="0"/>
        <w:adjustRightInd w:val="0"/>
        <w:ind w:left="990" w:hanging="27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u w:val="single"/>
          <w:lang w:eastAsia="en-AU"/>
        </w:rPr>
        <w:t>www.skillsinfo.gov.au</w:t>
      </w:r>
    </w:p>
    <w:p w:rsidR="00BF3E8E" w:rsidRPr="00BF3E8E" w:rsidRDefault="00BF3E8E" w:rsidP="00BF3E8E">
      <w:pPr>
        <w:numPr>
          <w:ilvl w:val="0"/>
          <w:numId w:val="3"/>
        </w:numPr>
        <w:autoSpaceDE w:val="0"/>
        <w:autoSpaceDN w:val="0"/>
        <w:adjustRightInd w:val="0"/>
        <w:ind w:left="990" w:hanging="27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u w:val="single"/>
          <w:lang w:eastAsia="en-AU"/>
        </w:rPr>
        <w:t>www.joboutlook.gov.au</w:t>
      </w:r>
    </w:p>
    <w:p w:rsidR="00BF3E8E" w:rsidRPr="00BF3E8E" w:rsidRDefault="00BF3E8E" w:rsidP="00BF3E8E">
      <w:pPr>
        <w:numPr>
          <w:ilvl w:val="0"/>
          <w:numId w:val="3"/>
        </w:numPr>
        <w:autoSpaceDE w:val="0"/>
        <w:autoSpaceDN w:val="0"/>
        <w:adjustRightInd w:val="0"/>
        <w:ind w:left="990" w:hanging="270"/>
        <w:rPr>
          <w:rFonts w:asciiTheme="minorHAnsi" w:hAnsiTheme="minorHAnsi" w:cstheme="minorHAnsi"/>
          <w:color w:val="000000" w:themeColor="text1"/>
          <w:sz w:val="24"/>
          <w:szCs w:val="24"/>
          <w:u w:val="single"/>
          <w:lang w:eastAsia="en-AU"/>
        </w:rPr>
      </w:pPr>
      <w:r w:rsidRPr="00BF3E8E">
        <w:rPr>
          <w:rFonts w:asciiTheme="minorHAnsi" w:hAnsiTheme="minorHAnsi" w:cstheme="minorHAnsi"/>
          <w:color w:val="000000" w:themeColor="text1"/>
          <w:sz w:val="24"/>
          <w:szCs w:val="24"/>
          <w:u w:val="single"/>
          <w:lang w:eastAsia="en-AU"/>
        </w:rPr>
        <w:t>www.deewr.gov.au/news/aussie-jobs</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 xml:space="preserve">This presentation will be placed on the regional reports section of the DEEWR website </w:t>
      </w:r>
      <w:r w:rsidRPr="00BF3E8E">
        <w:rPr>
          <w:rFonts w:asciiTheme="minorHAnsi" w:hAnsiTheme="minorHAnsi" w:cstheme="minorHAnsi"/>
          <w:color w:val="000000" w:themeColor="text1"/>
          <w:kern w:val="24"/>
          <w:sz w:val="24"/>
          <w:szCs w:val="24"/>
          <w:u w:val="single"/>
          <w:lang w:eastAsia="en-AU"/>
        </w:rPr>
        <w:t>www.deewr.gov.au/regional-reports-employers-recruitment-experiences</w:t>
      </w:r>
      <w:r w:rsidRPr="00BF3E8E">
        <w:rPr>
          <w:rFonts w:asciiTheme="minorHAnsi" w:hAnsiTheme="minorHAnsi" w:cstheme="minorHAnsi"/>
          <w:color w:val="000000" w:themeColor="text1"/>
          <w:kern w:val="24"/>
          <w:sz w:val="24"/>
          <w:szCs w:val="24"/>
          <w:lang w:eastAsia="en-AU"/>
        </w:rPr>
        <w:t>.</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r w:rsidRPr="00BF3E8E">
        <w:rPr>
          <w:rFonts w:asciiTheme="minorHAnsi" w:hAnsiTheme="minorHAnsi" w:cstheme="minorHAnsi"/>
          <w:color w:val="000000" w:themeColor="text1"/>
          <w:kern w:val="24"/>
          <w:sz w:val="24"/>
          <w:szCs w:val="24"/>
          <w:lang w:eastAsia="en-AU"/>
        </w:rPr>
        <w:t>Thank you.</w:t>
      </w: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30</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170" type="#_x0000_t75" style="width:270.6pt;height:202.55pt" o:ole="" o:bordertopcolor="this" o:borderleftcolor="this" o:borderbottomcolor="this" o:borderrightcolor="this">
            <v:imagedata r:id="rId64" o:title=""/>
            <w10:bordertop type="single" width="4" shadow="t"/>
            <w10:borderleft type="single" width="4" shadow="t"/>
            <w10:borderbottom type="single" width="4" shadow="t"/>
            <w10:borderright type="single" width="4" shadow="t"/>
          </v:shape>
          <o:OLEObject Type="Embed" ProgID="PowerPoint.Slide.12" ShapeID="_x0000_i1170" DrawAspect="Content" ObjectID="_1430893312" r:id="rId65"/>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u w:val="single"/>
          <w:lang w:eastAsia="en-AU"/>
        </w:rPr>
      </w:pPr>
      <w:r w:rsidRPr="00BF3E8E">
        <w:rPr>
          <w:rFonts w:asciiTheme="minorHAnsi" w:hAnsiTheme="minorHAnsi" w:cstheme="minorHAnsi"/>
          <w:color w:val="000000" w:themeColor="text1"/>
          <w:kern w:val="24"/>
          <w:sz w:val="24"/>
          <w:szCs w:val="24"/>
          <w:lang w:eastAsia="en-AU"/>
        </w:rPr>
        <w:t xml:space="preserve">If you have any questions about the presentation please contact the Regional and Industry Employer Surveys section on </w:t>
      </w:r>
      <w:r w:rsidRPr="00BF3E8E">
        <w:rPr>
          <w:rFonts w:asciiTheme="minorHAnsi" w:hAnsiTheme="minorHAnsi" w:cstheme="minorHAnsi"/>
          <w:color w:val="000000" w:themeColor="text1"/>
          <w:kern w:val="24"/>
          <w:sz w:val="24"/>
          <w:szCs w:val="24"/>
          <w:u w:val="single"/>
          <w:lang w:eastAsia="en-AU"/>
        </w:rPr>
        <w:t>1800 059 439</w:t>
      </w:r>
      <w:r w:rsidRPr="00BF3E8E">
        <w:rPr>
          <w:rFonts w:asciiTheme="minorHAnsi" w:hAnsiTheme="minorHAnsi" w:cstheme="minorHAnsi"/>
          <w:color w:val="000000" w:themeColor="text1"/>
          <w:kern w:val="24"/>
          <w:sz w:val="24"/>
          <w:szCs w:val="24"/>
          <w:lang w:eastAsia="en-AU"/>
        </w:rPr>
        <w:t xml:space="preserve"> or email </w:t>
      </w:r>
      <w:r w:rsidRPr="00BF3E8E">
        <w:rPr>
          <w:rFonts w:asciiTheme="minorHAnsi" w:hAnsiTheme="minorHAnsi" w:cstheme="minorHAnsi"/>
          <w:color w:val="000000" w:themeColor="text1"/>
          <w:kern w:val="24"/>
          <w:sz w:val="24"/>
          <w:szCs w:val="24"/>
          <w:u w:val="single"/>
          <w:lang w:eastAsia="en-AU"/>
        </w:rPr>
        <w:t>recruitmentsurveys@deewr.gov.au</w:t>
      </w:r>
    </w:p>
    <w:p w:rsidR="00BF3E8E" w:rsidRPr="00BF3E8E" w:rsidRDefault="00BF3E8E" w:rsidP="00BF3E8E">
      <w:pPr>
        <w:autoSpaceDE w:val="0"/>
        <w:autoSpaceDN w:val="0"/>
        <w:adjustRightInd w:val="0"/>
        <w:rPr>
          <w:rFonts w:asciiTheme="minorHAnsi" w:hAnsiTheme="minorHAnsi" w:cstheme="minorHAnsi"/>
          <w:color w:val="000000" w:themeColor="text1"/>
          <w:kern w:val="24"/>
          <w:sz w:val="24"/>
          <w:szCs w:val="24"/>
          <w:lang w:eastAsia="en-AU"/>
        </w:rPr>
      </w:pPr>
    </w:p>
    <w:p w:rsidR="00BF3E8E" w:rsidRPr="00BF3E8E" w:rsidRDefault="00BF3E8E" w:rsidP="00BF3E8E">
      <w:pPr>
        <w:autoSpaceDE w:val="0"/>
        <w:autoSpaceDN w:val="0"/>
        <w:adjustRightInd w:val="0"/>
        <w:rPr>
          <w:rFonts w:asciiTheme="minorHAnsi" w:hAnsiTheme="minorHAnsi" w:cstheme="minorHAnsi"/>
          <w:color w:val="000000" w:themeColor="text1"/>
          <w:sz w:val="24"/>
          <w:szCs w:val="24"/>
          <w:lang w:eastAsia="en-AU"/>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pP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br w:type="page"/>
      </w:r>
    </w:p>
    <w:p w:rsidR="00BF3E8E" w:rsidRPr="00BF3E8E" w:rsidRDefault="00BF3E8E" w:rsidP="00BF3E8E">
      <w:pPr>
        <w:spacing w:line="360" w:lineRule="auto"/>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lastRenderedPageBreak/>
        <w:t>Slide 31</w:t>
      </w: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jc w:val="center"/>
        <w:rPr>
          <w:rFonts w:asciiTheme="minorHAnsi" w:hAnsiTheme="minorHAnsi" w:cstheme="minorHAnsi"/>
          <w:color w:val="000000" w:themeColor="text1"/>
          <w:sz w:val="24"/>
          <w:szCs w:val="24"/>
        </w:rPr>
      </w:pPr>
      <w:r w:rsidRPr="00BF3E8E">
        <w:rPr>
          <w:rFonts w:asciiTheme="minorHAnsi" w:hAnsiTheme="minorHAnsi" w:cstheme="minorHAnsi"/>
          <w:color w:val="000000" w:themeColor="text1"/>
          <w:sz w:val="24"/>
          <w:szCs w:val="24"/>
        </w:rPr>
        <w:object w:dxaOrig="7216" w:dyaOrig="5409">
          <v:shape id="_x0000_i1175" type="#_x0000_t75" style="width:270.6pt;height:202.55pt" o:ole="" o:bordertopcolor="this" o:borderleftcolor="this" o:borderbottomcolor="this" o:borderrightcolor="this">
            <v:imagedata r:id="rId66" o:title=""/>
            <w10:bordertop type="single" width="4" shadow="t"/>
            <w10:borderleft type="single" width="4" shadow="t"/>
            <w10:borderbottom type="single" width="4" shadow="t"/>
            <w10:borderright type="single" width="4" shadow="t"/>
          </v:shape>
          <o:OLEObject Type="Embed" ProgID="PowerPoint.Slide.12" ShapeID="_x0000_i1175" DrawAspect="Content" ObjectID="_1430893313" r:id="rId67"/>
        </w:object>
      </w:r>
    </w:p>
    <w:p w:rsidR="00BF3E8E" w:rsidRPr="00BF3E8E" w:rsidRDefault="00BF3E8E" w:rsidP="00BF3E8E">
      <w:pPr>
        <w:spacing w:line="360" w:lineRule="auto"/>
        <w:jc w:val="center"/>
        <w:rPr>
          <w:rFonts w:asciiTheme="minorHAnsi" w:hAnsiTheme="minorHAnsi" w:cstheme="minorHAnsi"/>
          <w:color w:val="000000" w:themeColor="text1"/>
          <w:sz w:val="24"/>
          <w:szCs w:val="24"/>
        </w:rPr>
      </w:pPr>
    </w:p>
    <w:p w:rsidR="00BF3E8E" w:rsidRPr="00BF3E8E" w:rsidRDefault="00BF3E8E" w:rsidP="00BF3E8E">
      <w:pPr>
        <w:spacing w:line="360" w:lineRule="auto"/>
        <w:rPr>
          <w:rFonts w:asciiTheme="minorHAnsi" w:hAnsiTheme="minorHAnsi" w:cstheme="minorHAnsi"/>
          <w:color w:val="000000" w:themeColor="text1"/>
          <w:sz w:val="24"/>
          <w:szCs w:val="24"/>
        </w:rPr>
      </w:pPr>
    </w:p>
    <w:p w:rsidR="00BF3E8E" w:rsidRPr="00BF3E8E" w:rsidRDefault="00BF3E8E" w:rsidP="00BF3E8E">
      <w:pPr>
        <w:spacing w:line="360" w:lineRule="auto"/>
        <w:rPr>
          <w:rFonts w:asciiTheme="minorHAnsi" w:hAnsiTheme="minorHAnsi" w:cstheme="minorHAnsi"/>
          <w:color w:val="000000" w:themeColor="text1"/>
          <w:sz w:val="24"/>
          <w:szCs w:val="24"/>
        </w:rPr>
      </w:pPr>
    </w:p>
    <w:sectPr w:rsidR="00BF3E8E" w:rsidRPr="00BF3E8E" w:rsidSect="00B4410E">
      <w:pgSz w:w="11906" w:h="16838" w:code="9"/>
      <w:pgMar w:top="1418" w:right="1134" w:bottom="1418" w:left="1418" w:header="567" w:footer="567"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E000754"/>
    <w:lvl w:ilvl="0">
      <w:numFmt w:val="bullet"/>
      <w:lvlText w:val="*"/>
      <w:lvlJc w:val="left"/>
    </w:lvl>
  </w:abstractNum>
  <w:num w:numId="1">
    <w:abstractNumId w:val="0"/>
    <w:lvlOverride w:ilvl="0">
      <w:lvl w:ilvl="0">
        <w:numFmt w:val="bullet"/>
        <w:lvlText w:val="-"/>
        <w:legacy w:legacy="1" w:legacySpace="0" w:legacyIndent="0"/>
        <w:lvlJc w:val="left"/>
        <w:rPr>
          <w:rFonts w:ascii="Calibri" w:hAnsi="Calibri" w:cs="Calibri" w:hint="default"/>
          <w:sz w:val="24"/>
        </w:rPr>
      </w:lvl>
    </w:lvlOverride>
  </w:num>
  <w:num w:numId="2">
    <w:abstractNumId w:val="0"/>
    <w:lvlOverride w:ilvl="0">
      <w:lvl w:ilvl="0">
        <w:numFmt w:val="bullet"/>
        <w:lvlText w:val="•"/>
        <w:legacy w:legacy="1" w:legacySpace="0" w:legacyIndent="0"/>
        <w:lvlJc w:val="left"/>
        <w:rPr>
          <w:rFonts w:ascii="Calibri" w:hAnsi="Calibri" w:cs="Calibri" w:hint="default"/>
          <w:sz w:val="24"/>
        </w:rPr>
      </w:lvl>
    </w:lvlOverride>
  </w:num>
  <w:num w:numId="3">
    <w:abstractNumId w:val="0"/>
    <w:lvlOverride w:ilvl="0">
      <w:lvl w:ilvl="0">
        <w:numFmt w:val="bullet"/>
        <w:lvlText w:val="•"/>
        <w:legacy w:legacy="1" w:legacySpace="0" w:legacyIndent="0"/>
        <w:lvlJc w:val="left"/>
        <w:rPr>
          <w:rFonts w:ascii="Arial" w:hAnsi="Arial" w:cs="Arial" w:hint="default"/>
          <w:sz w:val="24"/>
        </w:rPr>
      </w:lvl>
    </w:lvlOverride>
  </w:num>
  <w:num w:numId="4">
    <w:abstractNumId w:val="0"/>
    <w:lvlOverride w:ilvl="0">
      <w:lvl w:ilvl="0">
        <w:numFmt w:val="bullet"/>
        <w:lvlText w:val="–"/>
        <w:legacy w:legacy="1" w:legacySpace="0" w:legacyIndent="0"/>
        <w:lvlJc w:val="left"/>
        <w:rPr>
          <w:rFonts w:ascii="Calibri" w:hAnsi="Calibri" w:cs="Calibri" w:hint="default"/>
          <w:sz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E8E"/>
    <w:rsid w:val="005D236C"/>
    <w:rsid w:val="00737AB0"/>
    <w:rsid w:val="00A35BAC"/>
    <w:rsid w:val="00B4410E"/>
    <w:rsid w:val="00BF3E8E"/>
    <w:rsid w:val="00C115BC"/>
    <w:rsid w:val="00E65DE5"/>
    <w:rsid w:val="00FD16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qFormat/>
    <w:rsid w:val="00FD16BC"/>
    <w:pPr>
      <w:keepNext/>
      <w:spacing w:before="240" w:after="60"/>
      <w:outlineLvl w:val="0"/>
    </w:pPr>
    <w:rPr>
      <w:rFonts w:eastAsia="Batang" w:cs="Arial"/>
      <w:b/>
      <w:bCs/>
      <w:sz w:val="28"/>
      <w:szCs w:val="32"/>
    </w:rPr>
  </w:style>
  <w:style w:type="paragraph" w:styleId="Heading2">
    <w:name w:val="heading 2"/>
    <w:basedOn w:val="Normal"/>
    <w:next w:val="Normal"/>
    <w:qFormat/>
    <w:rsid w:val="00FD16BC"/>
    <w:pPr>
      <w:keepNext/>
      <w:spacing w:before="240" w:after="60"/>
      <w:outlineLvl w:val="1"/>
    </w:pPr>
    <w:rPr>
      <w:rFonts w:cs="Arial"/>
      <w:b/>
      <w:bCs/>
      <w:iCs/>
      <w:sz w:val="26"/>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qFormat/>
    <w:rsid w:val="00FD16BC"/>
    <w:pPr>
      <w:keepNext/>
      <w:spacing w:before="240" w:after="60"/>
      <w:outlineLvl w:val="0"/>
    </w:pPr>
    <w:rPr>
      <w:rFonts w:eastAsia="Batang" w:cs="Arial"/>
      <w:b/>
      <w:bCs/>
      <w:sz w:val="28"/>
      <w:szCs w:val="32"/>
    </w:rPr>
  </w:style>
  <w:style w:type="paragraph" w:styleId="Heading2">
    <w:name w:val="heading 2"/>
    <w:basedOn w:val="Normal"/>
    <w:next w:val="Normal"/>
    <w:qFormat/>
    <w:rsid w:val="00FD16BC"/>
    <w:pPr>
      <w:keepNext/>
      <w:spacing w:before="240" w:after="60"/>
      <w:outlineLvl w:val="1"/>
    </w:pPr>
    <w:rPr>
      <w:rFonts w:cs="Arial"/>
      <w:b/>
      <w:bCs/>
      <w:iCs/>
      <w:sz w:val="26"/>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package" Target="embeddings/Microsoft_PowerPoint_Slide8.sldx"/><Relationship Id="rId42" Type="http://schemas.openxmlformats.org/officeDocument/2006/relationships/image" Target="media/image19.emf"/><Relationship Id="rId47" Type="http://schemas.openxmlformats.org/officeDocument/2006/relationships/package" Target="embeddings/Microsoft_PowerPoint_Slide21.sldx"/><Relationship Id="rId63" Type="http://schemas.openxmlformats.org/officeDocument/2006/relationships/package" Target="embeddings/Microsoft_PowerPoint_Slide29.sldx"/><Relationship Id="rId68" Type="http://schemas.openxmlformats.org/officeDocument/2006/relationships/fontTable" Target="fontTable.xml"/><Relationship Id="rId7" Type="http://schemas.openxmlformats.org/officeDocument/2006/relationships/package" Target="embeddings/Microsoft_PowerPoint_Slide1.sldx"/><Relationship Id="rId71"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package" Target="embeddings/Microsoft_PowerPoint_Slide12.sldx"/><Relationship Id="rId11" Type="http://schemas.openxmlformats.org/officeDocument/2006/relationships/package" Target="embeddings/Microsoft_PowerPoint_Slide3.sl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PowerPoint_Slide16.sldx"/><Relationship Id="rId40" Type="http://schemas.openxmlformats.org/officeDocument/2006/relationships/image" Target="media/image18.emf"/><Relationship Id="rId45" Type="http://schemas.openxmlformats.org/officeDocument/2006/relationships/package" Target="embeddings/Microsoft_PowerPoint_Slide20.sldx"/><Relationship Id="rId53" Type="http://schemas.openxmlformats.org/officeDocument/2006/relationships/package" Target="embeddings/Microsoft_PowerPoint_Slide24.sldx"/><Relationship Id="rId58" Type="http://schemas.openxmlformats.org/officeDocument/2006/relationships/image" Target="media/image27.emf"/><Relationship Id="rId66" Type="http://schemas.openxmlformats.org/officeDocument/2006/relationships/image" Target="media/image31.emf"/><Relationship Id="rId5" Type="http://schemas.openxmlformats.org/officeDocument/2006/relationships/webSettings" Target="webSettings.xml"/><Relationship Id="rId61" Type="http://schemas.openxmlformats.org/officeDocument/2006/relationships/package" Target="embeddings/Microsoft_PowerPoint_Slide28.sldx"/><Relationship Id="rId19" Type="http://schemas.openxmlformats.org/officeDocument/2006/relationships/package" Target="embeddings/Microsoft_PowerPoint_Slide7.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PowerPoint_Slide11.sldx"/><Relationship Id="rId30" Type="http://schemas.openxmlformats.org/officeDocument/2006/relationships/image" Target="media/image13.emf"/><Relationship Id="rId35" Type="http://schemas.openxmlformats.org/officeDocument/2006/relationships/package" Target="embeddings/Microsoft_PowerPoint_Slide15.sldx"/><Relationship Id="rId43" Type="http://schemas.openxmlformats.org/officeDocument/2006/relationships/package" Target="embeddings/Microsoft_PowerPoint_Slide19.sldx"/><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package" Target="embeddings/Microsoft_PowerPoint_Slide23.sldx"/><Relationship Id="rId72" Type="http://schemas.openxmlformats.org/officeDocument/2006/relationships/customXml" Target="../customXml/item3.xml"/><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33" Type="http://schemas.openxmlformats.org/officeDocument/2006/relationships/package" Target="embeddings/Microsoft_PowerPoint_Slide14.sldx"/><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package" Target="embeddings/Microsoft_PowerPoint_Slide27.sldx"/><Relationship Id="rId67" Type="http://schemas.openxmlformats.org/officeDocument/2006/relationships/package" Target="embeddings/Microsoft_PowerPoint_Slide31.sldx"/><Relationship Id="rId20" Type="http://schemas.openxmlformats.org/officeDocument/2006/relationships/image" Target="media/image8.emf"/><Relationship Id="rId41" Type="http://schemas.openxmlformats.org/officeDocument/2006/relationships/package" Target="embeddings/Microsoft_PowerPoint_Slide18.sldx"/><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PowerPoint_Slide22.sldx"/><Relationship Id="rId57" Type="http://schemas.openxmlformats.org/officeDocument/2006/relationships/package" Target="embeddings/Microsoft_PowerPoint_Slide26.sldx"/><Relationship Id="rId10" Type="http://schemas.openxmlformats.org/officeDocument/2006/relationships/image" Target="media/image3.emf"/><Relationship Id="rId31" Type="http://schemas.openxmlformats.org/officeDocument/2006/relationships/package" Target="embeddings/Microsoft_PowerPoint_Slide13.sldx"/><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Microsoft_PowerPoint_Slide30.sldx"/><Relationship Id="rId4" Type="http://schemas.openxmlformats.org/officeDocument/2006/relationships/settings" Target="settings.xml"/><Relationship Id="rId9" Type="http://schemas.openxmlformats.org/officeDocument/2006/relationships/package" Target="embeddings/Microsoft_PowerPoint_Slide2.sldx"/><Relationship Id="rId13" Type="http://schemas.openxmlformats.org/officeDocument/2006/relationships/package" Target="embeddings/Microsoft_PowerPoint_Slide4.sldx"/><Relationship Id="rId18" Type="http://schemas.openxmlformats.org/officeDocument/2006/relationships/image" Target="media/image7.emf"/><Relationship Id="rId39" Type="http://schemas.openxmlformats.org/officeDocument/2006/relationships/package" Target="embeddings/Microsoft_PowerPoint_Slide17.sldx"/><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package" Target="embeddings/Microsoft_PowerPoint_Slide25.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642DAE-BACD-474C-A4F9-C85CF188FBBE}"/>
</file>

<file path=customXml/itemProps2.xml><?xml version="1.0" encoding="utf-8"?>
<ds:datastoreItem xmlns:ds="http://schemas.openxmlformats.org/officeDocument/2006/customXml" ds:itemID="{5C1EB0BE-86D2-49A4-AB62-2E37D84886CB}"/>
</file>

<file path=customXml/itemProps3.xml><?xml version="1.0" encoding="utf-8"?>
<ds:datastoreItem xmlns:ds="http://schemas.openxmlformats.org/officeDocument/2006/customXml" ds:itemID="{502DB73B-55FA-4BB7-B6FC-0319CDBF1BA7}"/>
</file>

<file path=docProps/app.xml><?xml version="1.0" encoding="utf-8"?>
<Properties xmlns="http://schemas.openxmlformats.org/officeDocument/2006/extended-properties" xmlns:vt="http://schemas.openxmlformats.org/officeDocument/2006/docPropsVTypes">
  <Template>870696A9.dotm</Template>
  <TotalTime>16</TotalTime>
  <Pages>31</Pages>
  <Words>3635</Words>
  <Characters>20397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23985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Jacinta Geou</dc:creator>
  <cp:lastModifiedBy>Jacinta Geou</cp:lastModifiedBy>
  <cp:revision>1</cp:revision>
  <dcterms:created xsi:type="dcterms:W3CDTF">2013-05-23T23:17:00Z</dcterms:created>
  <dcterms:modified xsi:type="dcterms:W3CDTF">2013-05-23T23:33:00Z</dcterms:modified>
</cp:coreProperties>
</file>