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9E4" w:rsidRDefault="007A11DE" w:rsidP="007A11DE">
      <w:pPr>
        <w:spacing w:line="360" w:lineRule="auto"/>
      </w:pPr>
      <w:bookmarkStart w:id="0" w:name="_GoBack"/>
      <w:bookmarkEnd w:id="0"/>
      <w:r>
        <w:t>Slide 1</w:t>
      </w:r>
    </w:p>
    <w:p w:rsidR="007A11DE" w:rsidRDefault="007A11DE" w:rsidP="007A11DE">
      <w:pPr>
        <w:spacing w:line="360" w:lineRule="auto"/>
      </w:pPr>
    </w:p>
    <w:p w:rsidR="007A11DE" w:rsidRDefault="007A11DE" w:rsidP="007A11DE">
      <w:pPr>
        <w:spacing w:line="360" w:lineRule="auto"/>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5pt;height:202.1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46376750" r:id="rId7"/>
        </w:object>
      </w:r>
    </w:p>
    <w:p w:rsidR="007A11DE" w:rsidRDefault="007A11DE" w:rsidP="007A11DE">
      <w:pPr>
        <w:spacing w:line="360" w:lineRule="auto"/>
        <w:jc w:val="cente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2</w:t>
      </w:r>
    </w:p>
    <w:p w:rsidR="007A11DE" w:rsidRDefault="007A11DE" w:rsidP="007A11DE">
      <w:pPr>
        <w:spacing w:line="360" w:lineRule="auto"/>
      </w:pPr>
    </w:p>
    <w:p w:rsidR="007A11DE" w:rsidRDefault="007A11DE" w:rsidP="007A11DE">
      <w:pPr>
        <w:spacing w:line="360" w:lineRule="auto"/>
        <w:jc w:val="center"/>
      </w:pPr>
      <w:r>
        <w:object w:dxaOrig="7180" w:dyaOrig="5390">
          <v:shape id="_x0000_i1030" type="#_x0000_t75" style="width:269.5pt;height:202.1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0" DrawAspect="Content" ObjectID="_1446376751" r:id="rId9"/>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Tasmania: Large cities</w:t>
      </w: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i/>
          <w:iCs/>
          <w:kern w:val="24"/>
          <w:sz w:val="24"/>
          <w:szCs w:val="24"/>
        </w:rPr>
        <w:t>Source:</w:t>
      </w:r>
      <w:r>
        <w:rPr>
          <w:rFonts w:ascii="Calibri" w:hAnsi="Times New Roman" w:cs="Calibri"/>
          <w:kern w:val="24"/>
          <w:sz w:val="24"/>
          <w:szCs w:val="24"/>
        </w:rPr>
        <w:t xml:space="preserve"> ABS, </w:t>
      </w:r>
      <w:r>
        <w:rPr>
          <w:rFonts w:ascii="Calibri" w:hAnsi="Times New Roman" w:cs="Calibri"/>
          <w:i/>
          <w:iCs/>
          <w:kern w:val="24"/>
          <w:sz w:val="24"/>
          <w:szCs w:val="24"/>
        </w:rPr>
        <w:t xml:space="preserve">Population Estimates by Age and Sex, Regions of Australia, </w:t>
      </w:r>
      <w:r>
        <w:rPr>
          <w:rFonts w:ascii="Calibri" w:hAnsi="Times New Roman" w:cs="Calibri"/>
          <w:kern w:val="24"/>
          <w:sz w:val="24"/>
          <w:szCs w:val="24"/>
        </w:rPr>
        <w:t xml:space="preserve">2012; ABS, </w:t>
      </w:r>
      <w:r>
        <w:rPr>
          <w:rFonts w:ascii="Calibri" w:hAnsi="Times New Roman" w:cs="Calibri"/>
          <w:i/>
          <w:iCs/>
          <w:kern w:val="24"/>
          <w:sz w:val="24"/>
          <w:szCs w:val="24"/>
        </w:rPr>
        <w:t xml:space="preserve">Census of Population and Housing, </w:t>
      </w:r>
      <w:r>
        <w:rPr>
          <w:rFonts w:ascii="Calibri" w:hAnsi="Times New Roman" w:cs="Calibri"/>
          <w:kern w:val="24"/>
          <w:sz w:val="24"/>
          <w:szCs w:val="24"/>
        </w:rPr>
        <w:t>2011</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Over the five years to 2012, population growth across Tasmania (at 5 per cent) was half the national average (of 10 per cent). The slide also shows that Tasmania has a higher median age than the Australian average.</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3</w:t>
      </w:r>
    </w:p>
    <w:p w:rsidR="007A11DE" w:rsidRDefault="007A11DE" w:rsidP="007A11DE">
      <w:pPr>
        <w:spacing w:line="360" w:lineRule="auto"/>
      </w:pPr>
    </w:p>
    <w:p w:rsidR="007A11DE" w:rsidRDefault="007A11DE" w:rsidP="007A11DE">
      <w:pPr>
        <w:spacing w:line="360" w:lineRule="auto"/>
        <w:jc w:val="center"/>
      </w:pPr>
      <w:r>
        <w:object w:dxaOrig="7180" w:dyaOrig="5390">
          <v:shape id="_x0000_i1035" type="#_x0000_t75" style="width:269.5pt;height:202.1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35" DrawAspect="Content" ObjectID="_1446376752" r:id="rId11"/>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Ageing population</w:t>
      </w:r>
    </w:p>
    <w:p w:rsidR="007A11DE" w:rsidRDefault="007A11DE" w:rsidP="007A11DE">
      <w:pPr>
        <w:autoSpaceDE w:val="0"/>
        <w:autoSpaceDN w:val="0"/>
        <w:adjustRightInd w:val="0"/>
        <w:spacing w:after="0" w:line="240" w:lineRule="auto"/>
        <w:rPr>
          <w:rFonts w:ascii="Calibri" w:hAnsi="Calibri" w:cs="Calibri"/>
          <w:i/>
          <w:iCs/>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ABS, </w:t>
      </w:r>
      <w:r>
        <w:rPr>
          <w:rFonts w:ascii="Calibri" w:hAnsi="Calibri" w:cs="Calibri"/>
          <w:i/>
          <w:iCs/>
          <w:kern w:val="24"/>
          <w:sz w:val="24"/>
          <w:szCs w:val="24"/>
        </w:rPr>
        <w:t xml:space="preserve">Population Estimates by Age and Sex, Regions of Australia, </w:t>
      </w:r>
      <w:r>
        <w:rPr>
          <w:rFonts w:ascii="Calibri" w:hAnsi="Calibri" w:cs="Calibri"/>
          <w:kern w:val="24"/>
          <w:sz w:val="24"/>
          <w:szCs w:val="24"/>
        </w:rPr>
        <w:t>1991-2011</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Like Australia, Tasmania is facing an ageing population. The slide demonstrates that, over time, a larger proportion of the population has become concentrated in older age groups.</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4</w:t>
      </w:r>
    </w:p>
    <w:p w:rsidR="007A11DE" w:rsidRDefault="007A11DE" w:rsidP="007A11DE">
      <w:pPr>
        <w:spacing w:line="360" w:lineRule="auto"/>
      </w:pPr>
    </w:p>
    <w:p w:rsidR="007A11DE" w:rsidRDefault="007A11DE" w:rsidP="007A11DE">
      <w:pPr>
        <w:spacing w:line="360" w:lineRule="auto"/>
        <w:jc w:val="center"/>
      </w:pPr>
      <w:r>
        <w:object w:dxaOrig="7180" w:dyaOrig="5390">
          <v:shape id="_x0000_i1040" type="#_x0000_t75" style="width:269.5pt;height:202.1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0" DrawAspect="Content" ObjectID="_1446376753" r:id="rId13"/>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i/>
          <w:iCs/>
          <w:kern w:val="24"/>
          <w:sz w:val="24"/>
          <w:szCs w:val="24"/>
        </w:rPr>
      </w:pPr>
      <w:r>
        <w:rPr>
          <w:rFonts w:ascii="Calibri" w:hAnsi="Calibri" w:cs="Calibri"/>
          <w:b/>
          <w:bCs/>
          <w:kern w:val="24"/>
          <w:sz w:val="24"/>
          <w:szCs w:val="24"/>
          <w:u w:val="single"/>
        </w:rPr>
        <w:t>Employment growth has stalled since GFC</w:t>
      </w:r>
      <w:r>
        <w:rPr>
          <w:rFonts w:ascii="Calibri" w:hAnsi="Calibri" w:cs="Calibri"/>
          <w:b/>
          <w:bCs/>
          <w:kern w:val="24"/>
          <w:sz w:val="24"/>
          <w:szCs w:val="24"/>
          <w:u w:val="single"/>
        </w:rPr>
        <w:br/>
      </w:r>
      <w:r>
        <w:rPr>
          <w:rFonts w:ascii="Calibri" w:hAnsi="Calibri" w:cs="Calibri"/>
          <w:i/>
          <w:iCs/>
          <w:kern w:val="24"/>
          <w:sz w:val="24"/>
          <w:szCs w:val="24"/>
        </w:rPr>
        <w:t xml:space="preserve">Source: </w:t>
      </w:r>
      <w:r>
        <w:rPr>
          <w:rFonts w:ascii="Calibri" w:hAnsi="Calibri" w:cs="Calibri"/>
          <w:kern w:val="24"/>
          <w:sz w:val="24"/>
          <w:szCs w:val="24"/>
        </w:rPr>
        <w:t xml:space="preserve">ABS, </w:t>
      </w:r>
      <w:r>
        <w:rPr>
          <w:rFonts w:ascii="Calibri" w:hAnsi="Calibri" w:cs="Calibri"/>
          <w:i/>
          <w:iCs/>
          <w:kern w:val="24"/>
          <w:sz w:val="24"/>
          <w:szCs w:val="24"/>
        </w:rPr>
        <w:t xml:space="preserve">Labour Force, Australia, </w:t>
      </w:r>
      <w:r>
        <w:rPr>
          <w:rFonts w:ascii="Calibri" w:hAnsi="Calibri" w:cs="Calibri"/>
          <w:kern w:val="24"/>
          <w:sz w:val="24"/>
          <w:szCs w:val="24"/>
        </w:rPr>
        <w:t xml:space="preserve">September 2013 (cat. no. 6202.0), </w:t>
      </w:r>
      <w:r>
        <w:rPr>
          <w:rFonts w:ascii="Calibri" w:hAnsi="Calibri" w:cs="Calibri"/>
          <w:i/>
          <w:iCs/>
          <w:kern w:val="24"/>
          <w:sz w:val="24"/>
          <w:szCs w:val="24"/>
        </w:rPr>
        <w:t>trend data</w:t>
      </w:r>
    </w:p>
    <w:p w:rsidR="007A11DE" w:rsidRDefault="007A11DE" w:rsidP="007A11DE">
      <w:pPr>
        <w:autoSpaceDE w:val="0"/>
        <w:autoSpaceDN w:val="0"/>
        <w:adjustRightInd w:val="0"/>
        <w:spacing w:after="0" w:line="240" w:lineRule="auto"/>
        <w:rPr>
          <w:rFonts w:ascii="Calibri" w:hAnsi="Calibri" w:cs="Calibri"/>
          <w:b/>
          <w:bCs/>
          <w:i/>
          <w:iCs/>
          <w:kern w:val="24"/>
          <w:sz w:val="24"/>
          <w:szCs w:val="24"/>
          <w:u w:val="single"/>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Employment growth in Tasmania has stalled since the onset of the GFC in September 2008. Over the last five years, employment has fallen by 5 per cent.</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5</w:t>
      </w:r>
    </w:p>
    <w:p w:rsidR="007A11DE" w:rsidRDefault="007A11DE" w:rsidP="007A11DE">
      <w:pPr>
        <w:spacing w:line="360" w:lineRule="auto"/>
      </w:pPr>
    </w:p>
    <w:p w:rsidR="007A11DE" w:rsidRDefault="007A11DE" w:rsidP="007A11DE">
      <w:pPr>
        <w:spacing w:line="360" w:lineRule="auto"/>
        <w:jc w:val="center"/>
      </w:pPr>
      <w:r>
        <w:object w:dxaOrig="7180" w:dyaOrig="5390">
          <v:shape id="_x0000_i1045" type="#_x0000_t75" style="width:269.5pt;height:202.1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45" DrawAspect="Content" ObjectID="_1446376754" r:id="rId15"/>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Full-time employment declining post-GFC</w:t>
      </w:r>
    </w:p>
    <w:p w:rsidR="007A11DE" w:rsidRDefault="007A11DE" w:rsidP="007A11DE">
      <w:pPr>
        <w:autoSpaceDE w:val="0"/>
        <w:autoSpaceDN w:val="0"/>
        <w:adjustRightInd w:val="0"/>
        <w:spacing w:after="0" w:line="240" w:lineRule="auto"/>
        <w:rPr>
          <w:rFonts w:ascii="Calibri" w:hAnsi="Times New Roman" w:cs="Calibri"/>
          <w:kern w:val="24"/>
          <w:sz w:val="24"/>
          <w:szCs w:val="24"/>
        </w:rPr>
      </w:pPr>
      <w:r>
        <w:rPr>
          <w:rFonts w:ascii="Calibri" w:hAnsi="Times New Roman" w:cs="Calibri"/>
          <w:i/>
          <w:iCs/>
          <w:kern w:val="24"/>
          <w:sz w:val="24"/>
          <w:szCs w:val="24"/>
        </w:rPr>
        <w:t>Source:</w:t>
      </w:r>
      <w:r>
        <w:rPr>
          <w:rFonts w:ascii="Calibri" w:hAnsi="Times New Roman" w:cs="Calibri"/>
          <w:kern w:val="24"/>
          <w:sz w:val="24"/>
          <w:szCs w:val="24"/>
        </w:rPr>
        <w:t xml:space="preserve"> ABS, </w:t>
      </w:r>
      <w:r>
        <w:rPr>
          <w:rFonts w:ascii="Calibri" w:hAnsi="Times New Roman" w:cs="Calibri"/>
          <w:i/>
          <w:iCs/>
          <w:kern w:val="24"/>
          <w:sz w:val="24"/>
          <w:szCs w:val="24"/>
        </w:rPr>
        <w:t xml:space="preserve">Labour Force, Australia, </w:t>
      </w:r>
      <w:r>
        <w:rPr>
          <w:rFonts w:ascii="Calibri" w:hAnsi="Times New Roman" w:cs="Calibri"/>
          <w:kern w:val="24"/>
          <w:sz w:val="24"/>
          <w:szCs w:val="24"/>
        </w:rPr>
        <w:t xml:space="preserve">September 2013 (cat. no. 6202.0), three-month averages of </w:t>
      </w:r>
      <w:r>
        <w:rPr>
          <w:rFonts w:ascii="Calibri" w:hAnsi="Times New Roman" w:cs="Calibri"/>
          <w:i/>
          <w:iCs/>
          <w:kern w:val="24"/>
          <w:sz w:val="24"/>
          <w:szCs w:val="24"/>
        </w:rPr>
        <w:t xml:space="preserve">original </w:t>
      </w:r>
      <w:r>
        <w:rPr>
          <w:rFonts w:ascii="Calibri" w:hAnsi="Times New Roman" w:cs="Calibri"/>
          <w:kern w:val="24"/>
          <w:sz w:val="24"/>
          <w:szCs w:val="24"/>
        </w:rPr>
        <w:t>data</w:t>
      </w: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kern w:val="24"/>
          <w:sz w:val="24"/>
          <w:szCs w:val="24"/>
        </w:rPr>
        <w:t>Full-time employment has fallen since the onset of the GFC. In the five years leading up to the GFC, full-time employment increased by 22,000 in Tasmania. Since then, however, full-time employment has fallen by 22,700.</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6</w:t>
      </w:r>
    </w:p>
    <w:p w:rsidR="007A11DE" w:rsidRDefault="007A11DE" w:rsidP="007A11DE">
      <w:pPr>
        <w:spacing w:line="360" w:lineRule="auto"/>
      </w:pPr>
    </w:p>
    <w:p w:rsidR="007A11DE" w:rsidRDefault="007A11DE" w:rsidP="007A11DE">
      <w:pPr>
        <w:spacing w:line="360" w:lineRule="auto"/>
        <w:jc w:val="center"/>
      </w:pPr>
      <w:r>
        <w:object w:dxaOrig="7180" w:dyaOrig="5390">
          <v:shape id="_x0000_i1050" type="#_x0000_t75" style="width:269.5pt;height:202.1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0" DrawAspect="Content" ObjectID="_1446376755" r:id="rId17"/>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Unemployment trending upwards post-GFC</w:t>
      </w:r>
    </w:p>
    <w:p w:rsidR="007A11DE" w:rsidRDefault="007A11DE" w:rsidP="007A11DE">
      <w:pPr>
        <w:autoSpaceDE w:val="0"/>
        <w:autoSpaceDN w:val="0"/>
        <w:adjustRightInd w:val="0"/>
        <w:spacing w:after="0" w:line="240" w:lineRule="auto"/>
        <w:rPr>
          <w:rFonts w:ascii="Calibri" w:hAnsi="Calibri" w:cs="Calibri"/>
          <w:i/>
          <w:iCs/>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ABS, </w:t>
      </w:r>
      <w:r>
        <w:rPr>
          <w:rFonts w:ascii="Calibri" w:hAnsi="Calibri" w:cs="Calibri"/>
          <w:i/>
          <w:iCs/>
          <w:kern w:val="24"/>
          <w:sz w:val="24"/>
          <w:szCs w:val="24"/>
        </w:rPr>
        <w:t xml:space="preserve">Labour Force, Australia, </w:t>
      </w:r>
      <w:r>
        <w:rPr>
          <w:rFonts w:ascii="Calibri" w:hAnsi="Calibri" w:cs="Calibri"/>
          <w:kern w:val="24"/>
          <w:sz w:val="24"/>
          <w:szCs w:val="24"/>
        </w:rPr>
        <w:t xml:space="preserve">September 2013 (cat. no. 6202.0), </w:t>
      </w:r>
      <w:r>
        <w:rPr>
          <w:rFonts w:ascii="Calibri" w:hAnsi="Calibri" w:cs="Calibri"/>
          <w:i/>
          <w:iCs/>
          <w:kern w:val="24"/>
          <w:sz w:val="24"/>
          <w:szCs w:val="24"/>
        </w:rPr>
        <w:t>trend data</w:t>
      </w:r>
    </w:p>
    <w:p w:rsidR="007A11DE" w:rsidRDefault="007A11DE" w:rsidP="007A11DE">
      <w:pPr>
        <w:autoSpaceDE w:val="0"/>
        <w:autoSpaceDN w:val="0"/>
        <w:adjustRightInd w:val="0"/>
        <w:spacing w:after="0" w:line="240" w:lineRule="auto"/>
        <w:rPr>
          <w:rFonts w:ascii="Calibri" w:hAnsi="Calibri" w:cs="Calibri"/>
          <w:i/>
          <w:iCs/>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unemployment rate in Tasmania has trended upwards since the onset of the GFC in September 2008. In trend terms, the unemployment rate is up by 4.3 percentage points over this time.</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7</w:t>
      </w:r>
    </w:p>
    <w:p w:rsidR="007A11DE" w:rsidRDefault="007A11DE" w:rsidP="007A11DE">
      <w:pPr>
        <w:spacing w:line="360" w:lineRule="auto"/>
      </w:pPr>
    </w:p>
    <w:p w:rsidR="007A11DE" w:rsidRDefault="007A11DE" w:rsidP="007A11DE">
      <w:pPr>
        <w:spacing w:line="360" w:lineRule="auto"/>
        <w:jc w:val="center"/>
      </w:pPr>
      <w:r>
        <w:object w:dxaOrig="7180" w:dyaOrig="5390">
          <v:shape id="_x0000_i1055" type="#_x0000_t75" style="width:269.5pt;height:202.1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55" DrawAspect="Content" ObjectID="_1446376756" r:id="rId19"/>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Unemployment rates in large cities</w:t>
      </w: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i/>
          <w:iCs/>
          <w:kern w:val="24"/>
          <w:sz w:val="24"/>
          <w:szCs w:val="24"/>
        </w:rPr>
        <w:t>Source:</w:t>
      </w:r>
      <w:r>
        <w:rPr>
          <w:rFonts w:ascii="Calibri" w:hAnsi="Times New Roman" w:cs="Calibri"/>
          <w:kern w:val="24"/>
          <w:sz w:val="24"/>
          <w:szCs w:val="24"/>
        </w:rPr>
        <w:t xml:space="preserve"> Department of Employment, </w:t>
      </w:r>
      <w:r>
        <w:rPr>
          <w:rFonts w:ascii="Calibri" w:hAnsi="Times New Roman" w:cs="Calibri"/>
          <w:i/>
          <w:iCs/>
          <w:kern w:val="24"/>
          <w:sz w:val="24"/>
          <w:szCs w:val="24"/>
        </w:rPr>
        <w:t xml:space="preserve">Small Area Labour Markets, </w:t>
      </w:r>
      <w:r>
        <w:rPr>
          <w:rFonts w:ascii="Calibri" w:hAnsi="Times New Roman" w:cs="Calibri"/>
          <w:kern w:val="24"/>
          <w:sz w:val="24"/>
          <w:szCs w:val="24"/>
        </w:rPr>
        <w:t xml:space="preserve">June 2013; *ABS, </w:t>
      </w:r>
      <w:r>
        <w:rPr>
          <w:rFonts w:ascii="Calibri" w:hAnsi="Times New Roman" w:cs="Calibri"/>
          <w:i/>
          <w:iCs/>
          <w:kern w:val="24"/>
          <w:sz w:val="24"/>
          <w:szCs w:val="24"/>
        </w:rPr>
        <w:t xml:space="preserve">Labour Force, Australia, </w:t>
      </w:r>
      <w:r>
        <w:rPr>
          <w:rFonts w:ascii="Calibri" w:hAnsi="Times New Roman" w:cs="Calibri"/>
          <w:kern w:val="24"/>
          <w:sz w:val="24"/>
          <w:szCs w:val="24"/>
        </w:rPr>
        <w:t xml:space="preserve">September 2013 (cat. no. 6202.0), </w:t>
      </w:r>
      <w:r>
        <w:rPr>
          <w:rFonts w:ascii="Calibri" w:hAnsi="Times New Roman" w:cs="Calibri"/>
          <w:i/>
          <w:iCs/>
          <w:kern w:val="24"/>
          <w:sz w:val="24"/>
          <w:szCs w:val="24"/>
        </w:rPr>
        <w:t>seasonally adjusted</w:t>
      </w: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p>
    <w:p w:rsidR="007A11DE" w:rsidRDefault="007A11DE" w:rsidP="007A11DE">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The rising unemployment rate in Tasmania is also reflected in its larger cities. The unemployment rate in each of the four cities on the slide has increased over the year.</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8</w:t>
      </w:r>
    </w:p>
    <w:p w:rsidR="007A11DE" w:rsidRDefault="007A11DE" w:rsidP="007A11DE">
      <w:pPr>
        <w:spacing w:line="360" w:lineRule="auto"/>
      </w:pPr>
    </w:p>
    <w:p w:rsidR="007A11DE" w:rsidRDefault="007A11DE" w:rsidP="007A11DE">
      <w:pPr>
        <w:spacing w:line="360" w:lineRule="auto"/>
        <w:jc w:val="center"/>
      </w:pPr>
      <w:r>
        <w:object w:dxaOrig="7180" w:dyaOrig="5390">
          <v:shape id="_x0000_i1060" type="#_x0000_t75" style="width:269.5pt;height:202.1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0" DrawAspect="Content" ObjectID="_1446376757" r:id="rId21"/>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r>
        <w:rPr>
          <w:rFonts w:ascii="Calibri" w:hAnsi="Calibri" w:cs="Calibri"/>
          <w:b/>
          <w:bCs/>
          <w:kern w:val="24"/>
          <w:sz w:val="24"/>
          <w:szCs w:val="24"/>
          <w:u w:val="single"/>
        </w:rPr>
        <w:t>Many out of work for a long time</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Department of Employment, </w:t>
      </w:r>
      <w:r>
        <w:rPr>
          <w:rFonts w:ascii="Calibri" w:hAnsi="Calibri" w:cs="Calibri"/>
          <w:i/>
          <w:iCs/>
          <w:kern w:val="24"/>
          <w:sz w:val="24"/>
          <w:szCs w:val="24"/>
        </w:rPr>
        <w:t xml:space="preserve">Administrative Data, </w:t>
      </w:r>
      <w:r>
        <w:rPr>
          <w:rFonts w:ascii="Calibri" w:hAnsi="Calibri" w:cs="Calibri"/>
          <w:kern w:val="24"/>
          <w:sz w:val="24"/>
          <w:szCs w:val="24"/>
        </w:rPr>
        <w:t>September quarter 2012 and 2013</w:t>
      </w:r>
    </w:p>
    <w:p w:rsidR="007A11DE" w:rsidRDefault="007A11DE" w:rsidP="007A11DE">
      <w:pPr>
        <w:autoSpaceDE w:val="0"/>
        <w:autoSpaceDN w:val="0"/>
        <w:adjustRightInd w:val="0"/>
        <w:spacing w:after="0" w:line="240" w:lineRule="auto"/>
        <w:rPr>
          <w:rFonts w:ascii="Calibri" w:hAnsi="Calibri" w:cs="Calibri"/>
          <w:i/>
          <w:iCs/>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Compared with a year ago, there </w:t>
      </w:r>
      <w:proofErr w:type="gramStart"/>
      <w:r>
        <w:rPr>
          <w:rFonts w:ascii="Calibri" w:hAnsi="Calibri" w:cs="Calibri"/>
          <w:kern w:val="24"/>
          <w:sz w:val="24"/>
          <w:szCs w:val="24"/>
        </w:rPr>
        <w:t>is</w:t>
      </w:r>
      <w:proofErr w:type="gramEnd"/>
      <w:r>
        <w:rPr>
          <w:rFonts w:ascii="Calibri" w:hAnsi="Calibri" w:cs="Calibri"/>
          <w:kern w:val="24"/>
          <w:sz w:val="24"/>
          <w:szCs w:val="24"/>
        </w:rPr>
        <w:t xml:space="preserve"> a larger proportion of </w:t>
      </w:r>
      <w:proofErr w:type="spellStart"/>
      <w:r>
        <w:rPr>
          <w:rFonts w:ascii="Calibri" w:hAnsi="Calibri" w:cs="Calibri"/>
          <w:kern w:val="24"/>
          <w:sz w:val="24"/>
          <w:szCs w:val="24"/>
        </w:rPr>
        <w:t>Newstart</w:t>
      </w:r>
      <w:proofErr w:type="spellEnd"/>
      <w:r>
        <w:rPr>
          <w:rFonts w:ascii="Calibri" w:hAnsi="Calibri" w:cs="Calibri"/>
          <w:kern w:val="24"/>
          <w:sz w:val="24"/>
          <w:szCs w:val="24"/>
        </w:rPr>
        <w:t xml:space="preserve"> recipients who have been registered with </w:t>
      </w:r>
      <w:proofErr w:type="spellStart"/>
      <w:r>
        <w:rPr>
          <w:rFonts w:ascii="Calibri" w:hAnsi="Calibri" w:cs="Calibri"/>
          <w:kern w:val="24"/>
          <w:sz w:val="24"/>
          <w:szCs w:val="24"/>
        </w:rPr>
        <w:t>JSAs</w:t>
      </w:r>
      <w:proofErr w:type="spellEnd"/>
      <w:r>
        <w:rPr>
          <w:rFonts w:ascii="Calibri" w:hAnsi="Calibri" w:cs="Calibri"/>
          <w:kern w:val="24"/>
          <w:sz w:val="24"/>
          <w:szCs w:val="24"/>
        </w:rPr>
        <w:t xml:space="preserve"> for 12 months or more.</w:t>
      </w:r>
    </w:p>
    <w:p w:rsidR="007A11DE" w:rsidRDefault="007A11DE" w:rsidP="007A11DE">
      <w:pPr>
        <w:autoSpaceDE w:val="0"/>
        <w:autoSpaceDN w:val="0"/>
        <w:adjustRightInd w:val="0"/>
        <w:spacing w:after="0" w:line="240" w:lineRule="auto"/>
        <w:rPr>
          <w:rFonts w:ascii="Calibri" w:hAnsi="Calibri" w:cs="Calibri"/>
          <w:i/>
          <w:iCs/>
          <w:kern w:val="24"/>
          <w:sz w:val="24"/>
          <w:szCs w:val="24"/>
        </w:rPr>
      </w:pP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9</w:t>
      </w:r>
    </w:p>
    <w:p w:rsidR="007A11DE" w:rsidRDefault="007A11DE" w:rsidP="007A11DE">
      <w:pPr>
        <w:spacing w:line="360" w:lineRule="auto"/>
      </w:pPr>
    </w:p>
    <w:p w:rsidR="007A11DE" w:rsidRDefault="007A11DE" w:rsidP="007A11DE">
      <w:pPr>
        <w:spacing w:line="360" w:lineRule="auto"/>
        <w:jc w:val="center"/>
      </w:pPr>
      <w:r>
        <w:object w:dxaOrig="7180" w:dyaOrig="5390">
          <v:shape id="_x0000_i1065" type="#_x0000_t75" style="width:269.5pt;height:202.1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65" DrawAspect="Content" ObjectID="_1446376758" r:id="rId23"/>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Recruitment activity by region</w:t>
      </w: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Department of Employment, </w:t>
      </w:r>
      <w:r>
        <w:rPr>
          <w:rFonts w:ascii="Calibri" w:hAnsi="Calibri" w:cs="Calibri"/>
          <w:i/>
          <w:iCs/>
          <w:kern w:val="24"/>
          <w:sz w:val="24"/>
          <w:szCs w:val="24"/>
        </w:rPr>
        <w:t xml:space="preserve">Survey of Employers’ Recruitment Experiences, </w:t>
      </w:r>
      <w:r>
        <w:rPr>
          <w:rFonts w:ascii="Calibri" w:hAnsi="Calibri" w:cs="Calibri"/>
          <w:kern w:val="24"/>
          <w:sz w:val="24"/>
          <w:szCs w:val="24"/>
        </w:rPr>
        <w:t xml:space="preserve">March 2013; </w:t>
      </w:r>
      <w:r>
        <w:rPr>
          <w:rFonts w:ascii="Calibri" w:hAnsi="Times New Roman" w:cs="Calibri"/>
          <w:color w:val="000000"/>
          <w:kern w:val="24"/>
          <w:sz w:val="24"/>
          <w:szCs w:val="24"/>
        </w:rPr>
        <w:t xml:space="preserve">ABS, </w:t>
      </w:r>
      <w:r>
        <w:rPr>
          <w:rFonts w:ascii="Calibri" w:hAnsi="Times New Roman" w:cs="Calibri"/>
          <w:i/>
          <w:iCs/>
          <w:color w:val="000000"/>
          <w:kern w:val="24"/>
          <w:sz w:val="24"/>
          <w:szCs w:val="24"/>
        </w:rPr>
        <w:t xml:space="preserve">Labour Force, Australia, </w:t>
      </w:r>
      <w:r>
        <w:rPr>
          <w:rFonts w:ascii="Calibri" w:hAnsi="Times New Roman" w:cs="Calibri"/>
          <w:color w:val="000000"/>
          <w:kern w:val="24"/>
          <w:sz w:val="24"/>
          <w:szCs w:val="24"/>
        </w:rPr>
        <w:t>September 2013 (Cat. no. 6202.0), 12-month averages of original data</w:t>
      </w: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The map shows the level of recruitment activity (measured by vacancies per 100 staff annually) by region. Recruitment activity was low in Greater Hobart and much of the north of Tasmania.</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10</w:t>
      </w:r>
    </w:p>
    <w:p w:rsidR="007A11DE" w:rsidRDefault="007A11DE" w:rsidP="007A11DE">
      <w:pPr>
        <w:spacing w:line="360" w:lineRule="auto"/>
      </w:pPr>
    </w:p>
    <w:p w:rsidR="007A11DE" w:rsidRDefault="007A11DE" w:rsidP="007A11DE">
      <w:pPr>
        <w:spacing w:line="360" w:lineRule="auto"/>
        <w:jc w:val="center"/>
      </w:pPr>
      <w:r>
        <w:object w:dxaOrig="7180" w:dyaOrig="5390">
          <v:shape id="_x0000_i1070" type="#_x0000_t75" style="width:269.5pt;height:202.1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0" DrawAspect="Content" ObjectID="_1446376759" r:id="rId25"/>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Labour market disengagement</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ABS, </w:t>
      </w:r>
      <w:r>
        <w:rPr>
          <w:rFonts w:ascii="Calibri" w:hAnsi="Calibri" w:cs="Calibri"/>
          <w:i/>
          <w:iCs/>
          <w:kern w:val="24"/>
          <w:sz w:val="24"/>
          <w:szCs w:val="24"/>
        </w:rPr>
        <w:t xml:space="preserve">Census of Population and Housing, </w:t>
      </w:r>
      <w:r>
        <w:rPr>
          <w:rFonts w:ascii="Calibri" w:hAnsi="Calibri" w:cs="Calibri"/>
          <w:kern w:val="24"/>
          <w:sz w:val="24"/>
          <w:szCs w:val="24"/>
        </w:rPr>
        <w:t>2011</w:t>
      </w:r>
    </w:p>
    <w:p w:rsidR="007A11DE" w:rsidRDefault="007A11DE" w:rsidP="007A11DE">
      <w:pPr>
        <w:autoSpaceDE w:val="0"/>
        <w:autoSpaceDN w:val="0"/>
        <w:adjustRightInd w:val="0"/>
        <w:spacing w:after="0" w:line="240" w:lineRule="auto"/>
        <w:rPr>
          <w:rFonts w:ascii="Calibri" w:hAnsi="Calibri" w:cs="Calibri"/>
          <w:i/>
          <w:iCs/>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At the time of the 2011 Census, the proportion of 20-24 year olds who were disengaged (neither working nor studying) was higher in Tasmania than the national average.</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11</w:t>
      </w:r>
    </w:p>
    <w:p w:rsidR="007A11DE" w:rsidRDefault="007A11DE" w:rsidP="007A11DE">
      <w:pPr>
        <w:spacing w:line="360" w:lineRule="auto"/>
      </w:pPr>
    </w:p>
    <w:p w:rsidR="007A11DE" w:rsidRDefault="007A11DE" w:rsidP="007A11DE">
      <w:pPr>
        <w:spacing w:line="360" w:lineRule="auto"/>
        <w:jc w:val="center"/>
      </w:pPr>
      <w:r>
        <w:object w:dxaOrig="7180" w:dyaOrig="5390">
          <v:shape id="_x0000_i1075" type="#_x0000_t75" style="width:269.5pt;height:202.1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75" DrawAspect="Content" ObjectID="_1446376760" r:id="rId27"/>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Educational attainment in large cities</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ABS, </w:t>
      </w:r>
      <w:r>
        <w:rPr>
          <w:rFonts w:ascii="Calibri" w:hAnsi="Calibri" w:cs="Calibri"/>
          <w:i/>
          <w:iCs/>
          <w:kern w:val="24"/>
          <w:sz w:val="24"/>
          <w:szCs w:val="24"/>
        </w:rPr>
        <w:t xml:space="preserve">Census of Population and Housing, </w:t>
      </w:r>
      <w:r>
        <w:rPr>
          <w:rFonts w:ascii="Calibri" w:hAnsi="Calibri" w:cs="Calibri"/>
          <w:kern w:val="24"/>
          <w:sz w:val="24"/>
          <w:szCs w:val="24"/>
        </w:rPr>
        <w:t>2006, 2011</w:t>
      </w:r>
    </w:p>
    <w:p w:rsidR="007A11DE" w:rsidRDefault="007A11DE" w:rsidP="007A11DE">
      <w:pPr>
        <w:autoSpaceDE w:val="0"/>
        <w:autoSpaceDN w:val="0"/>
        <w:adjustRightInd w:val="0"/>
        <w:spacing w:after="0" w:line="240" w:lineRule="auto"/>
        <w:rPr>
          <w:rFonts w:ascii="Calibri" w:hAnsi="Calibri" w:cs="Calibri"/>
          <w:i/>
          <w:iCs/>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Among 25-34 year olds, attainment of Year 12 or equivalent or Bachelor Degree or higher qualifications is lower in Tasmania than in Australia overall, but is on the increase. However, 32 per cent of those aged 25-34 held an Advanced Diploma/Diploma or Certificate III/IV, which was slightly above the national average (of 30 per cent).</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12</w:t>
      </w:r>
    </w:p>
    <w:p w:rsidR="007A11DE" w:rsidRDefault="007A11DE" w:rsidP="007A11DE">
      <w:pPr>
        <w:spacing w:line="360" w:lineRule="auto"/>
      </w:pPr>
    </w:p>
    <w:p w:rsidR="007A11DE" w:rsidRDefault="007A11DE" w:rsidP="007A11DE">
      <w:pPr>
        <w:spacing w:line="360" w:lineRule="auto"/>
        <w:jc w:val="center"/>
      </w:pPr>
      <w:r>
        <w:object w:dxaOrig="7180" w:dyaOrig="5390">
          <v:shape id="_x0000_i1080" type="#_x0000_t75" style="width:269.5pt;height:202.1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0" DrawAspect="Content" ObjectID="_1446376761" r:id="rId29"/>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Educational attainment and labour market outcomes</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ABS, </w:t>
      </w:r>
      <w:r>
        <w:rPr>
          <w:rFonts w:ascii="Calibri" w:hAnsi="Calibri" w:cs="Calibri"/>
          <w:i/>
          <w:iCs/>
          <w:kern w:val="24"/>
          <w:sz w:val="24"/>
          <w:szCs w:val="24"/>
        </w:rPr>
        <w:t xml:space="preserve">Census of Population and Housing, </w:t>
      </w:r>
      <w:r>
        <w:rPr>
          <w:rFonts w:ascii="Calibri" w:hAnsi="Calibri" w:cs="Calibri"/>
          <w:kern w:val="24"/>
          <w:sz w:val="24"/>
          <w:szCs w:val="24"/>
        </w:rPr>
        <w:t>2011</w:t>
      </w:r>
    </w:p>
    <w:p w:rsidR="007A11DE" w:rsidRDefault="007A11DE" w:rsidP="007A11DE">
      <w:pPr>
        <w:autoSpaceDE w:val="0"/>
        <w:autoSpaceDN w:val="0"/>
        <w:adjustRightInd w:val="0"/>
        <w:spacing w:after="0" w:line="240" w:lineRule="auto"/>
        <w:rPr>
          <w:rFonts w:ascii="Calibri" w:hAnsi="Calibri" w:cs="Calibri"/>
          <w:i/>
          <w:iCs/>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slide demonstrates the strong positive relationship between educational attainment and employment outcomes. Those with higher levels of education are more likely to participate in the workforce and less likely to be unemployed.</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13</w:t>
      </w:r>
    </w:p>
    <w:p w:rsidR="007A11DE" w:rsidRDefault="007A11DE" w:rsidP="007A11DE">
      <w:pPr>
        <w:spacing w:line="360" w:lineRule="auto"/>
      </w:pPr>
    </w:p>
    <w:p w:rsidR="007A11DE" w:rsidRDefault="007A11DE" w:rsidP="007A11DE">
      <w:pPr>
        <w:spacing w:line="360" w:lineRule="auto"/>
        <w:jc w:val="center"/>
      </w:pPr>
      <w:r>
        <w:object w:dxaOrig="7180" w:dyaOrig="5390">
          <v:shape id="_x0000_i1085" type="#_x0000_t75" style="width:269.5pt;height:202.1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85" DrawAspect="Content" ObjectID="_1446376762" r:id="rId31"/>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Employment by industry - Tasmania</w:t>
      </w: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i/>
          <w:iCs/>
          <w:kern w:val="24"/>
          <w:sz w:val="24"/>
          <w:szCs w:val="24"/>
        </w:rPr>
        <w:t>Source:</w:t>
      </w:r>
      <w:r>
        <w:rPr>
          <w:rFonts w:ascii="Calibri" w:hAnsi="Times New Roman" w:cs="Calibri"/>
          <w:kern w:val="24"/>
          <w:sz w:val="24"/>
          <w:szCs w:val="24"/>
        </w:rPr>
        <w:t xml:space="preserve"> ABS, </w:t>
      </w:r>
      <w:r>
        <w:rPr>
          <w:rFonts w:ascii="Calibri" w:hAnsi="Times New Roman" w:cs="Calibri"/>
          <w:i/>
          <w:iCs/>
          <w:kern w:val="24"/>
          <w:sz w:val="24"/>
          <w:szCs w:val="24"/>
        </w:rPr>
        <w:t xml:space="preserve">Labour Force, Australia, Detailed, Quarterly, </w:t>
      </w:r>
      <w:r>
        <w:rPr>
          <w:rFonts w:ascii="Calibri" w:hAnsi="Times New Roman" w:cs="Calibri"/>
          <w:kern w:val="24"/>
          <w:sz w:val="24"/>
          <w:szCs w:val="24"/>
        </w:rPr>
        <w:t xml:space="preserve">August 2013 </w:t>
      </w:r>
      <w:r>
        <w:rPr>
          <w:rFonts w:ascii="Calibri" w:hAnsi="Times New Roman" w:cs="Calibri"/>
          <w:i/>
          <w:iCs/>
          <w:kern w:val="24"/>
          <w:sz w:val="24"/>
          <w:szCs w:val="24"/>
        </w:rPr>
        <w:t xml:space="preserve">(cat. no. 6291.0.55.003), </w:t>
      </w:r>
      <w:r>
        <w:rPr>
          <w:rFonts w:ascii="Calibri" w:hAnsi="Times New Roman" w:cs="Calibri"/>
          <w:kern w:val="24"/>
          <w:sz w:val="24"/>
          <w:szCs w:val="24"/>
        </w:rPr>
        <w:t xml:space="preserve">four-quarter averages of </w:t>
      </w:r>
      <w:r>
        <w:rPr>
          <w:rFonts w:ascii="Calibri" w:hAnsi="Times New Roman" w:cs="Calibri"/>
          <w:i/>
          <w:iCs/>
          <w:kern w:val="24"/>
          <w:sz w:val="24"/>
          <w:szCs w:val="24"/>
        </w:rPr>
        <w:t>original</w:t>
      </w:r>
      <w:r>
        <w:rPr>
          <w:rFonts w:ascii="Calibri" w:hAnsi="Times New Roman" w:cs="Calibri"/>
          <w:kern w:val="24"/>
          <w:sz w:val="24"/>
          <w:szCs w:val="24"/>
        </w:rPr>
        <w:t xml:space="preserve"> data</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Health Care and Social Assistance industry is the largest employing industry in Australia and is particularly important in Tasmania, accounting for 13.6 per cent of total employment. Retail Trade, Education and Training and Manufacturing are also large employers in Tasmania.</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14</w:t>
      </w:r>
    </w:p>
    <w:p w:rsidR="007A11DE" w:rsidRDefault="007A11DE" w:rsidP="007A11DE">
      <w:pPr>
        <w:spacing w:line="360" w:lineRule="auto"/>
      </w:pPr>
    </w:p>
    <w:p w:rsidR="007A11DE" w:rsidRDefault="007A11DE" w:rsidP="007A11DE">
      <w:pPr>
        <w:spacing w:line="360" w:lineRule="auto"/>
        <w:jc w:val="center"/>
      </w:pPr>
      <w:r>
        <w:object w:dxaOrig="7180" w:dyaOrig="5390">
          <v:shape id="_x0000_i1090" type="#_x0000_t75" style="width:269.5pt;height:202.1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0" DrawAspect="Content" ObjectID="_1446376763" r:id="rId33"/>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Structural change in the Tasmanian labour market</w:t>
      </w:r>
    </w:p>
    <w:p w:rsidR="007A11DE" w:rsidRDefault="007A11DE" w:rsidP="007A11DE">
      <w:pPr>
        <w:autoSpaceDE w:val="0"/>
        <w:autoSpaceDN w:val="0"/>
        <w:adjustRightInd w:val="0"/>
        <w:spacing w:after="0" w:line="240" w:lineRule="auto"/>
        <w:rPr>
          <w:rFonts w:ascii="Calibri" w:hAnsi="Times New Roman" w:cs="Calibri"/>
          <w:i/>
          <w:iCs/>
          <w:color w:val="000000"/>
          <w:kern w:val="24"/>
          <w:sz w:val="24"/>
          <w:szCs w:val="24"/>
        </w:rPr>
      </w:pPr>
      <w:r>
        <w:rPr>
          <w:rFonts w:ascii="Calibri" w:hAnsi="Calibri" w:cs="Calibri"/>
          <w:i/>
          <w:iCs/>
          <w:kern w:val="24"/>
          <w:sz w:val="24"/>
          <w:szCs w:val="24"/>
        </w:rPr>
        <w:t xml:space="preserve">Source:  </w:t>
      </w:r>
      <w:r>
        <w:rPr>
          <w:rFonts w:ascii="Calibri" w:hAnsi="Times New Roman" w:cs="Calibri"/>
          <w:color w:val="000000"/>
          <w:kern w:val="24"/>
          <w:sz w:val="24"/>
          <w:szCs w:val="24"/>
        </w:rPr>
        <w:t xml:space="preserve">ABS, </w:t>
      </w:r>
      <w:r>
        <w:rPr>
          <w:rFonts w:ascii="Calibri" w:hAnsi="Times New Roman" w:cs="Calibri"/>
          <w:i/>
          <w:iCs/>
          <w:color w:val="000000"/>
          <w:kern w:val="24"/>
          <w:sz w:val="24"/>
          <w:szCs w:val="24"/>
        </w:rPr>
        <w:t xml:space="preserve">Labour Force, Australia, Detailed, Quarterly, </w:t>
      </w:r>
      <w:r>
        <w:rPr>
          <w:rFonts w:ascii="Calibri" w:hAnsi="Times New Roman" w:cs="Calibri"/>
          <w:color w:val="000000"/>
          <w:kern w:val="24"/>
          <w:sz w:val="24"/>
          <w:szCs w:val="24"/>
        </w:rPr>
        <w:t xml:space="preserve">August 2013 </w:t>
      </w:r>
      <w:r>
        <w:rPr>
          <w:rFonts w:ascii="Calibri" w:hAnsi="Times New Roman" w:cs="Calibri"/>
          <w:i/>
          <w:iCs/>
          <w:color w:val="000000"/>
          <w:kern w:val="24"/>
          <w:sz w:val="24"/>
          <w:szCs w:val="24"/>
        </w:rPr>
        <w:t xml:space="preserve">(cat. no. 6291.0.55.003), </w:t>
      </w:r>
      <w:r>
        <w:rPr>
          <w:rFonts w:ascii="Calibri" w:hAnsi="Times New Roman" w:cs="Calibri"/>
          <w:color w:val="000000"/>
          <w:kern w:val="24"/>
          <w:sz w:val="24"/>
          <w:szCs w:val="24"/>
        </w:rPr>
        <w:t xml:space="preserve">four-quarter averages of </w:t>
      </w:r>
      <w:r>
        <w:rPr>
          <w:rFonts w:ascii="Calibri" w:hAnsi="Times New Roman" w:cs="Calibri"/>
          <w:i/>
          <w:iCs/>
          <w:color w:val="000000"/>
          <w:kern w:val="24"/>
          <w:sz w:val="24"/>
          <w:szCs w:val="24"/>
        </w:rPr>
        <w:t>original</w:t>
      </w:r>
      <w:r>
        <w:rPr>
          <w:rFonts w:ascii="Calibri" w:hAnsi="Times New Roman" w:cs="Calibri"/>
          <w:color w:val="000000"/>
          <w:kern w:val="24"/>
          <w:sz w:val="24"/>
          <w:szCs w:val="24"/>
        </w:rPr>
        <w:t xml:space="preserve"> data</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chart illustrates how Tasmania’s industry employment composition has changed over the past 25 years. There has been a shift away from the Manufacturing and Agriculture, Forestry and Fishing industries, and </w:t>
      </w:r>
      <w:proofErr w:type="gramStart"/>
      <w:r>
        <w:rPr>
          <w:rFonts w:ascii="Calibri" w:hAnsi="Calibri" w:cs="Calibri"/>
          <w:kern w:val="24"/>
          <w:sz w:val="24"/>
          <w:szCs w:val="24"/>
        </w:rPr>
        <w:t>towards  the</w:t>
      </w:r>
      <w:proofErr w:type="gramEnd"/>
      <w:r>
        <w:rPr>
          <w:rFonts w:ascii="Calibri" w:hAnsi="Calibri" w:cs="Calibri"/>
          <w:kern w:val="24"/>
          <w:sz w:val="24"/>
          <w:szCs w:val="24"/>
        </w:rPr>
        <w:t xml:space="preserve"> Health Care and Social Assistance and Education and Training industries. </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15</w:t>
      </w:r>
    </w:p>
    <w:p w:rsidR="007A11DE" w:rsidRDefault="007A11DE" w:rsidP="007A11DE">
      <w:pPr>
        <w:spacing w:line="360" w:lineRule="auto"/>
      </w:pPr>
    </w:p>
    <w:p w:rsidR="007A11DE" w:rsidRDefault="007A11DE" w:rsidP="007A11DE">
      <w:pPr>
        <w:spacing w:line="360" w:lineRule="auto"/>
        <w:jc w:val="center"/>
      </w:pPr>
      <w:r>
        <w:object w:dxaOrig="7180" w:dyaOrig="5390">
          <v:shape id="_x0000_i1095" type="#_x0000_t75" style="width:269.5pt;height:202.1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5" DrawAspect="Content" ObjectID="_1446376764" r:id="rId35"/>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Ongoing shift to higher skilled jobs - Australia</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Source:</w:t>
      </w:r>
      <w:r>
        <w:rPr>
          <w:rFonts w:ascii="Calibri" w:hAnsi="Calibri" w:cs="Calibri"/>
          <w:kern w:val="24"/>
          <w:sz w:val="24"/>
          <w:szCs w:val="24"/>
        </w:rPr>
        <w:t xml:space="preserve"> ABS Labour Force Survey data to August 2013, seasonally adjusted and trended by the Department of Employment</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Over the last 10 years, there was considerable growth in the share of total employment made up of higher skilled jobs, in contrast to lower skilled jobs.</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16</w:t>
      </w:r>
    </w:p>
    <w:p w:rsidR="007A11DE" w:rsidRDefault="007A11DE" w:rsidP="007A11DE">
      <w:pPr>
        <w:spacing w:line="360" w:lineRule="auto"/>
      </w:pPr>
    </w:p>
    <w:p w:rsidR="007A11DE" w:rsidRDefault="007A11DE" w:rsidP="007A11DE">
      <w:pPr>
        <w:spacing w:line="360" w:lineRule="auto"/>
        <w:jc w:val="center"/>
      </w:pPr>
      <w:r>
        <w:object w:dxaOrig="7180" w:dyaOrig="5390">
          <v:shape id="_x0000_i1100" type="#_x0000_t75" style="width:269.5pt;height:202.1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100" DrawAspect="Content" ObjectID="_1446376765" r:id="rId37"/>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Most applicants didn’t get an interview</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Source: </w:t>
      </w:r>
      <w:r>
        <w:rPr>
          <w:rFonts w:ascii="Calibri" w:hAnsi="Calibri" w:cs="Calibri"/>
          <w:kern w:val="24"/>
          <w:sz w:val="24"/>
          <w:szCs w:val="24"/>
        </w:rPr>
        <w:t xml:space="preserve">Department of Employment, </w:t>
      </w:r>
      <w:r>
        <w:rPr>
          <w:rFonts w:ascii="Calibri" w:hAnsi="Calibri" w:cs="Calibri"/>
          <w:i/>
          <w:iCs/>
          <w:kern w:val="24"/>
          <w:sz w:val="24"/>
          <w:szCs w:val="24"/>
        </w:rPr>
        <w:t xml:space="preserve">Survey of Employers’ Recruitment Experiences, </w:t>
      </w:r>
      <w:r>
        <w:rPr>
          <w:rFonts w:ascii="Calibri" w:hAnsi="Calibri" w:cs="Calibri"/>
          <w:kern w:val="24"/>
          <w:sz w:val="24"/>
          <w:szCs w:val="24"/>
        </w:rPr>
        <w:t>March 2013</w:t>
      </w: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slide breaks down the number and suitability of applicants in employers’ most recent recruitment round.</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17</w:t>
      </w:r>
    </w:p>
    <w:p w:rsidR="007A11DE" w:rsidRDefault="007A11DE" w:rsidP="007A11DE">
      <w:pPr>
        <w:spacing w:line="360" w:lineRule="auto"/>
      </w:pPr>
    </w:p>
    <w:p w:rsidR="007A11DE" w:rsidRDefault="007A11DE" w:rsidP="007A11DE">
      <w:pPr>
        <w:spacing w:line="360" w:lineRule="auto"/>
        <w:jc w:val="center"/>
      </w:pPr>
      <w:r>
        <w:object w:dxaOrig="7180" w:dyaOrig="5390">
          <v:shape id="_x0000_i1105" type="#_x0000_t75" style="width:269.5pt;height:202.1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105" DrawAspect="Content" ObjectID="_1446376766" r:id="rId39"/>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Times New Roman" w:cs="Calibri"/>
          <w:b/>
          <w:bCs/>
          <w:kern w:val="24"/>
          <w:sz w:val="24"/>
          <w:szCs w:val="24"/>
          <w:u w:val="single"/>
        </w:rPr>
      </w:pPr>
      <w:r>
        <w:rPr>
          <w:rFonts w:ascii="Calibri" w:hAnsi="Times New Roman" w:cs="Calibri"/>
          <w:b/>
          <w:bCs/>
          <w:kern w:val="24"/>
          <w:sz w:val="24"/>
          <w:szCs w:val="24"/>
          <w:u w:val="single"/>
        </w:rPr>
        <w:t xml:space="preserve">What was essential in an </w:t>
      </w:r>
      <w:proofErr w:type="gramStart"/>
      <w:r>
        <w:rPr>
          <w:rFonts w:ascii="Calibri" w:hAnsi="Times New Roman" w:cs="Calibri"/>
          <w:b/>
          <w:bCs/>
          <w:kern w:val="24"/>
          <w:sz w:val="24"/>
          <w:szCs w:val="24"/>
          <w:u w:val="single"/>
        </w:rPr>
        <w:t>applicant</w:t>
      </w:r>
      <w:proofErr w:type="gramEnd"/>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i/>
          <w:iCs/>
          <w:kern w:val="24"/>
          <w:sz w:val="24"/>
          <w:szCs w:val="24"/>
        </w:rPr>
        <w:t xml:space="preserve">Source: </w:t>
      </w:r>
      <w:r>
        <w:rPr>
          <w:rFonts w:ascii="Calibri" w:hAnsi="Times New Roman" w:cs="Calibri"/>
          <w:kern w:val="24"/>
          <w:sz w:val="24"/>
          <w:szCs w:val="24"/>
        </w:rPr>
        <w:t xml:space="preserve">Department of Employment, </w:t>
      </w:r>
      <w:r>
        <w:rPr>
          <w:rFonts w:ascii="Calibri" w:hAnsi="Times New Roman" w:cs="Calibri"/>
          <w:i/>
          <w:iCs/>
          <w:kern w:val="24"/>
          <w:sz w:val="24"/>
          <w:szCs w:val="24"/>
        </w:rPr>
        <w:t>Survey of Employers</w:t>
      </w:r>
      <w:r>
        <w:rPr>
          <w:rFonts w:ascii="Calibri" w:hAnsi="Times New Roman" w:cs="Calibri"/>
          <w:i/>
          <w:iCs/>
          <w:kern w:val="24"/>
          <w:sz w:val="24"/>
          <w:szCs w:val="24"/>
        </w:rPr>
        <w:t>’</w:t>
      </w:r>
      <w:r>
        <w:rPr>
          <w:rFonts w:ascii="Calibri" w:hAnsi="Times New Roman" w:cs="Calibri"/>
          <w:i/>
          <w:iCs/>
          <w:kern w:val="24"/>
          <w:sz w:val="24"/>
          <w:szCs w:val="24"/>
        </w:rPr>
        <w:t xml:space="preserve"> Recruitment Experiences, </w:t>
      </w:r>
      <w:r>
        <w:rPr>
          <w:rFonts w:ascii="Calibri" w:hAnsi="Times New Roman" w:cs="Calibri"/>
          <w:kern w:val="24"/>
          <w:sz w:val="24"/>
          <w:szCs w:val="24"/>
        </w:rPr>
        <w:t xml:space="preserve">March 2013 </w:t>
      </w:r>
    </w:p>
    <w:p w:rsidR="007A11DE" w:rsidRDefault="007A11DE" w:rsidP="007A11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Employers were asked whether there were any skills or personal qualities essential in an applicant. Some 49 per cent of responding employers said that some form of employability skill (such as communication, people skills or motivation) was essential for an applicant to be successful.</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18</w:t>
      </w:r>
    </w:p>
    <w:p w:rsidR="007A11DE" w:rsidRDefault="007A11DE" w:rsidP="007A11DE">
      <w:pPr>
        <w:spacing w:line="360" w:lineRule="auto"/>
      </w:pPr>
    </w:p>
    <w:p w:rsidR="007A11DE" w:rsidRDefault="007A11DE" w:rsidP="007A11DE">
      <w:pPr>
        <w:spacing w:line="360" w:lineRule="auto"/>
        <w:jc w:val="center"/>
      </w:pPr>
      <w:r>
        <w:object w:dxaOrig="7180" w:dyaOrig="5390">
          <v:shape id="_x0000_i1110" type="#_x0000_t75" style="width:269.5pt;height:202.1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110" DrawAspect="Content" ObjectID="_1446376767" r:id="rId41"/>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Informal recruitment methods</w:t>
      </w:r>
    </w:p>
    <w:p w:rsidR="007A11DE" w:rsidRDefault="007A11DE" w:rsidP="007A11DE">
      <w:pPr>
        <w:autoSpaceDE w:val="0"/>
        <w:autoSpaceDN w:val="0"/>
        <w:adjustRightInd w:val="0"/>
        <w:spacing w:after="0" w:line="240" w:lineRule="auto"/>
        <w:rPr>
          <w:rFonts w:ascii="Calibri" w:hAnsi="Times New Roman" w:cs="Calibri"/>
          <w:kern w:val="24"/>
          <w:sz w:val="24"/>
          <w:szCs w:val="24"/>
        </w:rPr>
      </w:pPr>
      <w:r>
        <w:rPr>
          <w:rFonts w:ascii="Calibri" w:hAnsi="Calibri" w:cs="Calibri"/>
          <w:i/>
          <w:iCs/>
          <w:kern w:val="24"/>
          <w:sz w:val="24"/>
          <w:szCs w:val="24"/>
        </w:rPr>
        <w:t>Source:</w:t>
      </w:r>
      <w:r>
        <w:rPr>
          <w:rFonts w:ascii="Calibri" w:hAnsi="Calibri" w:cs="Calibri"/>
          <w:kern w:val="24"/>
          <w:sz w:val="24"/>
          <w:szCs w:val="24"/>
        </w:rPr>
        <w:t xml:space="preserve"> </w:t>
      </w:r>
      <w:r>
        <w:rPr>
          <w:rFonts w:ascii="Calibri" w:hAnsi="Times New Roman" w:cs="Calibri"/>
          <w:kern w:val="24"/>
          <w:sz w:val="24"/>
          <w:szCs w:val="24"/>
        </w:rPr>
        <w:t xml:space="preserve">Department of Employment, </w:t>
      </w:r>
      <w:r>
        <w:rPr>
          <w:rFonts w:ascii="Calibri" w:hAnsi="Times New Roman" w:cs="Calibri"/>
          <w:i/>
          <w:iCs/>
          <w:kern w:val="24"/>
          <w:sz w:val="24"/>
          <w:szCs w:val="24"/>
        </w:rPr>
        <w:t>Survey of Employers</w:t>
      </w:r>
      <w:r>
        <w:rPr>
          <w:rFonts w:ascii="Calibri" w:hAnsi="Times New Roman" w:cs="Calibri"/>
          <w:i/>
          <w:iCs/>
          <w:kern w:val="24"/>
          <w:sz w:val="24"/>
          <w:szCs w:val="24"/>
        </w:rPr>
        <w:t>’</w:t>
      </w:r>
      <w:r>
        <w:rPr>
          <w:rFonts w:ascii="Calibri" w:hAnsi="Times New Roman" w:cs="Calibri"/>
          <w:i/>
          <w:iCs/>
          <w:kern w:val="24"/>
          <w:sz w:val="24"/>
          <w:szCs w:val="24"/>
        </w:rPr>
        <w:t xml:space="preserve"> Recruitment Experiences, </w:t>
      </w:r>
      <w:r>
        <w:rPr>
          <w:rFonts w:ascii="Calibri" w:hAnsi="Times New Roman" w:cs="Calibri"/>
          <w:kern w:val="24"/>
          <w:sz w:val="24"/>
          <w:szCs w:val="24"/>
        </w:rPr>
        <w:t xml:space="preserve">March 2013 </w:t>
      </w:r>
    </w:p>
    <w:p w:rsidR="007A11DE" w:rsidRDefault="007A11DE" w:rsidP="007A11DE">
      <w:pPr>
        <w:autoSpaceDE w:val="0"/>
        <w:autoSpaceDN w:val="0"/>
        <w:adjustRightInd w:val="0"/>
        <w:spacing w:after="0" w:line="240" w:lineRule="auto"/>
        <w:rPr>
          <w:rFonts w:ascii="Calibri" w:hAnsi="Times New Roman" w:cs="Calibri"/>
          <w:i/>
          <w:iCs/>
          <w:kern w:val="24"/>
          <w:sz w:val="24"/>
          <w:szCs w:val="24"/>
        </w:rPr>
      </w:pPr>
    </w:p>
    <w:p w:rsidR="007A11DE" w:rsidRDefault="007A11DE" w:rsidP="007A11DE">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While most employers surveyed in Tasmania used formal methods of recruitment (internet, newspapers etc.), some 42 per cent recruited using informal means only (sign in window, word of mouth etc.). Job seekers should therefore use a range of search methods when looking for employment.</w:t>
      </w:r>
    </w:p>
    <w:p w:rsidR="007A11DE" w:rsidRDefault="007A11DE" w:rsidP="007A11DE">
      <w:pPr>
        <w:autoSpaceDE w:val="0"/>
        <w:autoSpaceDN w:val="0"/>
        <w:adjustRightInd w:val="0"/>
        <w:spacing w:after="0" w:line="240" w:lineRule="auto"/>
        <w:rPr>
          <w:rFonts w:ascii="Calibri" w:hAnsi="Calibri" w:cs="Calibri"/>
          <w:b/>
          <w:bCs/>
          <w:kern w:val="24"/>
          <w:sz w:val="24"/>
          <w:szCs w:val="24"/>
        </w:rPr>
      </w:pP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19</w:t>
      </w:r>
    </w:p>
    <w:p w:rsidR="007A11DE" w:rsidRDefault="007A11DE" w:rsidP="007A11DE">
      <w:pPr>
        <w:spacing w:line="360" w:lineRule="auto"/>
      </w:pPr>
    </w:p>
    <w:p w:rsidR="007A11DE" w:rsidRDefault="007A11DE" w:rsidP="007A11DE">
      <w:pPr>
        <w:spacing w:line="360" w:lineRule="auto"/>
        <w:jc w:val="center"/>
      </w:pPr>
      <w:r>
        <w:object w:dxaOrig="7180" w:dyaOrig="5390">
          <v:shape id="_x0000_i1115" type="#_x0000_t75" style="width:269.5pt;height:202.1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115" DrawAspect="Content" ObjectID="_1446376768" r:id="rId43"/>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Opportunities in many occupations</w:t>
      </w: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i/>
          <w:iCs/>
          <w:kern w:val="24"/>
          <w:sz w:val="24"/>
          <w:szCs w:val="24"/>
        </w:rPr>
        <w:t xml:space="preserve">Source: </w:t>
      </w:r>
      <w:r>
        <w:rPr>
          <w:rFonts w:ascii="Calibri" w:hAnsi="Times New Roman" w:cs="Calibri"/>
          <w:kern w:val="24"/>
          <w:sz w:val="24"/>
          <w:szCs w:val="24"/>
        </w:rPr>
        <w:t xml:space="preserve">Department of Employment, </w:t>
      </w:r>
      <w:r>
        <w:rPr>
          <w:rFonts w:ascii="Calibri" w:hAnsi="Times New Roman" w:cs="Calibri"/>
          <w:i/>
          <w:iCs/>
          <w:kern w:val="24"/>
          <w:sz w:val="24"/>
          <w:szCs w:val="24"/>
        </w:rPr>
        <w:t>Survey of Employers</w:t>
      </w:r>
      <w:r>
        <w:rPr>
          <w:rFonts w:ascii="Calibri" w:hAnsi="Times New Roman" w:cs="Calibri"/>
          <w:i/>
          <w:iCs/>
          <w:kern w:val="24"/>
          <w:sz w:val="24"/>
          <w:szCs w:val="24"/>
        </w:rPr>
        <w:t>’</w:t>
      </w:r>
      <w:r>
        <w:rPr>
          <w:rFonts w:ascii="Calibri" w:hAnsi="Times New Roman" w:cs="Calibri"/>
          <w:i/>
          <w:iCs/>
          <w:kern w:val="24"/>
          <w:sz w:val="24"/>
          <w:szCs w:val="24"/>
        </w:rPr>
        <w:t xml:space="preserve"> Recruitment Experiences, </w:t>
      </w:r>
      <w:r>
        <w:rPr>
          <w:rFonts w:ascii="Calibri" w:hAnsi="Times New Roman" w:cs="Calibri"/>
          <w:kern w:val="24"/>
          <w:sz w:val="24"/>
          <w:szCs w:val="24"/>
        </w:rPr>
        <w:t xml:space="preserve">March 2013; </w:t>
      </w:r>
      <w:r>
        <w:rPr>
          <w:rFonts w:ascii="Calibri" w:hAnsi="Times New Roman" w:cs="Calibri"/>
          <w:color w:val="000000"/>
          <w:kern w:val="24"/>
          <w:sz w:val="24"/>
          <w:szCs w:val="24"/>
        </w:rPr>
        <w:t>ABS</w:t>
      </w:r>
      <w:r>
        <w:rPr>
          <w:rFonts w:ascii="Calibri" w:hAnsi="Times New Roman" w:cs="Calibri"/>
          <w:i/>
          <w:iCs/>
          <w:color w:val="000000"/>
          <w:kern w:val="24"/>
          <w:sz w:val="24"/>
          <w:szCs w:val="24"/>
        </w:rPr>
        <w:t xml:space="preserve">, Census of Population and Housing, </w:t>
      </w:r>
      <w:r>
        <w:rPr>
          <w:rFonts w:ascii="Calibri" w:hAnsi="Times New Roman" w:cs="Calibri"/>
          <w:color w:val="000000"/>
          <w:kern w:val="24"/>
          <w:sz w:val="24"/>
          <w:szCs w:val="24"/>
        </w:rPr>
        <w:t>2011</w:t>
      </w: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Although labour market conditions across Tasmania remain subdued, there are still opportunities in a range of fast-growing occupations and occupations for which employers commonly expected to recruit.</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20</w:t>
      </w:r>
    </w:p>
    <w:p w:rsidR="007A11DE" w:rsidRDefault="007A11DE" w:rsidP="007A11DE">
      <w:pPr>
        <w:spacing w:line="360" w:lineRule="auto"/>
      </w:pPr>
    </w:p>
    <w:p w:rsidR="007A11DE" w:rsidRDefault="007A11DE" w:rsidP="007A11DE">
      <w:pPr>
        <w:spacing w:line="360" w:lineRule="auto"/>
        <w:jc w:val="center"/>
      </w:pPr>
      <w:r>
        <w:object w:dxaOrig="7180" w:dyaOrig="5390">
          <v:shape id="_x0000_i1120" type="#_x0000_t75" style="width:269.5pt;height:202.1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120" DrawAspect="Content" ObjectID="_1446376769" r:id="rId45"/>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lang w:val="en-US"/>
        </w:rPr>
      </w:pPr>
      <w:r>
        <w:rPr>
          <w:rFonts w:ascii="Calibri" w:hAnsi="Calibri" w:cs="Calibri"/>
          <w:b/>
          <w:bCs/>
          <w:kern w:val="24"/>
          <w:sz w:val="24"/>
          <w:szCs w:val="24"/>
          <w:u w:val="single"/>
          <w:lang w:val="en-US"/>
        </w:rPr>
        <w:t>Projected employment growth in Tasmania</w:t>
      </w:r>
    </w:p>
    <w:p w:rsidR="007A11DE" w:rsidRDefault="007A11DE" w:rsidP="007A11DE">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Source: Department of Employment’s 2013 regional industry projections for the five years from November 2012 to November 2017</w:t>
      </w:r>
    </w:p>
    <w:p w:rsidR="007A11DE" w:rsidRDefault="007A11DE" w:rsidP="007A11DE">
      <w:pPr>
        <w:autoSpaceDE w:val="0"/>
        <w:autoSpaceDN w:val="0"/>
        <w:adjustRightInd w:val="0"/>
        <w:spacing w:after="0" w:line="240" w:lineRule="auto"/>
        <w:rPr>
          <w:rFonts w:ascii="Calibri" w:hAnsi="Calibri" w:cs="Calibri"/>
          <w:color w:val="FF0000"/>
          <w:kern w:val="24"/>
          <w:sz w:val="24"/>
          <w:szCs w:val="24"/>
          <w:lang w:val="en-US"/>
        </w:rPr>
      </w:pPr>
    </w:p>
    <w:p w:rsidR="007A11DE" w:rsidRDefault="007A11DE" w:rsidP="007A11DE">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Over the five years to November 2017, total employment in Tasmania is projected to grow by </w:t>
      </w:r>
      <w:proofErr w:type="gramStart"/>
      <w:r>
        <w:rPr>
          <w:rFonts w:ascii="Calibri" w:hAnsi="Calibri" w:cs="Calibri"/>
          <w:kern w:val="24"/>
          <w:sz w:val="24"/>
          <w:szCs w:val="24"/>
          <w:lang w:val="en-US"/>
        </w:rPr>
        <w:t>11,400  (</w:t>
      </w:r>
      <w:proofErr w:type="gramEnd"/>
      <w:r>
        <w:rPr>
          <w:rFonts w:ascii="Calibri" w:hAnsi="Calibri" w:cs="Calibri"/>
          <w:kern w:val="24"/>
          <w:sz w:val="24"/>
          <w:szCs w:val="24"/>
          <w:lang w:val="en-US"/>
        </w:rPr>
        <w:t>or 4.9%), the lowest growth rate (in terms of percentage change) of all the States and Territories. The largest growth is projected to be in the Health Care and Social Assistance industry (3000).</w:t>
      </w: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21</w:t>
      </w:r>
    </w:p>
    <w:p w:rsidR="007A11DE" w:rsidRDefault="007A11DE" w:rsidP="007A11DE">
      <w:pPr>
        <w:spacing w:line="360" w:lineRule="auto"/>
      </w:pPr>
    </w:p>
    <w:p w:rsidR="007A11DE" w:rsidRDefault="007A11DE" w:rsidP="007A11DE">
      <w:pPr>
        <w:spacing w:line="360" w:lineRule="auto"/>
        <w:jc w:val="center"/>
      </w:pPr>
      <w:r>
        <w:object w:dxaOrig="7180" w:dyaOrig="5390">
          <v:shape id="_x0000_i1125" type="#_x0000_t75" style="width:269.5pt;height:202.1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125" DrawAspect="Content" ObjectID="_1446376770" r:id="rId47"/>
        </w:object>
      </w:r>
    </w:p>
    <w:p w:rsidR="007A11DE" w:rsidRDefault="007A11DE" w:rsidP="007A11DE">
      <w:pPr>
        <w:spacing w:line="360" w:lineRule="auto"/>
        <w:jc w:val="center"/>
      </w:pPr>
    </w:p>
    <w:p w:rsidR="007A11DE" w:rsidRDefault="007A11DE" w:rsidP="007A11DE">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u w:val="single"/>
        </w:rPr>
        <w:t>Conclusion</w:t>
      </w:r>
    </w:p>
    <w:p w:rsidR="007A11DE" w:rsidRDefault="007A11DE" w:rsidP="007A11DE">
      <w:pPr>
        <w:autoSpaceDE w:val="0"/>
        <w:autoSpaceDN w:val="0"/>
        <w:adjustRightInd w:val="0"/>
        <w:spacing w:after="0" w:line="240" w:lineRule="auto"/>
        <w:rPr>
          <w:rFonts w:ascii="Calibri" w:hAnsi="Calibri" w:cs="Calibri"/>
          <w:kern w:val="24"/>
          <w:sz w:val="24"/>
          <w:szCs w:val="24"/>
        </w:rPr>
      </w:pP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b/>
          <w:bCs/>
          <w:color w:val="000000"/>
          <w:kern w:val="24"/>
          <w:sz w:val="24"/>
          <w:szCs w:val="24"/>
        </w:rPr>
        <w:t>Labour market is subdued</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Employment growth has stalled, full-time jobs in decline</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Unemployment is on the rise</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Challenges of low participation, older age profile and relatively low education levels</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Some regional variation in conditions</w:t>
      </w:r>
    </w:p>
    <w:p w:rsidR="007A11DE" w:rsidRDefault="007A11DE" w:rsidP="007A11DE">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b/>
          <w:bCs/>
          <w:color w:val="000000"/>
          <w:kern w:val="24"/>
          <w:sz w:val="24"/>
          <w:szCs w:val="24"/>
        </w:rPr>
        <w:t>Opportunities</w:t>
      </w:r>
      <w:r>
        <w:rPr>
          <w:rFonts w:ascii="Calibri" w:hAnsi="Times New Roman" w:cs="Calibri"/>
          <w:b/>
          <w:bCs/>
          <w:color w:val="000000"/>
          <w:kern w:val="24"/>
          <w:sz w:val="24"/>
          <w:szCs w:val="24"/>
        </w:rPr>
        <w:t> </w:t>
      </w:r>
      <w:r>
        <w:rPr>
          <w:rFonts w:ascii="Calibri" w:hAnsi="Times New Roman" w:cs="Calibri"/>
          <w:b/>
          <w:bCs/>
          <w:color w:val="000000"/>
          <w:kern w:val="24"/>
          <w:sz w:val="24"/>
          <w:szCs w:val="24"/>
        </w:rPr>
        <w:t xml:space="preserve"> </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Labour market still creating jobs</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Employment still growing strongly in Health Care and Social Assistance</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Growth is expected for Construction and Education and Training</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Some vacancies remain unfilled for Technicians and Trades Worker occupations</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Demand remains for entry level positions such as Sales Assistants, Waiters, Bar Attendants and Baristas</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Greater employment chances if job seekers target informally advertised jobs</w:t>
      </w:r>
    </w:p>
    <w:p w:rsidR="007A11DE" w:rsidRDefault="007A11DE" w:rsidP="007A11DE">
      <w:pPr>
        <w:autoSpaceDE w:val="0"/>
        <w:autoSpaceDN w:val="0"/>
        <w:adjustRightInd w:val="0"/>
        <w:spacing w:after="0" w:line="240" w:lineRule="auto"/>
        <w:rPr>
          <w:rFonts w:ascii="Calibri" w:hAnsi="Times New Roman" w:cs="Calibri"/>
          <w:b/>
          <w:bCs/>
          <w:color w:val="000000"/>
          <w:kern w:val="24"/>
          <w:sz w:val="24"/>
          <w:szCs w:val="24"/>
        </w:rPr>
      </w:pPr>
      <w:r>
        <w:rPr>
          <w:rFonts w:ascii="Calibri" w:hAnsi="Times New Roman" w:cs="Calibri"/>
          <w:b/>
          <w:bCs/>
          <w:color w:val="000000"/>
          <w:kern w:val="24"/>
          <w:sz w:val="24"/>
          <w:szCs w:val="24"/>
        </w:rPr>
        <w:t>Job seekers need to be job ready</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color w:val="000000"/>
          <w:kern w:val="24"/>
          <w:sz w:val="24"/>
          <w:szCs w:val="24"/>
        </w:rPr>
      </w:pPr>
      <w:r>
        <w:rPr>
          <w:rFonts w:ascii="Calibri" w:hAnsi="Times New Roman" w:cs="Calibri"/>
          <w:color w:val="000000"/>
          <w:kern w:val="24"/>
          <w:sz w:val="24"/>
          <w:szCs w:val="24"/>
        </w:rPr>
        <w:t>Education/training</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color w:val="000000"/>
          <w:kern w:val="24"/>
          <w:sz w:val="24"/>
          <w:szCs w:val="24"/>
        </w:rPr>
      </w:pPr>
      <w:r>
        <w:rPr>
          <w:rFonts w:ascii="Calibri" w:hAnsi="Times New Roman" w:cs="Calibri"/>
          <w:color w:val="000000"/>
          <w:kern w:val="24"/>
          <w:sz w:val="24"/>
          <w:szCs w:val="24"/>
        </w:rPr>
        <w:t>Employability skills (especially important for lower skilled jobs)</w:t>
      </w:r>
    </w:p>
    <w:p w:rsidR="007A11DE" w:rsidRDefault="007A11DE" w:rsidP="007A11DE">
      <w:pPr>
        <w:numPr>
          <w:ilvl w:val="0"/>
          <w:numId w:val="1"/>
        </w:numPr>
        <w:autoSpaceDE w:val="0"/>
        <w:autoSpaceDN w:val="0"/>
        <w:adjustRightInd w:val="0"/>
        <w:spacing w:after="0" w:line="240" w:lineRule="auto"/>
        <w:ind w:left="1170" w:hanging="450"/>
        <w:rPr>
          <w:rFonts w:ascii="Calibri" w:hAnsi="Times New Roman" w:cs="Calibri"/>
          <w:color w:val="000000"/>
          <w:kern w:val="24"/>
          <w:sz w:val="24"/>
          <w:szCs w:val="24"/>
        </w:rPr>
      </w:pPr>
      <w:r>
        <w:rPr>
          <w:rFonts w:ascii="Calibri" w:hAnsi="Times New Roman" w:cs="Calibri"/>
          <w:color w:val="000000"/>
          <w:kern w:val="24"/>
          <w:sz w:val="24"/>
          <w:szCs w:val="24"/>
        </w:rPr>
        <w:t>Experience</w:t>
      </w:r>
    </w:p>
    <w:p w:rsidR="007A11DE" w:rsidRDefault="007A11DE" w:rsidP="007A11DE">
      <w:pPr>
        <w:autoSpaceDE w:val="0"/>
        <w:autoSpaceDN w:val="0"/>
        <w:adjustRightInd w:val="0"/>
        <w:spacing w:after="0" w:line="240" w:lineRule="auto"/>
        <w:rPr>
          <w:rFonts w:ascii="Calibri" w:eastAsia="Times New Roman" w:hAnsi="Times New Roman" w:cs="Calibri"/>
          <w:color w:val="000000"/>
          <w:kern w:val="24"/>
          <w:sz w:val="24"/>
          <w:szCs w:val="24"/>
          <w:lang w:val="en-US"/>
        </w:rPr>
      </w:pPr>
      <w:r>
        <w:rPr>
          <w:rFonts w:ascii="Calibri" w:hAnsi="Times New Roman" w:cs="Calibri"/>
          <w:b/>
          <w:bCs/>
          <w:color w:val="000000"/>
          <w:kern w:val="24"/>
          <w:sz w:val="24"/>
          <w:szCs w:val="24"/>
        </w:rPr>
        <w:t>Collaboration among all key stakeholders will be vital</w:t>
      </w:r>
    </w:p>
    <w:p w:rsidR="007A11DE" w:rsidRDefault="007A11DE" w:rsidP="007A11DE">
      <w:pPr>
        <w:autoSpaceDE w:val="0"/>
        <w:autoSpaceDN w:val="0"/>
        <w:adjustRightInd w:val="0"/>
        <w:spacing w:after="0" w:line="240" w:lineRule="auto"/>
        <w:rPr>
          <w:rFonts w:ascii="Calibri" w:hAnsi="Calibri" w:cs="Calibri"/>
          <w:kern w:val="24"/>
          <w:sz w:val="32"/>
          <w:szCs w:val="32"/>
        </w:rPr>
      </w:pPr>
    </w:p>
    <w:p w:rsidR="007A11DE" w:rsidRDefault="007A11DE" w:rsidP="007A11DE">
      <w:pPr>
        <w:autoSpaceDE w:val="0"/>
        <w:autoSpaceDN w:val="0"/>
        <w:adjustRightInd w:val="0"/>
        <w:spacing w:after="0" w:line="240" w:lineRule="auto"/>
        <w:rPr>
          <w:rFonts w:ascii="Arial" w:hAnsi="Arial" w:cs="Arial"/>
          <w:sz w:val="24"/>
          <w:szCs w:val="24"/>
        </w:rPr>
      </w:pPr>
    </w:p>
    <w:p w:rsidR="007A11DE" w:rsidRDefault="007A11DE" w:rsidP="007A11DE">
      <w:pPr>
        <w:spacing w:line="360" w:lineRule="auto"/>
      </w:pPr>
    </w:p>
    <w:p w:rsidR="007A11DE" w:rsidRDefault="007A11DE">
      <w:r>
        <w:br w:type="page"/>
      </w:r>
    </w:p>
    <w:p w:rsidR="007A11DE" w:rsidRDefault="007A11DE" w:rsidP="007A11DE">
      <w:pPr>
        <w:spacing w:line="360" w:lineRule="auto"/>
      </w:pPr>
      <w:r>
        <w:lastRenderedPageBreak/>
        <w:t>Slide 22</w:t>
      </w:r>
    </w:p>
    <w:p w:rsidR="007A11DE" w:rsidRDefault="007A11DE" w:rsidP="007A11DE">
      <w:pPr>
        <w:spacing w:line="360" w:lineRule="auto"/>
      </w:pPr>
    </w:p>
    <w:p w:rsidR="007A11DE" w:rsidRDefault="007A11DE" w:rsidP="007A11DE">
      <w:pPr>
        <w:spacing w:line="360" w:lineRule="auto"/>
        <w:jc w:val="center"/>
      </w:pPr>
      <w:r>
        <w:object w:dxaOrig="7180" w:dyaOrig="5390">
          <v:shape id="_x0000_i1130" type="#_x0000_t75" style="width:269.5pt;height:202.1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130" DrawAspect="Content" ObjectID="_1446376771" r:id="rId49"/>
        </w:object>
      </w:r>
    </w:p>
    <w:p w:rsidR="007A11DE" w:rsidRDefault="007A11DE" w:rsidP="007A11DE">
      <w:pPr>
        <w:spacing w:line="360" w:lineRule="auto"/>
        <w:jc w:val="center"/>
      </w:pPr>
    </w:p>
    <w:p w:rsidR="007A11DE" w:rsidRDefault="007A11DE" w:rsidP="007A11DE">
      <w:pPr>
        <w:spacing w:line="360" w:lineRule="auto"/>
      </w:pPr>
    </w:p>
    <w:p w:rsidR="007A11DE" w:rsidRDefault="007A11DE" w:rsidP="007A11DE">
      <w:pPr>
        <w:spacing w:line="360" w:lineRule="auto"/>
      </w:pPr>
    </w:p>
    <w:sectPr w:rsidR="007A11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242868"/>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1DE"/>
    <w:rsid w:val="003529E4"/>
    <w:rsid w:val="007A11DE"/>
    <w:rsid w:val="00EB2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3" Type="http://schemas.microsoft.com/office/2007/relationships/stylesWithEffects" Target="stylesWithEffects.xml"/><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1.sldx"/><Relationship Id="rId50" Type="http://schemas.openxmlformats.org/officeDocument/2006/relationships/fontTable" Target="fontTable.xml"/><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2.sldx"/><Relationship Id="rId41" Type="http://schemas.openxmlformats.org/officeDocument/2006/relationships/package" Target="embeddings/Microsoft_PowerPoint_Slide18.sldx"/><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8" Type="http://schemas.openxmlformats.org/officeDocument/2006/relationships/image" Target="media/image2.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CC50091C.dotm</Template>
  <TotalTime>1</TotalTime>
  <Pages>22</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Meehan</dc:creator>
  <cp:lastModifiedBy>Joel Meehan</cp:lastModifiedBy>
  <cp:revision>1</cp:revision>
  <dcterms:created xsi:type="dcterms:W3CDTF">2013-11-19T03:31:00Z</dcterms:created>
  <dcterms:modified xsi:type="dcterms:W3CDTF">2013-11-19T03:32:00Z</dcterms:modified>
</cp:coreProperties>
</file>