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Override1.xml" ContentType="application/vnd.openxmlformats-officedocument.themeOverride+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49C8" w:rsidRPr="00FB24C6" w:rsidRDefault="008121B1" w:rsidP="008121B1">
      <w:pPr>
        <w:pStyle w:val="Title"/>
        <w:rPr>
          <w:sz w:val="14"/>
        </w:rPr>
      </w:pPr>
      <w:r w:rsidRPr="00A36D9A">
        <w:rPr>
          <w:iCs/>
          <w:noProof/>
          <w:color w:val="336600"/>
          <w:lang w:eastAsia="en-AU"/>
        </w:rPr>
        <w:drawing>
          <wp:anchor distT="0" distB="0" distL="114300" distR="114300" simplePos="0" relativeHeight="251665408" behindDoc="0" locked="0" layoutInCell="1" allowOverlap="1" wp14:anchorId="247CBB07" wp14:editId="601FD262">
            <wp:simplePos x="0" y="0"/>
            <wp:positionH relativeFrom="column">
              <wp:posOffset>2009775</wp:posOffset>
            </wp:positionH>
            <wp:positionV relativeFrom="paragraph">
              <wp:posOffset>-393700</wp:posOffset>
            </wp:positionV>
            <wp:extent cx="2419350" cy="561975"/>
            <wp:effectExtent l="0" t="0" r="0" b="9525"/>
            <wp:wrapSquare wrapText="bothSides"/>
            <wp:docPr id="2" name="Picture 1" descr="Dept Employment_Inl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Dept Employment_Inlin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9350" cy="5619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sz w:val="14"/>
        </w:rPr>
        <w:br/>
      </w:r>
    </w:p>
    <w:p w:rsidR="003F060E" w:rsidRPr="008121B1" w:rsidRDefault="00B074A6" w:rsidP="005F7278">
      <w:pPr>
        <w:pStyle w:val="Subtitle"/>
        <w:spacing w:before="240" w:after="120"/>
        <w:contextualSpacing/>
        <w:jc w:val="center"/>
        <w:rPr>
          <w:iCs w:val="0"/>
          <w:color w:val="336600"/>
          <w:spacing w:val="5"/>
          <w:szCs w:val="52"/>
        </w:rPr>
      </w:pPr>
      <w:r w:rsidRPr="008121B1">
        <w:rPr>
          <w:iCs w:val="0"/>
          <w:color w:val="336600"/>
          <w:spacing w:val="5"/>
          <w:szCs w:val="52"/>
        </w:rPr>
        <w:t>Labour Market Conditions in</w:t>
      </w:r>
      <w:r w:rsidR="00D805A9" w:rsidRPr="008121B1">
        <w:rPr>
          <w:iCs w:val="0"/>
          <w:color w:val="336600"/>
          <w:spacing w:val="5"/>
          <w:szCs w:val="52"/>
        </w:rPr>
        <w:t xml:space="preserve"> the</w:t>
      </w:r>
      <w:r w:rsidRPr="008121B1">
        <w:rPr>
          <w:iCs w:val="0"/>
          <w:color w:val="336600"/>
          <w:spacing w:val="5"/>
          <w:szCs w:val="52"/>
        </w:rPr>
        <w:t xml:space="preserve"> </w:t>
      </w:r>
      <w:r w:rsidR="00C5752B" w:rsidRPr="008121B1">
        <w:rPr>
          <w:iCs w:val="0"/>
          <w:color w:val="336600"/>
          <w:spacing w:val="5"/>
          <w:szCs w:val="52"/>
        </w:rPr>
        <w:t xml:space="preserve">South Eastern Melbourne </w:t>
      </w:r>
      <w:r w:rsidR="00C04021" w:rsidRPr="008121B1">
        <w:rPr>
          <w:iCs w:val="0"/>
          <w:color w:val="336600"/>
          <w:spacing w:val="5"/>
          <w:szCs w:val="52"/>
        </w:rPr>
        <w:t>P</w:t>
      </w:r>
      <w:r w:rsidR="00D805A9" w:rsidRPr="008121B1">
        <w:rPr>
          <w:iCs w:val="0"/>
          <w:color w:val="336600"/>
          <w:spacing w:val="5"/>
          <w:szCs w:val="52"/>
        </w:rPr>
        <w:t>riority Employment Area</w:t>
      </w:r>
      <w:r w:rsidR="00D00513" w:rsidRPr="008121B1">
        <w:rPr>
          <w:iCs w:val="0"/>
          <w:color w:val="336600"/>
          <w:spacing w:val="5"/>
          <w:szCs w:val="52"/>
        </w:rPr>
        <w:t xml:space="preserve"> (PEA)</w:t>
      </w:r>
    </w:p>
    <w:p w:rsidR="007D05AC" w:rsidRPr="00E57344" w:rsidRDefault="005F7278" w:rsidP="00A723F5">
      <w:pPr>
        <w:spacing w:after="120" w:line="240" w:lineRule="auto"/>
        <w:contextualSpacing/>
        <w:jc w:val="both"/>
      </w:pPr>
      <w:r w:rsidRPr="008121B1">
        <w:rPr>
          <w:iCs/>
          <w:noProof/>
          <w:color w:val="336600"/>
          <w:spacing w:val="5"/>
          <w:szCs w:val="52"/>
          <w:lang w:eastAsia="en-AU"/>
        </w:rPr>
        <mc:AlternateContent>
          <mc:Choice Requires="wps">
            <w:drawing>
              <wp:anchor distT="0" distB="0" distL="114300" distR="114300" simplePos="0" relativeHeight="251662336" behindDoc="0" locked="0" layoutInCell="1" allowOverlap="1" wp14:anchorId="398D883B" wp14:editId="05B0033F">
                <wp:simplePos x="0" y="0"/>
                <wp:positionH relativeFrom="column">
                  <wp:posOffset>4936490</wp:posOffset>
                </wp:positionH>
                <wp:positionV relativeFrom="paragraph">
                  <wp:posOffset>22352</wp:posOffset>
                </wp:positionV>
                <wp:extent cx="1800860" cy="287655"/>
                <wp:effectExtent l="0" t="0" r="0" b="0"/>
                <wp:wrapNone/>
                <wp:docPr id="4" name="Text Box 4"/>
                <wp:cNvGraphicFramePr/>
                <a:graphic xmlns:a="http://schemas.openxmlformats.org/drawingml/2006/main">
                  <a:graphicData uri="http://schemas.microsoft.com/office/word/2010/wordprocessingShape">
                    <wps:wsp>
                      <wps:cNvSpPr txBox="1"/>
                      <wps:spPr>
                        <a:xfrm>
                          <a:off x="0" y="0"/>
                          <a:ext cx="1800860"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0FE9" w:rsidRPr="00DD445B" w:rsidRDefault="00BC5406">
                            <w:pPr>
                              <w:rPr>
                                <w:b/>
                                <w:sz w:val="20"/>
                                <w:szCs w:val="20"/>
                              </w:rPr>
                            </w:pPr>
                            <w:r>
                              <w:rPr>
                                <w:b/>
                                <w:sz w:val="20"/>
                                <w:szCs w:val="20"/>
                              </w:rPr>
                              <w:t>South Eastern Melbourne PEA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88.7pt;margin-top:1.75pt;width:141.8pt;height:2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" filled="f" stroked="f" strokeweight=".5pt">
                <v:textbox>
                  <w:txbxContent>
                    <w:p w:rsidR="00510FE9" w:rsidRPr="00DD445B" w:rsidRDefault="00BC5406">
                      <w:pPr>
                        <w:rPr>
                          <w:b/>
                          <w:sz w:val="20"/>
                          <w:szCs w:val="20"/>
                        </w:rPr>
                      </w:pPr>
                      <w:r>
                        <w:rPr>
                          <w:b/>
                          <w:sz w:val="20"/>
                          <w:szCs w:val="20"/>
                        </w:rPr>
                        <w:t>South Eastern Melbourne PEA</w:t>
                      </w:r>
                    </w:p>
                  </w:txbxContent>
                </v:textbox>
              </v:shape>
            </w:pict>
          </mc:Fallback>
        </mc:AlternateContent>
      </w:r>
      <w:r w:rsidRPr="008121B1">
        <w:rPr>
          <w:iCs/>
          <w:noProof/>
          <w:color w:val="336600"/>
          <w:spacing w:val="5"/>
          <w:szCs w:val="52"/>
          <w:lang w:eastAsia="en-AU"/>
        </w:rPr>
        <w:drawing>
          <wp:anchor distT="0" distB="0" distL="114300" distR="114300" simplePos="0" relativeHeight="251663360" behindDoc="1" locked="0" layoutInCell="1" allowOverlap="1" wp14:anchorId="4592619C" wp14:editId="1BB77B69">
            <wp:simplePos x="0" y="0"/>
            <wp:positionH relativeFrom="column">
              <wp:posOffset>4935855</wp:posOffset>
            </wp:positionH>
            <wp:positionV relativeFrom="paragraph">
              <wp:posOffset>44450</wp:posOffset>
            </wp:positionV>
            <wp:extent cx="1800860" cy="1490345"/>
            <wp:effectExtent l="19050" t="19050" r="27940" b="14605"/>
            <wp:wrapTight wrapText="bothSides">
              <wp:wrapPolygon edited="0">
                <wp:start x="-228" y="-276"/>
                <wp:lineTo x="-228" y="21536"/>
                <wp:lineTo x="21707" y="21536"/>
                <wp:lineTo x="21707" y="-276"/>
                <wp:lineTo x="-228" y="-276"/>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45900" t="43824" r="14683" b="19909"/>
                    <a:stretch/>
                  </pic:blipFill>
                  <pic:spPr bwMode="auto">
                    <a:xfrm>
                      <a:off x="0" y="0"/>
                      <a:ext cx="1800860" cy="149034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05AC" w:rsidRPr="00E57344">
        <w:t>Overall, labour market conditions i</w:t>
      </w:r>
      <w:r w:rsidR="00380E63" w:rsidRPr="00E57344">
        <w:t xml:space="preserve">n the </w:t>
      </w:r>
      <w:r w:rsidR="00E57344" w:rsidRPr="00E57344">
        <w:t>South Eastern Melbourne</w:t>
      </w:r>
      <w:r w:rsidR="00380E63" w:rsidRPr="00E57344">
        <w:t xml:space="preserve"> PEA </w:t>
      </w:r>
      <w:r w:rsidR="00E57344" w:rsidRPr="00E57344">
        <w:t xml:space="preserve">are </w:t>
      </w:r>
      <w:r w:rsidR="002E4CBF">
        <w:t>subdued</w:t>
      </w:r>
      <w:r w:rsidR="00311564">
        <w:t>,</w:t>
      </w:r>
      <w:r w:rsidR="006C5DCD">
        <w:t xml:space="preserve"> with </w:t>
      </w:r>
      <w:r w:rsidR="00651E50">
        <w:t xml:space="preserve">softening </w:t>
      </w:r>
      <w:r w:rsidR="00A723F5">
        <w:t xml:space="preserve">recruitment </w:t>
      </w:r>
      <w:r w:rsidR="002E4CBF">
        <w:t>activ</w:t>
      </w:r>
      <w:r w:rsidR="00AC7396">
        <w:t xml:space="preserve">ity </w:t>
      </w:r>
      <w:r w:rsidR="00311564">
        <w:t>o</w:t>
      </w:r>
      <w:r w:rsidR="00651E50">
        <w:t>ver</w:t>
      </w:r>
      <w:r w:rsidR="00AC7396">
        <w:t xml:space="preserve"> the past two years</w:t>
      </w:r>
      <w:r w:rsidR="002E4CBF">
        <w:t>.</w:t>
      </w:r>
    </w:p>
    <w:p w:rsidR="00B265DD" w:rsidRDefault="00D00513" w:rsidP="00311564">
      <w:pPr>
        <w:pStyle w:val="ListParagraph"/>
        <w:numPr>
          <w:ilvl w:val="0"/>
          <w:numId w:val="27"/>
        </w:numPr>
        <w:spacing w:after="120" w:line="240" w:lineRule="auto"/>
        <w:ind w:left="357" w:hanging="357"/>
        <w:jc w:val="both"/>
        <w:rPr>
          <w:color w:val="000000" w:themeColor="text1"/>
        </w:rPr>
      </w:pPr>
      <w:r>
        <w:rPr>
          <w:color w:val="000000" w:themeColor="text1"/>
        </w:rPr>
        <w:t xml:space="preserve">The </w:t>
      </w:r>
      <w:r w:rsidR="002E4CBF">
        <w:rPr>
          <w:color w:val="000000" w:themeColor="text1"/>
        </w:rPr>
        <w:t>u</w:t>
      </w:r>
      <w:r w:rsidR="007D05AC" w:rsidRPr="00B265DD">
        <w:rPr>
          <w:color w:val="000000" w:themeColor="text1"/>
        </w:rPr>
        <w:t xml:space="preserve">nemployment </w:t>
      </w:r>
      <w:r>
        <w:rPr>
          <w:color w:val="000000" w:themeColor="text1"/>
        </w:rPr>
        <w:t xml:space="preserve">rate </w:t>
      </w:r>
      <w:r w:rsidRPr="00AE7480">
        <w:rPr>
          <w:color w:val="000000" w:themeColor="text1"/>
        </w:rPr>
        <w:t xml:space="preserve">is </w:t>
      </w:r>
      <w:r w:rsidR="00FC3E16" w:rsidRPr="00AE7480">
        <w:rPr>
          <w:color w:val="000000" w:themeColor="text1"/>
        </w:rPr>
        <w:t>7.0</w:t>
      </w:r>
      <w:r w:rsidR="00D74592" w:rsidRPr="00AE7480">
        <w:rPr>
          <w:color w:val="000000" w:themeColor="text1"/>
        </w:rPr>
        <w:t xml:space="preserve"> per cent</w:t>
      </w:r>
      <w:r w:rsidR="00B265DD" w:rsidRPr="00B265DD">
        <w:rPr>
          <w:color w:val="000000" w:themeColor="text1"/>
        </w:rPr>
        <w:t xml:space="preserve"> and has gradually increased since June 2011 (5.9 per cent).</w:t>
      </w:r>
      <w:r>
        <w:rPr>
          <w:rStyle w:val="FootnoteReference"/>
          <w:color w:val="000000" w:themeColor="text1"/>
        </w:rPr>
        <w:footnoteReference w:id="1"/>
      </w:r>
    </w:p>
    <w:p w:rsidR="007D05AC" w:rsidRPr="00725C77" w:rsidRDefault="007C41EF" w:rsidP="00311564">
      <w:pPr>
        <w:pStyle w:val="ListParagraph"/>
        <w:numPr>
          <w:ilvl w:val="0"/>
          <w:numId w:val="27"/>
        </w:numPr>
        <w:spacing w:after="120" w:line="240" w:lineRule="auto"/>
        <w:ind w:left="357" w:hanging="357"/>
        <w:jc w:val="both"/>
      </w:pPr>
      <w:r w:rsidRPr="00311564">
        <w:rPr>
          <w:color w:val="000000" w:themeColor="text1"/>
        </w:rPr>
        <w:t>The working age particip</w:t>
      </w:r>
      <w:r w:rsidR="00D00513" w:rsidRPr="00311564">
        <w:rPr>
          <w:color w:val="000000" w:themeColor="text1"/>
        </w:rPr>
        <w:t>ation rate (72.8 per cent)</w:t>
      </w:r>
      <w:r w:rsidR="00D00513" w:rsidRPr="002B3243">
        <w:rPr>
          <w:color w:val="000000" w:themeColor="text1"/>
          <w:vertAlign w:val="superscript"/>
        </w:rPr>
        <w:footnoteReference w:id="2"/>
      </w:r>
      <w:r w:rsidR="00D00513" w:rsidRPr="00311564">
        <w:rPr>
          <w:color w:val="000000" w:themeColor="text1"/>
        </w:rPr>
        <w:t xml:space="preserve"> is below the national rate </w:t>
      </w:r>
      <w:r w:rsidR="00D00513" w:rsidRPr="00725C77">
        <w:t>(76.5 per cent)</w:t>
      </w:r>
      <w:r w:rsidRPr="00725C77">
        <w:t>.</w:t>
      </w:r>
      <w:r w:rsidR="00D00513" w:rsidRPr="00725C77">
        <w:rPr>
          <w:vertAlign w:val="superscript"/>
        </w:rPr>
        <w:footnoteReference w:id="3"/>
      </w:r>
    </w:p>
    <w:p w:rsidR="006123CB" w:rsidRPr="00725C77" w:rsidRDefault="00E9367D" w:rsidP="00311564">
      <w:pPr>
        <w:pStyle w:val="ListParagraph"/>
        <w:numPr>
          <w:ilvl w:val="0"/>
          <w:numId w:val="27"/>
        </w:numPr>
        <w:spacing w:after="120"/>
        <w:ind w:left="357" w:hanging="357"/>
        <w:jc w:val="both"/>
      </w:pPr>
      <w:r w:rsidRPr="00725C77">
        <w:t xml:space="preserve">While full time employment </w:t>
      </w:r>
      <w:r w:rsidR="000273C2" w:rsidRPr="00725C77">
        <w:t>increase</w:t>
      </w:r>
      <w:r w:rsidR="0074029B" w:rsidRPr="00725C77">
        <w:t>d by 2,9</w:t>
      </w:r>
      <w:r w:rsidRPr="00725C77">
        <w:t>00</w:t>
      </w:r>
      <w:r w:rsidR="005941C1">
        <w:t xml:space="preserve"> in the year to October 2013</w:t>
      </w:r>
      <w:r w:rsidR="00F02783" w:rsidRPr="00725C77">
        <w:t>,</w:t>
      </w:r>
      <w:r w:rsidR="000273C2" w:rsidRPr="00725C77">
        <w:t xml:space="preserve"> </w:t>
      </w:r>
      <w:r w:rsidR="003648F4">
        <w:t>it</w:t>
      </w:r>
      <w:r w:rsidRPr="00725C77">
        <w:t xml:space="preserve"> </w:t>
      </w:r>
      <w:r w:rsidR="0074029B" w:rsidRPr="00725C77">
        <w:t xml:space="preserve">was </w:t>
      </w:r>
      <w:r w:rsidR="00361653" w:rsidRPr="00725C77">
        <w:t xml:space="preserve">largely </w:t>
      </w:r>
      <w:r w:rsidR="0074029B" w:rsidRPr="00725C77">
        <w:t>offset by a loss of 2,400</w:t>
      </w:r>
      <w:r w:rsidR="000273C2" w:rsidRPr="00725C77">
        <w:t xml:space="preserve"> part time jobs.</w:t>
      </w:r>
      <w:r w:rsidR="00D00513" w:rsidRPr="00725C77">
        <w:rPr>
          <w:rStyle w:val="FootnoteReference"/>
        </w:rPr>
        <w:footnoteReference w:id="4"/>
      </w:r>
      <w:r w:rsidR="000273C2" w:rsidRPr="00725C77">
        <w:t xml:space="preserve"> </w:t>
      </w:r>
    </w:p>
    <w:p w:rsidR="00A81858" w:rsidRDefault="00E9367D" w:rsidP="006621E3">
      <w:pPr>
        <w:pStyle w:val="ListParagraph"/>
        <w:numPr>
          <w:ilvl w:val="0"/>
          <w:numId w:val="27"/>
        </w:numPr>
        <w:spacing w:after="60"/>
        <w:ind w:left="357" w:hanging="357"/>
        <w:jc w:val="both"/>
      </w:pPr>
      <w:r>
        <w:t>At the time of the 2011 Census</w:t>
      </w:r>
      <w:r w:rsidR="00182B5F">
        <w:t>,</w:t>
      </w:r>
      <w:r>
        <w:t xml:space="preserve"> the </w:t>
      </w:r>
      <w:r w:rsidR="0021164C" w:rsidRPr="0021164C">
        <w:t xml:space="preserve">Other than Main English Speaking Country </w:t>
      </w:r>
      <w:r w:rsidR="0021164C">
        <w:t>(</w:t>
      </w:r>
      <w:proofErr w:type="spellStart"/>
      <w:r>
        <w:t>OTME</w:t>
      </w:r>
      <w:r w:rsidR="000C16B4">
        <w:t>SC</w:t>
      </w:r>
      <w:proofErr w:type="spellEnd"/>
      <w:r w:rsidR="0021164C">
        <w:t>)</w:t>
      </w:r>
      <w:r w:rsidR="000C16B4">
        <w:t xml:space="preserve"> unemployment rate</w:t>
      </w:r>
      <w:r>
        <w:t xml:space="preserve"> (7.8</w:t>
      </w:r>
      <w:r w:rsidR="005E5950">
        <w:t> </w:t>
      </w:r>
      <w:r>
        <w:t>per cent) was considerably higher than the unemployment rate for people born in Main English Speaking Countries (MESC) (5.3 per cent).</w:t>
      </w:r>
      <w:r w:rsidR="00BD1ECE">
        <w:rPr>
          <w:rStyle w:val="FootnoteReference"/>
        </w:rPr>
        <w:footnoteReference w:id="5"/>
      </w:r>
      <w:r>
        <w:t xml:space="preserve">  </w:t>
      </w:r>
    </w:p>
    <w:tbl>
      <w:tblPr>
        <w:tblStyle w:val="DEEWRTable"/>
        <w:tblW w:w="10740" w:type="dxa"/>
        <w:tblLook w:val="04A0" w:firstRow="1" w:lastRow="0" w:firstColumn="1" w:lastColumn="0" w:noHBand="0" w:noVBand="1"/>
      </w:tblPr>
      <w:tblGrid>
        <w:gridCol w:w="3085"/>
        <w:gridCol w:w="2126"/>
        <w:gridCol w:w="142"/>
        <w:gridCol w:w="1559"/>
        <w:gridCol w:w="1985"/>
        <w:gridCol w:w="1843"/>
      </w:tblGrid>
      <w:tr w:rsidR="00A610D9" w:rsidRPr="007C41EF" w:rsidTr="00284984">
        <w:trPr>
          <w:cnfStyle w:val="100000000000" w:firstRow="1" w:lastRow="0" w:firstColumn="0" w:lastColumn="0" w:oddVBand="0" w:evenVBand="0" w:oddHBand="0" w:evenHBand="0" w:firstRowFirstColumn="0" w:firstRowLastColumn="0" w:lastRowFirstColumn="0" w:lastRowLastColumn="0"/>
          <w:trHeight w:val="516"/>
        </w:trPr>
        <w:tc>
          <w:tcPr>
            <w:tcW w:w="3085" w:type="dxa"/>
            <w:vAlign w:val="center"/>
          </w:tcPr>
          <w:p w:rsidR="00A610D9" w:rsidRPr="007C41EF" w:rsidRDefault="00A610D9" w:rsidP="00B21D09">
            <w:pPr>
              <w:tabs>
                <w:tab w:val="left" w:pos="807"/>
              </w:tabs>
              <w:contextualSpacing/>
              <w:jc w:val="center"/>
              <w:rPr>
                <w:sz w:val="22"/>
              </w:rPr>
            </w:pPr>
            <w:r w:rsidRPr="007C41EF">
              <w:rPr>
                <w:sz w:val="22"/>
              </w:rPr>
              <w:t>Region</w:t>
            </w:r>
          </w:p>
        </w:tc>
        <w:tc>
          <w:tcPr>
            <w:tcW w:w="2126" w:type="dxa"/>
            <w:vAlign w:val="center"/>
          </w:tcPr>
          <w:p w:rsidR="00A610D9" w:rsidRPr="007C41EF" w:rsidRDefault="00CB79F1" w:rsidP="00920533">
            <w:pPr>
              <w:tabs>
                <w:tab w:val="left" w:pos="807"/>
              </w:tabs>
              <w:contextualSpacing/>
              <w:jc w:val="center"/>
              <w:rPr>
                <w:sz w:val="22"/>
              </w:rPr>
            </w:pPr>
            <w:r>
              <w:rPr>
                <w:sz w:val="22"/>
              </w:rPr>
              <w:t xml:space="preserve">Employment Growth </w:t>
            </w:r>
            <w:r>
              <w:rPr>
                <w:sz w:val="22"/>
              </w:rPr>
              <w:br/>
              <w:t>(past year</w:t>
            </w:r>
            <w:r w:rsidR="009C03DE">
              <w:rPr>
                <w:sz w:val="22"/>
              </w:rPr>
              <w:t>)*</w:t>
            </w:r>
          </w:p>
        </w:tc>
        <w:tc>
          <w:tcPr>
            <w:tcW w:w="1701" w:type="dxa"/>
            <w:gridSpan w:val="2"/>
            <w:vAlign w:val="center"/>
          </w:tcPr>
          <w:p w:rsidR="00A610D9" w:rsidRPr="007C41EF" w:rsidRDefault="00284984" w:rsidP="00920533">
            <w:pPr>
              <w:tabs>
                <w:tab w:val="left" w:pos="807"/>
              </w:tabs>
              <w:contextualSpacing/>
              <w:jc w:val="center"/>
              <w:rPr>
                <w:sz w:val="22"/>
              </w:rPr>
            </w:pPr>
            <w:r>
              <w:rPr>
                <w:sz w:val="22"/>
              </w:rPr>
              <w:t>Unemployment Rate</w:t>
            </w:r>
          </w:p>
        </w:tc>
        <w:tc>
          <w:tcPr>
            <w:tcW w:w="1985" w:type="dxa"/>
            <w:vAlign w:val="center"/>
          </w:tcPr>
          <w:p w:rsidR="00A610D9" w:rsidRPr="007C41EF" w:rsidRDefault="00284984" w:rsidP="00D00513">
            <w:pPr>
              <w:tabs>
                <w:tab w:val="left" w:pos="807"/>
              </w:tabs>
              <w:contextualSpacing/>
              <w:jc w:val="center"/>
              <w:rPr>
                <w:sz w:val="22"/>
              </w:rPr>
            </w:pPr>
            <w:r>
              <w:rPr>
                <w:sz w:val="22"/>
              </w:rPr>
              <w:t>Participation Rate</w:t>
            </w:r>
            <w:r w:rsidR="009C03DE">
              <w:rPr>
                <w:sz w:val="22"/>
              </w:rPr>
              <w:t>*</w:t>
            </w:r>
          </w:p>
        </w:tc>
        <w:tc>
          <w:tcPr>
            <w:tcW w:w="1843" w:type="dxa"/>
            <w:vAlign w:val="center"/>
          </w:tcPr>
          <w:p w:rsidR="00A610D9" w:rsidRPr="007C41EF" w:rsidRDefault="00284984" w:rsidP="00920533">
            <w:pPr>
              <w:tabs>
                <w:tab w:val="left" w:pos="807"/>
              </w:tabs>
              <w:contextualSpacing/>
              <w:jc w:val="center"/>
              <w:rPr>
                <w:sz w:val="22"/>
              </w:rPr>
            </w:pPr>
            <w:r>
              <w:rPr>
                <w:sz w:val="22"/>
              </w:rPr>
              <w:t>OTMESC*</w:t>
            </w:r>
          </w:p>
        </w:tc>
      </w:tr>
      <w:tr w:rsidR="00A610D9" w:rsidRPr="007C41EF" w:rsidTr="00284984">
        <w:trPr>
          <w:trHeight w:val="273"/>
        </w:trPr>
        <w:tc>
          <w:tcPr>
            <w:tcW w:w="3085" w:type="dxa"/>
          </w:tcPr>
          <w:p w:rsidR="00A610D9" w:rsidRPr="007C41EF" w:rsidRDefault="00A610D9" w:rsidP="00700CFB">
            <w:pPr>
              <w:tabs>
                <w:tab w:val="left" w:pos="807"/>
              </w:tabs>
              <w:contextualSpacing/>
              <w:jc w:val="center"/>
              <w:rPr>
                <w:color w:val="000000" w:themeColor="text1"/>
                <w:sz w:val="22"/>
              </w:rPr>
            </w:pPr>
            <w:r w:rsidRPr="007C41EF">
              <w:rPr>
                <w:color w:val="000000" w:themeColor="text1"/>
                <w:sz w:val="22"/>
              </w:rPr>
              <w:t>South Eastern Melbourne PEA</w:t>
            </w:r>
          </w:p>
        </w:tc>
        <w:tc>
          <w:tcPr>
            <w:tcW w:w="2126" w:type="dxa"/>
          </w:tcPr>
          <w:p w:rsidR="00A610D9" w:rsidRPr="007C41EF" w:rsidRDefault="0001484D" w:rsidP="00920533">
            <w:pPr>
              <w:tabs>
                <w:tab w:val="left" w:pos="807"/>
              </w:tabs>
              <w:contextualSpacing/>
              <w:jc w:val="center"/>
              <w:rPr>
                <w:sz w:val="22"/>
              </w:rPr>
            </w:pPr>
            <w:r>
              <w:rPr>
                <w:sz w:val="22"/>
              </w:rPr>
              <w:t>0</w:t>
            </w:r>
            <w:r w:rsidR="00A610D9" w:rsidRPr="007C41EF">
              <w:rPr>
                <w:sz w:val="22"/>
              </w:rPr>
              <w:t>%</w:t>
            </w:r>
            <w:r>
              <w:rPr>
                <w:rStyle w:val="FootnoteReference"/>
                <w:sz w:val="22"/>
              </w:rPr>
              <w:footnoteReference w:id="6"/>
            </w:r>
          </w:p>
        </w:tc>
        <w:tc>
          <w:tcPr>
            <w:tcW w:w="1701" w:type="dxa"/>
            <w:gridSpan w:val="2"/>
          </w:tcPr>
          <w:p w:rsidR="00A610D9" w:rsidRPr="00AE7480" w:rsidRDefault="003751E9" w:rsidP="00920533">
            <w:pPr>
              <w:tabs>
                <w:tab w:val="left" w:pos="807"/>
              </w:tabs>
              <w:contextualSpacing/>
              <w:jc w:val="center"/>
              <w:rPr>
                <w:color w:val="000000" w:themeColor="text1"/>
                <w:sz w:val="22"/>
              </w:rPr>
            </w:pPr>
            <w:r w:rsidRPr="00AE7480">
              <w:rPr>
                <w:color w:val="000000" w:themeColor="text1"/>
                <w:sz w:val="22"/>
              </w:rPr>
              <w:t>7.0</w:t>
            </w:r>
            <w:r w:rsidR="00A610D9" w:rsidRPr="00AE7480">
              <w:rPr>
                <w:color w:val="000000" w:themeColor="text1"/>
                <w:sz w:val="22"/>
              </w:rPr>
              <w:t>%</w:t>
            </w:r>
          </w:p>
        </w:tc>
        <w:tc>
          <w:tcPr>
            <w:tcW w:w="1985" w:type="dxa"/>
          </w:tcPr>
          <w:p w:rsidR="00A610D9" w:rsidRPr="007C41EF" w:rsidRDefault="00A610D9" w:rsidP="00D00513">
            <w:pPr>
              <w:tabs>
                <w:tab w:val="left" w:pos="807"/>
              </w:tabs>
              <w:contextualSpacing/>
              <w:jc w:val="center"/>
              <w:rPr>
                <w:sz w:val="22"/>
              </w:rPr>
            </w:pPr>
            <w:r w:rsidRPr="007C41EF">
              <w:rPr>
                <w:sz w:val="22"/>
              </w:rPr>
              <w:t>72.8%</w:t>
            </w:r>
          </w:p>
        </w:tc>
        <w:tc>
          <w:tcPr>
            <w:tcW w:w="1843" w:type="dxa"/>
          </w:tcPr>
          <w:p w:rsidR="00A610D9" w:rsidRPr="007C41EF" w:rsidRDefault="00A610D9" w:rsidP="00920533">
            <w:pPr>
              <w:tabs>
                <w:tab w:val="left" w:pos="807"/>
              </w:tabs>
              <w:contextualSpacing/>
              <w:jc w:val="center"/>
              <w:rPr>
                <w:sz w:val="22"/>
              </w:rPr>
            </w:pPr>
            <w:r w:rsidRPr="007C41EF">
              <w:rPr>
                <w:sz w:val="22"/>
              </w:rPr>
              <w:t>31%</w:t>
            </w:r>
            <w:r w:rsidR="0021164C" w:rsidRPr="0021164C">
              <w:rPr>
                <w:sz w:val="22"/>
                <w:vertAlign w:val="superscript"/>
              </w:rPr>
              <w:footnoteReference w:id="7"/>
            </w:r>
          </w:p>
        </w:tc>
      </w:tr>
      <w:tr w:rsidR="00A610D9" w:rsidRPr="007C41EF" w:rsidTr="00284984">
        <w:trPr>
          <w:cnfStyle w:val="000000010000" w:firstRow="0" w:lastRow="0" w:firstColumn="0" w:lastColumn="0" w:oddVBand="0" w:evenVBand="0" w:oddHBand="0" w:evenHBand="1" w:firstRowFirstColumn="0" w:firstRowLastColumn="0" w:lastRowFirstColumn="0" w:lastRowLastColumn="0"/>
          <w:trHeight w:val="260"/>
        </w:trPr>
        <w:tc>
          <w:tcPr>
            <w:tcW w:w="3085" w:type="dxa"/>
          </w:tcPr>
          <w:p w:rsidR="00A610D9" w:rsidRPr="007C41EF" w:rsidRDefault="00A610D9" w:rsidP="00700CFB">
            <w:pPr>
              <w:tabs>
                <w:tab w:val="left" w:pos="807"/>
              </w:tabs>
              <w:contextualSpacing/>
              <w:jc w:val="center"/>
              <w:rPr>
                <w:color w:val="000000" w:themeColor="text1"/>
                <w:sz w:val="22"/>
              </w:rPr>
            </w:pPr>
            <w:r w:rsidRPr="007C41EF">
              <w:rPr>
                <w:color w:val="000000" w:themeColor="text1"/>
                <w:sz w:val="22"/>
              </w:rPr>
              <w:t>Australia</w:t>
            </w:r>
          </w:p>
        </w:tc>
        <w:tc>
          <w:tcPr>
            <w:tcW w:w="2126" w:type="dxa"/>
          </w:tcPr>
          <w:p w:rsidR="00A610D9" w:rsidRPr="007C41EF" w:rsidRDefault="00C448BA" w:rsidP="00920533">
            <w:pPr>
              <w:tabs>
                <w:tab w:val="left" w:pos="807"/>
              </w:tabs>
              <w:contextualSpacing/>
              <w:jc w:val="center"/>
              <w:rPr>
                <w:sz w:val="22"/>
              </w:rPr>
            </w:pPr>
            <w:r>
              <w:rPr>
                <w:sz w:val="22"/>
              </w:rPr>
              <w:t>1</w:t>
            </w:r>
            <w:r w:rsidR="00A610D9" w:rsidRPr="007C41EF">
              <w:rPr>
                <w:sz w:val="22"/>
              </w:rPr>
              <w:t>%</w:t>
            </w:r>
          </w:p>
        </w:tc>
        <w:tc>
          <w:tcPr>
            <w:tcW w:w="1701" w:type="dxa"/>
            <w:gridSpan w:val="2"/>
          </w:tcPr>
          <w:p w:rsidR="00A610D9" w:rsidRPr="00AE7480" w:rsidRDefault="00AE7480" w:rsidP="00D00513">
            <w:pPr>
              <w:tabs>
                <w:tab w:val="left" w:pos="807"/>
              </w:tabs>
              <w:contextualSpacing/>
              <w:jc w:val="center"/>
              <w:rPr>
                <w:color w:val="000000" w:themeColor="text1"/>
                <w:sz w:val="22"/>
              </w:rPr>
            </w:pPr>
            <w:r>
              <w:rPr>
                <w:color w:val="000000" w:themeColor="text1"/>
                <w:sz w:val="22"/>
              </w:rPr>
              <w:t xml:space="preserve"> </w:t>
            </w:r>
            <w:bookmarkStart w:id="0" w:name="_GoBack"/>
            <w:bookmarkEnd w:id="0"/>
            <w:r w:rsidR="003931DB" w:rsidRPr="00AE7480">
              <w:rPr>
                <w:color w:val="000000" w:themeColor="text1"/>
                <w:sz w:val="22"/>
              </w:rPr>
              <w:t>5.8</w:t>
            </w:r>
            <w:r w:rsidR="00A610D9" w:rsidRPr="00AE7480">
              <w:rPr>
                <w:color w:val="000000" w:themeColor="text1"/>
                <w:sz w:val="22"/>
              </w:rPr>
              <w:t>%</w:t>
            </w:r>
            <w:r w:rsidR="0084508F" w:rsidRPr="00AE7480">
              <w:rPr>
                <w:rStyle w:val="FootnoteReference"/>
                <w:color w:val="000000" w:themeColor="text1"/>
                <w:sz w:val="22"/>
              </w:rPr>
              <w:footnoteReference w:id="8"/>
            </w:r>
          </w:p>
        </w:tc>
        <w:tc>
          <w:tcPr>
            <w:tcW w:w="1985" w:type="dxa"/>
          </w:tcPr>
          <w:p w:rsidR="00A610D9" w:rsidRPr="007C41EF" w:rsidRDefault="00A610D9" w:rsidP="00920533">
            <w:pPr>
              <w:tabs>
                <w:tab w:val="left" w:pos="807"/>
              </w:tabs>
              <w:contextualSpacing/>
              <w:jc w:val="center"/>
              <w:rPr>
                <w:sz w:val="22"/>
              </w:rPr>
            </w:pPr>
            <w:r w:rsidRPr="007C41EF">
              <w:rPr>
                <w:sz w:val="22"/>
              </w:rPr>
              <w:t>76.5%</w:t>
            </w:r>
          </w:p>
        </w:tc>
        <w:tc>
          <w:tcPr>
            <w:tcW w:w="1843" w:type="dxa"/>
          </w:tcPr>
          <w:p w:rsidR="00A610D9" w:rsidRPr="007C41EF" w:rsidRDefault="00A610D9" w:rsidP="00920533">
            <w:pPr>
              <w:tabs>
                <w:tab w:val="left" w:pos="807"/>
              </w:tabs>
              <w:contextualSpacing/>
              <w:jc w:val="center"/>
              <w:rPr>
                <w:sz w:val="22"/>
              </w:rPr>
            </w:pPr>
            <w:r w:rsidRPr="007C41EF">
              <w:rPr>
                <w:sz w:val="22"/>
              </w:rPr>
              <w:t>19%</w:t>
            </w:r>
          </w:p>
        </w:tc>
      </w:tr>
      <w:tr w:rsidR="00A610D9" w:rsidRPr="007C41EF" w:rsidTr="0049127B">
        <w:trPr>
          <w:gridAfter w:val="3"/>
          <w:wAfter w:w="5387" w:type="dxa"/>
          <w:trHeight w:val="260"/>
        </w:trPr>
        <w:tc>
          <w:tcPr>
            <w:tcW w:w="5353" w:type="dxa"/>
            <w:gridSpan w:val="3"/>
          </w:tcPr>
          <w:p w:rsidR="00A610D9" w:rsidRDefault="009C03DE" w:rsidP="00A610D9">
            <w:pPr>
              <w:tabs>
                <w:tab w:val="left" w:pos="807"/>
              </w:tabs>
              <w:rPr>
                <w:sz w:val="18"/>
                <w:szCs w:val="18"/>
              </w:rPr>
            </w:pPr>
            <w:r>
              <w:rPr>
                <w:sz w:val="18"/>
                <w:szCs w:val="18"/>
              </w:rPr>
              <w:t>*</w:t>
            </w:r>
            <w:r w:rsidR="00A610D9" w:rsidRPr="007C41EF">
              <w:rPr>
                <w:sz w:val="18"/>
                <w:szCs w:val="18"/>
              </w:rPr>
              <w:t>working age population (15-64 years old)</w:t>
            </w:r>
          </w:p>
        </w:tc>
      </w:tr>
    </w:tbl>
    <w:p w:rsidR="00C04021" w:rsidRPr="00096C35" w:rsidRDefault="00D04991" w:rsidP="00D923FC">
      <w:pPr>
        <w:pStyle w:val="Heading1"/>
        <w:spacing w:before="60" w:after="120" w:line="20" w:lineRule="atLeast"/>
        <w:rPr>
          <w:color w:val="auto"/>
          <w:sz w:val="28"/>
          <w:szCs w:val="30"/>
        </w:rPr>
      </w:pPr>
      <w:r w:rsidRPr="00237162">
        <w:rPr>
          <w:bCs w:val="0"/>
          <w:color w:val="336600"/>
          <w:spacing w:val="5"/>
          <w:sz w:val="28"/>
        </w:rPr>
        <w:t>What employers are telling us</w:t>
      </w:r>
      <w:r w:rsidR="003A24F3" w:rsidRPr="00237162">
        <w:rPr>
          <w:rStyle w:val="FootnoteReference"/>
          <w:color w:val="4F6228" w:themeColor="accent3" w:themeShade="80"/>
          <w:sz w:val="28"/>
          <w:szCs w:val="30"/>
        </w:rPr>
        <w:footnoteReference w:id="9"/>
      </w:r>
    </w:p>
    <w:p w:rsidR="007C65FC" w:rsidRPr="00F96748" w:rsidRDefault="004E7BB5" w:rsidP="007C65FC">
      <w:pPr>
        <w:pStyle w:val="ListParagraph"/>
        <w:numPr>
          <w:ilvl w:val="0"/>
          <w:numId w:val="27"/>
        </w:numPr>
        <w:spacing w:before="120" w:after="0" w:line="264" w:lineRule="auto"/>
        <w:jc w:val="both"/>
        <w:rPr>
          <w:rFonts w:eastAsiaTheme="majorEastAsia" w:cstheme="minorHAnsi"/>
          <w:b/>
          <w:bCs/>
          <w:sz w:val="28"/>
          <w:szCs w:val="30"/>
        </w:rPr>
      </w:pPr>
      <w:r w:rsidRPr="003745D1">
        <w:rPr>
          <w:rFonts w:eastAsiaTheme="majorEastAsia" w:cstheme="minorHAnsi"/>
          <w:bCs/>
        </w:rPr>
        <w:t xml:space="preserve">Recruitment activity </w:t>
      </w:r>
      <w:r w:rsidR="00851007" w:rsidRPr="003745D1">
        <w:rPr>
          <w:rFonts w:eastAsiaTheme="majorEastAsia" w:cstheme="minorHAnsi"/>
          <w:bCs/>
        </w:rPr>
        <w:t>was relatively</w:t>
      </w:r>
      <w:r w:rsidR="00D9431E">
        <w:rPr>
          <w:rFonts w:eastAsiaTheme="majorEastAsia" w:cstheme="minorHAnsi"/>
          <w:bCs/>
        </w:rPr>
        <w:t xml:space="preserve"> soft </w:t>
      </w:r>
      <w:r w:rsidR="003A43B4">
        <w:rPr>
          <w:rFonts w:eastAsiaTheme="majorEastAsia" w:cstheme="minorHAnsi"/>
          <w:bCs/>
        </w:rPr>
        <w:t xml:space="preserve">with </w:t>
      </w:r>
      <w:r w:rsidR="00D9431E">
        <w:rPr>
          <w:rFonts w:eastAsiaTheme="majorEastAsia" w:cstheme="minorHAnsi"/>
          <w:bCs/>
        </w:rPr>
        <w:t>50 per cent of surveyed employers recruiting in the past year. This was considerably lower tha</w:t>
      </w:r>
      <w:r w:rsidR="00311564">
        <w:rPr>
          <w:rFonts w:eastAsiaTheme="majorEastAsia" w:cstheme="minorHAnsi"/>
          <w:bCs/>
        </w:rPr>
        <w:t xml:space="preserve">n </w:t>
      </w:r>
      <w:r w:rsidR="00F02783">
        <w:rPr>
          <w:rFonts w:eastAsiaTheme="majorEastAsia" w:cstheme="minorHAnsi"/>
          <w:bCs/>
        </w:rPr>
        <w:t>the previous survey</w:t>
      </w:r>
      <w:r w:rsidR="00311564">
        <w:rPr>
          <w:rFonts w:eastAsiaTheme="majorEastAsia" w:cstheme="minorHAnsi"/>
          <w:bCs/>
        </w:rPr>
        <w:t xml:space="preserve"> in </w:t>
      </w:r>
      <w:r w:rsidR="00D9431E">
        <w:rPr>
          <w:rFonts w:eastAsiaTheme="majorEastAsia" w:cstheme="minorHAnsi"/>
          <w:bCs/>
        </w:rPr>
        <w:t>2012</w:t>
      </w:r>
      <w:r w:rsidR="00F02783">
        <w:rPr>
          <w:rFonts w:eastAsiaTheme="majorEastAsia" w:cstheme="minorHAnsi"/>
          <w:bCs/>
        </w:rPr>
        <w:t xml:space="preserve"> (60 per cent)</w:t>
      </w:r>
      <w:r w:rsidR="00D9431E">
        <w:rPr>
          <w:rFonts w:eastAsiaTheme="majorEastAsia" w:cstheme="minorHAnsi"/>
          <w:bCs/>
        </w:rPr>
        <w:t>.</w:t>
      </w:r>
      <w:r w:rsidR="00DF31C6" w:rsidRPr="00DF31C6">
        <w:rPr>
          <w:noProof/>
          <w:lang w:eastAsia="en-AU"/>
        </w:rPr>
        <w:t xml:space="preserve"> </w:t>
      </w:r>
    </w:p>
    <w:p w:rsidR="00F96748" w:rsidRPr="003745D1" w:rsidRDefault="00784067" w:rsidP="007C65FC">
      <w:pPr>
        <w:pStyle w:val="ListParagraph"/>
        <w:numPr>
          <w:ilvl w:val="0"/>
          <w:numId w:val="27"/>
        </w:numPr>
        <w:spacing w:before="120" w:after="0" w:line="264" w:lineRule="auto"/>
        <w:jc w:val="both"/>
        <w:rPr>
          <w:rFonts w:eastAsiaTheme="majorEastAsia" w:cstheme="minorHAnsi"/>
          <w:b/>
          <w:bCs/>
          <w:sz w:val="28"/>
          <w:szCs w:val="30"/>
        </w:rPr>
      </w:pPr>
      <w:r>
        <w:rPr>
          <w:noProof/>
          <w:lang w:eastAsia="en-AU"/>
        </w:rPr>
        <w:drawing>
          <wp:anchor distT="0" distB="0" distL="114300" distR="114300" simplePos="0" relativeHeight="251666432" behindDoc="1" locked="0" layoutInCell="1" allowOverlap="1" wp14:anchorId="47F09D54" wp14:editId="74D089FC">
            <wp:simplePos x="0" y="0"/>
            <wp:positionH relativeFrom="column">
              <wp:posOffset>4314190</wp:posOffset>
            </wp:positionH>
            <wp:positionV relativeFrom="paragraph">
              <wp:posOffset>480060</wp:posOffset>
            </wp:positionV>
            <wp:extent cx="2541905" cy="2230755"/>
            <wp:effectExtent l="0" t="0" r="10795" b="17145"/>
            <wp:wrapTight wrapText="bothSides">
              <wp:wrapPolygon edited="0">
                <wp:start x="0" y="0"/>
                <wp:lineTo x="0" y="21582"/>
                <wp:lineTo x="21530" y="21582"/>
                <wp:lineTo x="21530"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F96748">
        <w:rPr>
          <w:noProof/>
          <w:lang w:eastAsia="en-AU"/>
        </w:rPr>
        <w:t>Recruitment a</w:t>
      </w:r>
      <w:r w:rsidR="00AC7396">
        <w:rPr>
          <w:noProof/>
          <w:lang w:eastAsia="en-AU"/>
        </w:rPr>
        <w:t>ctivity varied considerably acro</w:t>
      </w:r>
      <w:r w:rsidR="00F96748">
        <w:rPr>
          <w:noProof/>
          <w:lang w:eastAsia="en-AU"/>
        </w:rPr>
        <w:t>ss industries with only 38 per cent of employers in the Construction indus</w:t>
      </w:r>
      <w:r w:rsidR="0071482C">
        <w:rPr>
          <w:noProof/>
          <w:lang w:eastAsia="en-AU"/>
        </w:rPr>
        <w:t>try recruiting</w:t>
      </w:r>
      <w:r w:rsidR="007F3949">
        <w:rPr>
          <w:noProof/>
          <w:lang w:eastAsia="en-AU"/>
        </w:rPr>
        <w:t>,</w:t>
      </w:r>
      <w:r w:rsidR="0071482C">
        <w:rPr>
          <w:noProof/>
          <w:lang w:eastAsia="en-AU"/>
        </w:rPr>
        <w:t xml:space="preserve"> compared with 73 per cent in the Accommodation and Food Services</w:t>
      </w:r>
      <w:r w:rsidR="00F96748">
        <w:rPr>
          <w:noProof/>
          <w:lang w:eastAsia="en-AU"/>
        </w:rPr>
        <w:t xml:space="preserve"> industry</w:t>
      </w:r>
      <w:r w:rsidR="00CE1391">
        <w:rPr>
          <w:rStyle w:val="FootnoteReference"/>
          <w:noProof/>
          <w:lang w:eastAsia="en-AU"/>
        </w:rPr>
        <w:footnoteReference w:id="10"/>
      </w:r>
      <w:r w:rsidR="00724E66">
        <w:rPr>
          <w:noProof/>
          <w:lang w:eastAsia="en-AU"/>
        </w:rPr>
        <w:t xml:space="preserve"> an</w:t>
      </w:r>
      <w:r>
        <w:rPr>
          <w:noProof/>
          <w:lang w:eastAsia="en-AU"/>
        </w:rPr>
        <w:t>d 68 per cent in the</w:t>
      </w:r>
      <w:r w:rsidR="00724E66">
        <w:rPr>
          <w:noProof/>
          <w:lang w:eastAsia="en-AU"/>
        </w:rPr>
        <w:t xml:space="preserve"> Health Care and Social Assistance industry</w:t>
      </w:r>
      <w:r w:rsidR="00F96748">
        <w:rPr>
          <w:noProof/>
          <w:lang w:eastAsia="en-AU"/>
        </w:rPr>
        <w:t>.</w:t>
      </w:r>
    </w:p>
    <w:p w:rsidR="000C096D" w:rsidRPr="00784067" w:rsidRDefault="00724E66" w:rsidP="00784067">
      <w:pPr>
        <w:pStyle w:val="ListParagraph"/>
        <w:numPr>
          <w:ilvl w:val="0"/>
          <w:numId w:val="27"/>
        </w:numPr>
        <w:spacing w:before="120" w:after="0" w:line="264" w:lineRule="auto"/>
        <w:jc w:val="both"/>
        <w:rPr>
          <w:rFonts w:eastAsiaTheme="majorEastAsia" w:cstheme="minorHAnsi"/>
          <w:b/>
          <w:bCs/>
          <w:sz w:val="28"/>
          <w:szCs w:val="30"/>
        </w:rPr>
      </w:pPr>
      <w:r>
        <w:rPr>
          <w:rFonts w:cstheme="minorHAnsi"/>
        </w:rPr>
        <w:t>C</w:t>
      </w:r>
      <w:r w:rsidR="000C096D" w:rsidRPr="003745D1">
        <w:rPr>
          <w:rFonts w:cstheme="minorHAnsi"/>
        </w:rPr>
        <w:t>omp</w:t>
      </w:r>
      <w:r w:rsidR="00784067">
        <w:rPr>
          <w:rFonts w:cstheme="minorHAnsi"/>
        </w:rPr>
        <w:t xml:space="preserve">etition for vacancies was high with an </w:t>
      </w:r>
      <w:r w:rsidR="000C096D" w:rsidRPr="00784067">
        <w:rPr>
          <w:rFonts w:cstheme="minorHAnsi"/>
        </w:rPr>
        <w:t xml:space="preserve">average </w:t>
      </w:r>
      <w:r w:rsidR="00784067">
        <w:rPr>
          <w:rFonts w:cstheme="minorHAnsi"/>
        </w:rPr>
        <w:t>of</w:t>
      </w:r>
      <w:r w:rsidR="00A81858" w:rsidRPr="00784067">
        <w:rPr>
          <w:rFonts w:cstheme="minorHAnsi"/>
        </w:rPr>
        <w:t xml:space="preserve"> </w:t>
      </w:r>
      <w:r w:rsidR="000C096D" w:rsidRPr="00784067">
        <w:rPr>
          <w:rFonts w:cstheme="minorHAnsi"/>
        </w:rPr>
        <w:t>13.5 applicants p</w:t>
      </w:r>
      <w:r w:rsidR="00784067">
        <w:rPr>
          <w:rFonts w:cstheme="minorHAnsi"/>
        </w:rPr>
        <w:t xml:space="preserve">er vacancy, of whom </w:t>
      </w:r>
      <w:r w:rsidR="009C6F3F" w:rsidRPr="00784067">
        <w:rPr>
          <w:rFonts w:cstheme="minorHAnsi"/>
        </w:rPr>
        <w:t xml:space="preserve">1.5 </w:t>
      </w:r>
      <w:r w:rsidR="000C096D" w:rsidRPr="00784067">
        <w:rPr>
          <w:rFonts w:cstheme="minorHAnsi"/>
        </w:rPr>
        <w:t xml:space="preserve">were considered suitable. </w:t>
      </w:r>
    </w:p>
    <w:p w:rsidR="002B3243" w:rsidRPr="002B3243" w:rsidRDefault="002B3243" w:rsidP="002B3243">
      <w:pPr>
        <w:pStyle w:val="ListParagraph"/>
        <w:numPr>
          <w:ilvl w:val="0"/>
          <w:numId w:val="27"/>
        </w:numPr>
        <w:spacing w:before="120" w:after="0" w:line="264" w:lineRule="auto"/>
        <w:jc w:val="both"/>
        <w:rPr>
          <w:rFonts w:eastAsiaTheme="majorEastAsia" w:cstheme="minorHAnsi"/>
          <w:b/>
          <w:bCs/>
          <w:sz w:val="28"/>
          <w:szCs w:val="30"/>
        </w:rPr>
      </w:pPr>
      <w:r>
        <w:rPr>
          <w:rFonts w:cstheme="minorHAnsi"/>
        </w:rPr>
        <w:t xml:space="preserve">Some 78 per cent of job </w:t>
      </w:r>
      <w:r w:rsidR="00A81858">
        <w:rPr>
          <w:rFonts w:cstheme="minorHAnsi"/>
        </w:rPr>
        <w:t>applicants were not interviewed</w:t>
      </w:r>
      <w:r w:rsidR="00F76304">
        <w:rPr>
          <w:rFonts w:cstheme="minorHAnsi"/>
        </w:rPr>
        <w:t>,</w:t>
      </w:r>
      <w:r w:rsidR="00A81858">
        <w:rPr>
          <w:rFonts w:cstheme="minorHAnsi"/>
        </w:rPr>
        <w:t xml:space="preserve"> due mainly to </w:t>
      </w:r>
      <w:r>
        <w:rPr>
          <w:rFonts w:cstheme="minorHAnsi"/>
        </w:rPr>
        <w:t>a lack of re</w:t>
      </w:r>
      <w:r w:rsidR="00F76304">
        <w:rPr>
          <w:rFonts w:cstheme="minorHAnsi"/>
        </w:rPr>
        <w:t>levant experience (61 per cent)</w:t>
      </w:r>
      <w:r>
        <w:rPr>
          <w:rFonts w:cstheme="minorHAnsi"/>
        </w:rPr>
        <w:t xml:space="preserve"> and insufficient qualifications or training (24 per cent).</w:t>
      </w:r>
    </w:p>
    <w:p w:rsidR="001270E9" w:rsidRPr="00AC7396" w:rsidRDefault="004B69A6" w:rsidP="00AC7396">
      <w:pPr>
        <w:pStyle w:val="ListParagraph"/>
        <w:numPr>
          <w:ilvl w:val="0"/>
          <w:numId w:val="27"/>
        </w:numPr>
        <w:spacing w:before="120" w:after="0" w:line="264" w:lineRule="auto"/>
        <w:jc w:val="both"/>
        <w:rPr>
          <w:rFonts w:eastAsiaTheme="majorEastAsia" w:cstheme="minorHAnsi"/>
          <w:b/>
          <w:bCs/>
          <w:sz w:val="28"/>
          <w:szCs w:val="30"/>
        </w:rPr>
      </w:pPr>
      <w:r>
        <w:rPr>
          <w:rFonts w:cstheme="minorHAnsi"/>
        </w:rPr>
        <w:t xml:space="preserve">Despite </w:t>
      </w:r>
      <w:r w:rsidR="00A81858">
        <w:rPr>
          <w:rFonts w:cstheme="minorHAnsi"/>
        </w:rPr>
        <w:t>the high average number of applicants</w:t>
      </w:r>
      <w:r>
        <w:rPr>
          <w:rFonts w:cstheme="minorHAnsi"/>
        </w:rPr>
        <w:t xml:space="preserve">, </w:t>
      </w:r>
      <w:r w:rsidR="00A81858">
        <w:rPr>
          <w:rFonts w:cstheme="minorHAnsi"/>
        </w:rPr>
        <w:t>4</w:t>
      </w:r>
      <w:r w:rsidR="002B3243">
        <w:rPr>
          <w:rFonts w:cstheme="minorHAnsi"/>
        </w:rPr>
        <w:t>.5 per cent</w:t>
      </w:r>
      <w:r w:rsidR="00A81858">
        <w:rPr>
          <w:rFonts w:cstheme="minorHAnsi"/>
        </w:rPr>
        <w:t xml:space="preserve"> of vacancies remained unfilled</w:t>
      </w:r>
      <w:r w:rsidR="002B3243">
        <w:rPr>
          <w:rFonts w:cstheme="minorHAnsi"/>
        </w:rPr>
        <w:t>.</w:t>
      </w:r>
    </w:p>
    <w:p w:rsidR="002B3243" w:rsidRPr="000B0BD0" w:rsidRDefault="007F3949" w:rsidP="006621E3">
      <w:pPr>
        <w:pStyle w:val="ListParagraph"/>
        <w:numPr>
          <w:ilvl w:val="0"/>
          <w:numId w:val="27"/>
        </w:numPr>
        <w:spacing w:before="120" w:after="0" w:line="264" w:lineRule="auto"/>
        <w:ind w:left="357" w:hanging="357"/>
        <w:jc w:val="both"/>
        <w:rPr>
          <w:rFonts w:eastAsiaTheme="majorEastAsia" w:cstheme="minorHAnsi"/>
          <w:bCs/>
        </w:rPr>
      </w:pPr>
      <w:r>
        <w:rPr>
          <w:rFonts w:eastAsiaTheme="majorEastAsia" w:cstheme="minorHAnsi"/>
          <w:bCs/>
        </w:rPr>
        <w:t>Some</w:t>
      </w:r>
      <w:r w:rsidR="00CB5A8F" w:rsidRPr="003745D1">
        <w:rPr>
          <w:rFonts w:eastAsiaTheme="majorEastAsia" w:cstheme="minorHAnsi"/>
          <w:bCs/>
        </w:rPr>
        <w:t xml:space="preserve"> 3</w:t>
      </w:r>
      <w:r w:rsidR="001270E9" w:rsidRPr="003745D1">
        <w:rPr>
          <w:rFonts w:eastAsiaTheme="majorEastAsia" w:cstheme="minorHAnsi"/>
          <w:bCs/>
        </w:rPr>
        <w:t>1</w:t>
      </w:r>
      <w:r w:rsidR="00CB5A8F" w:rsidRPr="003745D1">
        <w:rPr>
          <w:rFonts w:eastAsiaTheme="majorEastAsia" w:cstheme="minorHAnsi"/>
          <w:bCs/>
        </w:rPr>
        <w:t xml:space="preserve"> per cent of employers expected to recruit in the year following the </w:t>
      </w:r>
      <w:r w:rsidR="00490D1C">
        <w:rPr>
          <w:rFonts w:eastAsiaTheme="majorEastAsia" w:cstheme="minorHAnsi"/>
          <w:bCs/>
        </w:rPr>
        <w:t>survey, compared with 42 per ce</w:t>
      </w:r>
      <w:r w:rsidR="00F35CE0">
        <w:rPr>
          <w:rFonts w:eastAsiaTheme="majorEastAsia" w:cstheme="minorHAnsi"/>
          <w:bCs/>
        </w:rPr>
        <w:t>nt across all regions</w:t>
      </w:r>
      <w:r w:rsidR="000B0BD0">
        <w:rPr>
          <w:rFonts w:eastAsiaTheme="majorEastAsia" w:cstheme="minorHAnsi"/>
          <w:bCs/>
        </w:rPr>
        <w:t>.</w:t>
      </w:r>
    </w:p>
    <w:p w:rsidR="00AF1447" w:rsidRPr="00237162" w:rsidRDefault="00AF1447" w:rsidP="00784067">
      <w:pPr>
        <w:pStyle w:val="Heading1"/>
        <w:spacing w:before="180" w:after="120" w:line="20" w:lineRule="atLeast"/>
        <w:rPr>
          <w:bCs w:val="0"/>
          <w:color w:val="336600"/>
          <w:spacing w:val="5"/>
          <w:sz w:val="28"/>
        </w:rPr>
      </w:pPr>
      <w:r w:rsidRPr="00237162">
        <w:rPr>
          <w:bCs w:val="0"/>
          <w:color w:val="336600"/>
          <w:spacing w:val="5"/>
          <w:sz w:val="28"/>
        </w:rPr>
        <w:t>Where are the opportunities?</w:t>
      </w:r>
    </w:p>
    <w:p w:rsidR="00BC5774" w:rsidRPr="002F3DFB" w:rsidRDefault="00AF1447" w:rsidP="005F766E">
      <w:pPr>
        <w:pStyle w:val="ListBullet2"/>
        <w:numPr>
          <w:ilvl w:val="0"/>
          <w:numId w:val="0"/>
        </w:numPr>
        <w:spacing w:after="0" w:line="264" w:lineRule="auto"/>
        <w:jc w:val="both"/>
      </w:pPr>
      <w:r w:rsidRPr="002F3DFB">
        <w:t>Recruitment activity in the Accommodation and Food Services industry was high, with employers expecting to recruit for occupations such as W</w:t>
      </w:r>
      <w:r w:rsidR="00E9367D">
        <w:t>aiters and Cooks. E</w:t>
      </w:r>
      <w:r w:rsidRPr="002F3DFB">
        <w:t xml:space="preserve">mployers </w:t>
      </w:r>
      <w:r w:rsidR="00E9367D">
        <w:t xml:space="preserve">also </w:t>
      </w:r>
      <w:r w:rsidR="00656489">
        <w:t xml:space="preserve">expect to recruit for a range of other occupations </w:t>
      </w:r>
      <w:r w:rsidR="0022609D">
        <w:t>in the next 12 months</w:t>
      </w:r>
      <w:r w:rsidR="00E9367D">
        <w:t xml:space="preserve">, </w:t>
      </w:r>
      <w:r w:rsidR="00656489">
        <w:t xml:space="preserve">including Sales Assistants, </w:t>
      </w:r>
      <w:r w:rsidRPr="002F3DFB">
        <w:t xml:space="preserve">General Clerks, </w:t>
      </w:r>
      <w:r w:rsidR="00656489">
        <w:t xml:space="preserve">Sales Representatives, </w:t>
      </w:r>
      <w:r w:rsidRPr="002F3DFB">
        <w:t>Child</w:t>
      </w:r>
      <w:r w:rsidR="00F35CE0">
        <w:t xml:space="preserve"> Carers and Registered Nurses.</w:t>
      </w:r>
    </w:p>
    <w:sectPr w:rsidR="00BC5774" w:rsidRPr="002F3DFB" w:rsidSect="00BD1ECE">
      <w:type w:val="continuous"/>
      <w:pgSz w:w="11906" w:h="16838"/>
      <w:pgMar w:top="720" w:right="624" w:bottom="720" w:left="624" w:header="709" w:footer="71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49C8" w:rsidRDefault="007349C8" w:rsidP="007349C8">
      <w:pPr>
        <w:spacing w:after="0" w:line="240" w:lineRule="auto"/>
      </w:pPr>
      <w:r>
        <w:separator/>
      </w:r>
    </w:p>
  </w:endnote>
  <w:endnote w:type="continuationSeparator" w:id="0">
    <w:p w:rsidR="007349C8" w:rsidRDefault="007349C8" w:rsidP="007349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49C8" w:rsidRDefault="007349C8" w:rsidP="007349C8">
      <w:pPr>
        <w:spacing w:after="0" w:line="240" w:lineRule="auto"/>
      </w:pPr>
      <w:r>
        <w:separator/>
      </w:r>
    </w:p>
  </w:footnote>
  <w:footnote w:type="continuationSeparator" w:id="0">
    <w:p w:rsidR="007349C8" w:rsidRDefault="007349C8" w:rsidP="007349C8">
      <w:pPr>
        <w:spacing w:after="0" w:line="240" w:lineRule="auto"/>
      </w:pPr>
      <w:r>
        <w:continuationSeparator/>
      </w:r>
    </w:p>
  </w:footnote>
  <w:footnote w:id="1">
    <w:p w:rsidR="00D00513" w:rsidRPr="0084508F" w:rsidRDefault="00D00513">
      <w:pPr>
        <w:pStyle w:val="FootnoteText"/>
        <w:rPr>
          <w:rFonts w:asciiTheme="minorHAnsi" w:hAnsiTheme="minorHAnsi" w:cstheme="minorHAnsi"/>
          <w:sz w:val="16"/>
          <w:szCs w:val="16"/>
        </w:rPr>
      </w:pPr>
      <w:r w:rsidRPr="0084508F">
        <w:rPr>
          <w:rStyle w:val="FootnoteReference"/>
          <w:rFonts w:asciiTheme="minorHAnsi" w:hAnsiTheme="minorHAnsi" w:cstheme="minorHAnsi"/>
          <w:sz w:val="16"/>
          <w:szCs w:val="16"/>
        </w:rPr>
        <w:footnoteRef/>
      </w:r>
      <w:r w:rsidRPr="0084508F">
        <w:rPr>
          <w:rFonts w:asciiTheme="minorHAnsi" w:hAnsiTheme="minorHAnsi" w:cstheme="minorHAnsi"/>
          <w:sz w:val="16"/>
          <w:szCs w:val="16"/>
        </w:rPr>
        <w:t xml:space="preserve"> </w:t>
      </w:r>
      <w:r w:rsidR="00D74592" w:rsidRPr="0084508F">
        <w:rPr>
          <w:rFonts w:asciiTheme="minorHAnsi" w:hAnsiTheme="minorHAnsi" w:cstheme="minorHAnsi"/>
          <w:sz w:val="16"/>
          <w:szCs w:val="16"/>
        </w:rPr>
        <w:t>D</w:t>
      </w:r>
      <w:r w:rsidR="00D223C3">
        <w:rPr>
          <w:rFonts w:asciiTheme="minorHAnsi" w:hAnsiTheme="minorHAnsi" w:cstheme="minorHAnsi"/>
          <w:sz w:val="16"/>
          <w:szCs w:val="16"/>
        </w:rPr>
        <w:t>epartment of Employment</w:t>
      </w:r>
      <w:r w:rsidR="00D74592" w:rsidRPr="0084508F">
        <w:rPr>
          <w:rFonts w:asciiTheme="minorHAnsi" w:hAnsiTheme="minorHAnsi" w:cstheme="minorHAnsi"/>
          <w:sz w:val="16"/>
          <w:szCs w:val="16"/>
        </w:rPr>
        <w:t>, Small Area L</w:t>
      </w:r>
      <w:r w:rsidR="00FC3E16">
        <w:rPr>
          <w:rFonts w:asciiTheme="minorHAnsi" w:hAnsiTheme="minorHAnsi" w:cstheme="minorHAnsi"/>
          <w:sz w:val="16"/>
          <w:szCs w:val="16"/>
        </w:rPr>
        <w:t>abour Markets, September</w:t>
      </w:r>
      <w:r w:rsidR="00D74592" w:rsidRPr="0084508F">
        <w:rPr>
          <w:rFonts w:asciiTheme="minorHAnsi" w:hAnsiTheme="minorHAnsi" w:cstheme="minorHAnsi"/>
          <w:sz w:val="16"/>
          <w:szCs w:val="16"/>
        </w:rPr>
        <w:t xml:space="preserve"> 2013.</w:t>
      </w:r>
    </w:p>
  </w:footnote>
  <w:footnote w:id="2">
    <w:p w:rsidR="00D00513" w:rsidRPr="0084508F" w:rsidRDefault="00D00513">
      <w:pPr>
        <w:pStyle w:val="FootnoteText"/>
        <w:rPr>
          <w:rFonts w:asciiTheme="minorHAnsi" w:hAnsiTheme="minorHAnsi" w:cstheme="minorHAnsi"/>
          <w:sz w:val="16"/>
          <w:szCs w:val="16"/>
        </w:rPr>
      </w:pPr>
      <w:r w:rsidRPr="0084508F">
        <w:rPr>
          <w:rStyle w:val="FootnoteReference"/>
          <w:rFonts w:asciiTheme="minorHAnsi" w:hAnsiTheme="minorHAnsi" w:cstheme="minorHAnsi"/>
          <w:sz w:val="16"/>
          <w:szCs w:val="16"/>
        </w:rPr>
        <w:footnoteRef/>
      </w:r>
      <w:r w:rsidRPr="0084508F">
        <w:rPr>
          <w:rFonts w:asciiTheme="minorHAnsi" w:hAnsiTheme="minorHAnsi" w:cstheme="minorHAnsi"/>
          <w:sz w:val="16"/>
          <w:szCs w:val="16"/>
        </w:rPr>
        <w:t xml:space="preserve"> </w:t>
      </w:r>
      <w:r w:rsidRPr="0084508F">
        <w:rPr>
          <w:rStyle w:val="FootnoteReference"/>
          <w:rFonts w:asciiTheme="minorHAnsi" w:hAnsiTheme="minorHAnsi" w:cstheme="minorHAnsi"/>
          <w:sz w:val="16"/>
          <w:szCs w:val="16"/>
          <w:vertAlign w:val="baseline"/>
        </w:rPr>
        <w:t xml:space="preserve">Participation rate is for the South Eastern </w:t>
      </w:r>
      <w:r w:rsidR="00651E50" w:rsidRPr="0084508F">
        <w:rPr>
          <w:rFonts w:asciiTheme="minorHAnsi" w:hAnsiTheme="minorHAnsi" w:cstheme="minorHAnsi"/>
          <w:sz w:val="16"/>
          <w:szCs w:val="16"/>
        </w:rPr>
        <w:t xml:space="preserve">Melbourne </w:t>
      </w:r>
      <w:r w:rsidRPr="0084508F">
        <w:rPr>
          <w:rStyle w:val="FootnoteReference"/>
          <w:rFonts w:asciiTheme="minorHAnsi" w:hAnsiTheme="minorHAnsi" w:cstheme="minorHAnsi"/>
          <w:sz w:val="16"/>
          <w:szCs w:val="16"/>
          <w:vertAlign w:val="baseline"/>
        </w:rPr>
        <w:t>Labour Force Region.</w:t>
      </w:r>
    </w:p>
  </w:footnote>
  <w:footnote w:id="3">
    <w:p w:rsidR="00D00513" w:rsidRPr="0084508F" w:rsidRDefault="00D00513">
      <w:pPr>
        <w:pStyle w:val="FootnoteText"/>
        <w:rPr>
          <w:rFonts w:asciiTheme="minorHAnsi" w:hAnsiTheme="minorHAnsi" w:cstheme="minorHAnsi"/>
          <w:sz w:val="16"/>
          <w:szCs w:val="16"/>
        </w:rPr>
      </w:pPr>
      <w:r w:rsidRPr="0084508F">
        <w:rPr>
          <w:rStyle w:val="FootnoteReference"/>
          <w:rFonts w:asciiTheme="minorHAnsi" w:hAnsiTheme="minorHAnsi" w:cstheme="minorHAnsi"/>
          <w:sz w:val="16"/>
          <w:szCs w:val="16"/>
        </w:rPr>
        <w:footnoteRef/>
      </w:r>
      <w:r w:rsidRPr="0084508F">
        <w:rPr>
          <w:rFonts w:asciiTheme="minorHAnsi" w:hAnsiTheme="minorHAnsi" w:cstheme="minorHAnsi"/>
          <w:sz w:val="16"/>
          <w:szCs w:val="16"/>
        </w:rPr>
        <w:t xml:space="preserve"> </w:t>
      </w:r>
      <w:r w:rsidR="00651E50" w:rsidRPr="0084508F">
        <w:rPr>
          <w:rStyle w:val="FootnoteReference"/>
          <w:rFonts w:asciiTheme="minorHAnsi" w:hAnsiTheme="minorHAnsi" w:cstheme="minorHAnsi"/>
          <w:sz w:val="16"/>
          <w:szCs w:val="16"/>
          <w:vertAlign w:val="baseline"/>
        </w:rPr>
        <w:t>ABS, Labour Force</w:t>
      </w:r>
      <w:r w:rsidR="003C35AB">
        <w:rPr>
          <w:rStyle w:val="FootnoteReference"/>
          <w:rFonts w:asciiTheme="minorHAnsi" w:hAnsiTheme="minorHAnsi" w:cstheme="minorHAnsi"/>
          <w:sz w:val="16"/>
          <w:szCs w:val="16"/>
          <w:vertAlign w:val="baseline"/>
        </w:rPr>
        <w:t xml:space="preserve">, </w:t>
      </w:r>
      <w:r w:rsidR="008F7AB3">
        <w:rPr>
          <w:rStyle w:val="FootnoteReference"/>
          <w:rFonts w:asciiTheme="minorHAnsi" w:hAnsiTheme="minorHAnsi" w:cstheme="minorHAnsi"/>
          <w:sz w:val="16"/>
          <w:szCs w:val="16"/>
          <w:vertAlign w:val="baseline"/>
        </w:rPr>
        <w:t xml:space="preserve"> October</w:t>
      </w:r>
      <w:r w:rsidRPr="0084508F">
        <w:rPr>
          <w:rStyle w:val="FootnoteReference"/>
          <w:rFonts w:asciiTheme="minorHAnsi" w:hAnsiTheme="minorHAnsi" w:cstheme="minorHAnsi"/>
          <w:sz w:val="16"/>
          <w:szCs w:val="16"/>
          <w:vertAlign w:val="baseline"/>
        </w:rPr>
        <w:t xml:space="preserve"> 2013, 12 month averages of original data</w:t>
      </w:r>
      <w:r w:rsidR="00F76304" w:rsidRPr="0084508F">
        <w:rPr>
          <w:rFonts w:asciiTheme="minorHAnsi" w:hAnsiTheme="minorHAnsi" w:cstheme="minorHAnsi"/>
          <w:sz w:val="16"/>
          <w:szCs w:val="16"/>
        </w:rPr>
        <w:t>.</w:t>
      </w:r>
    </w:p>
  </w:footnote>
  <w:footnote w:id="4">
    <w:p w:rsidR="00D00513" w:rsidRPr="0084508F" w:rsidRDefault="00D00513">
      <w:pPr>
        <w:pStyle w:val="FootnoteText"/>
        <w:rPr>
          <w:rFonts w:asciiTheme="minorHAnsi" w:hAnsiTheme="minorHAnsi" w:cstheme="minorHAnsi"/>
          <w:sz w:val="16"/>
          <w:szCs w:val="16"/>
        </w:rPr>
      </w:pPr>
      <w:r w:rsidRPr="0084508F">
        <w:rPr>
          <w:rStyle w:val="FootnoteReference"/>
          <w:rFonts w:asciiTheme="minorHAnsi" w:hAnsiTheme="minorHAnsi" w:cstheme="minorHAnsi"/>
          <w:sz w:val="16"/>
          <w:szCs w:val="16"/>
        </w:rPr>
        <w:footnoteRef/>
      </w:r>
      <w:r w:rsidRPr="0084508F">
        <w:rPr>
          <w:rFonts w:asciiTheme="minorHAnsi" w:hAnsiTheme="minorHAnsi" w:cstheme="minorHAnsi"/>
          <w:sz w:val="16"/>
          <w:szCs w:val="16"/>
        </w:rPr>
        <w:t xml:space="preserve"> </w:t>
      </w:r>
      <w:r w:rsidR="00651E50" w:rsidRPr="0084508F">
        <w:rPr>
          <w:rFonts w:asciiTheme="minorHAnsi" w:hAnsiTheme="minorHAnsi" w:cstheme="minorHAnsi"/>
          <w:sz w:val="16"/>
          <w:szCs w:val="16"/>
        </w:rPr>
        <w:t xml:space="preserve">ABS, Labour Force, </w:t>
      </w:r>
      <w:r w:rsidR="0036227F">
        <w:rPr>
          <w:rFonts w:asciiTheme="minorHAnsi" w:hAnsiTheme="minorHAnsi" w:cstheme="minorHAnsi"/>
          <w:sz w:val="16"/>
          <w:szCs w:val="16"/>
        </w:rPr>
        <w:t>October</w:t>
      </w:r>
      <w:r w:rsidR="0001484D" w:rsidRPr="0084508F">
        <w:rPr>
          <w:rFonts w:asciiTheme="minorHAnsi" w:hAnsiTheme="minorHAnsi" w:cstheme="minorHAnsi"/>
          <w:sz w:val="16"/>
          <w:szCs w:val="16"/>
        </w:rPr>
        <w:t xml:space="preserve"> 2013, 12 month averages of original data</w:t>
      </w:r>
      <w:r w:rsidR="00F76304" w:rsidRPr="0084508F">
        <w:rPr>
          <w:rFonts w:asciiTheme="minorHAnsi" w:hAnsiTheme="minorHAnsi" w:cstheme="minorHAnsi"/>
          <w:sz w:val="16"/>
          <w:szCs w:val="16"/>
        </w:rPr>
        <w:t>.</w:t>
      </w:r>
    </w:p>
  </w:footnote>
  <w:footnote w:id="5">
    <w:p w:rsidR="00BD1ECE" w:rsidRPr="0084508F" w:rsidRDefault="00BD1ECE" w:rsidP="00BD1ECE">
      <w:pPr>
        <w:pStyle w:val="FootnoteText"/>
        <w:rPr>
          <w:rFonts w:asciiTheme="minorHAnsi" w:hAnsiTheme="minorHAnsi" w:cstheme="minorHAnsi"/>
          <w:sz w:val="16"/>
          <w:szCs w:val="16"/>
        </w:rPr>
      </w:pPr>
      <w:r w:rsidRPr="0084508F">
        <w:rPr>
          <w:rStyle w:val="FootnoteReference"/>
          <w:rFonts w:asciiTheme="minorHAnsi" w:hAnsiTheme="minorHAnsi" w:cstheme="minorHAnsi"/>
          <w:sz w:val="16"/>
          <w:szCs w:val="16"/>
        </w:rPr>
        <w:footnoteRef/>
      </w:r>
      <w:r w:rsidRPr="0084508F">
        <w:rPr>
          <w:rFonts w:asciiTheme="minorHAnsi" w:hAnsiTheme="minorHAnsi" w:cstheme="minorHAnsi"/>
          <w:sz w:val="16"/>
          <w:szCs w:val="16"/>
        </w:rPr>
        <w:t xml:space="preserve"> </w:t>
      </w:r>
      <w:proofErr w:type="gramStart"/>
      <w:r w:rsidRPr="0084508F">
        <w:rPr>
          <w:rFonts w:asciiTheme="minorHAnsi" w:hAnsiTheme="minorHAnsi" w:cstheme="minorHAnsi"/>
          <w:sz w:val="16"/>
          <w:szCs w:val="16"/>
        </w:rPr>
        <w:t>ABS, Census of Population and Housing, 2011.</w:t>
      </w:r>
      <w:proofErr w:type="gramEnd"/>
      <w:r w:rsidRPr="0084508F">
        <w:rPr>
          <w:rFonts w:asciiTheme="minorHAnsi" w:hAnsiTheme="minorHAnsi" w:cstheme="minorHAnsi"/>
          <w:sz w:val="16"/>
          <w:szCs w:val="16"/>
        </w:rPr>
        <w:t xml:space="preserve"> </w:t>
      </w:r>
    </w:p>
  </w:footnote>
  <w:footnote w:id="6">
    <w:p w:rsidR="0001484D" w:rsidRPr="0084508F" w:rsidRDefault="0001484D">
      <w:pPr>
        <w:pStyle w:val="FootnoteText"/>
        <w:rPr>
          <w:rStyle w:val="FootnoteReference"/>
          <w:rFonts w:asciiTheme="minorHAnsi" w:hAnsiTheme="minorHAnsi" w:cstheme="minorHAnsi"/>
          <w:sz w:val="16"/>
          <w:szCs w:val="16"/>
          <w:vertAlign w:val="baseline"/>
        </w:rPr>
      </w:pPr>
      <w:r w:rsidRPr="0084508F">
        <w:rPr>
          <w:rStyle w:val="FootnoteReference"/>
          <w:rFonts w:asciiTheme="minorHAnsi" w:hAnsiTheme="minorHAnsi" w:cstheme="minorHAnsi"/>
          <w:sz w:val="16"/>
          <w:szCs w:val="16"/>
        </w:rPr>
        <w:footnoteRef/>
      </w:r>
      <w:r w:rsidRPr="0084508F">
        <w:rPr>
          <w:rStyle w:val="FootnoteReference"/>
          <w:rFonts w:asciiTheme="minorHAnsi" w:hAnsiTheme="minorHAnsi" w:cstheme="minorHAnsi"/>
          <w:sz w:val="16"/>
          <w:szCs w:val="16"/>
        </w:rPr>
        <w:t xml:space="preserve"> </w:t>
      </w:r>
      <w:r w:rsidRPr="0084508F">
        <w:rPr>
          <w:rStyle w:val="FootnoteReference"/>
          <w:rFonts w:asciiTheme="minorHAnsi" w:hAnsiTheme="minorHAnsi" w:cstheme="minorHAnsi"/>
          <w:sz w:val="16"/>
          <w:szCs w:val="16"/>
          <w:vertAlign w:val="baseline"/>
        </w:rPr>
        <w:t xml:space="preserve">Employment growth is for the South Eastern </w:t>
      </w:r>
      <w:r w:rsidR="00651E50" w:rsidRPr="0084508F">
        <w:rPr>
          <w:rFonts w:asciiTheme="minorHAnsi" w:hAnsiTheme="minorHAnsi" w:cstheme="minorHAnsi"/>
          <w:sz w:val="16"/>
          <w:szCs w:val="16"/>
        </w:rPr>
        <w:t xml:space="preserve">Melbourne </w:t>
      </w:r>
      <w:r w:rsidRPr="0084508F">
        <w:rPr>
          <w:rStyle w:val="FootnoteReference"/>
          <w:rFonts w:asciiTheme="minorHAnsi" w:hAnsiTheme="minorHAnsi" w:cstheme="minorHAnsi"/>
          <w:sz w:val="16"/>
          <w:szCs w:val="16"/>
          <w:vertAlign w:val="baseline"/>
        </w:rPr>
        <w:t>Labour Force Region</w:t>
      </w:r>
      <w:r w:rsidR="00F76304" w:rsidRPr="0084508F">
        <w:rPr>
          <w:rFonts w:asciiTheme="minorHAnsi" w:hAnsiTheme="minorHAnsi" w:cstheme="minorHAnsi"/>
          <w:sz w:val="16"/>
          <w:szCs w:val="16"/>
        </w:rPr>
        <w:t>.</w:t>
      </w:r>
    </w:p>
  </w:footnote>
  <w:footnote w:id="7">
    <w:p w:rsidR="0021164C" w:rsidRPr="0084508F" w:rsidRDefault="0021164C" w:rsidP="0021164C">
      <w:pPr>
        <w:pStyle w:val="FootnoteText"/>
        <w:rPr>
          <w:rFonts w:asciiTheme="minorHAnsi" w:hAnsiTheme="minorHAnsi" w:cstheme="minorHAnsi"/>
          <w:sz w:val="16"/>
          <w:szCs w:val="16"/>
        </w:rPr>
      </w:pPr>
      <w:r w:rsidRPr="0084508F">
        <w:rPr>
          <w:rStyle w:val="FootnoteReference"/>
          <w:rFonts w:asciiTheme="minorHAnsi" w:hAnsiTheme="minorHAnsi" w:cstheme="minorHAnsi"/>
          <w:sz w:val="16"/>
          <w:szCs w:val="16"/>
        </w:rPr>
        <w:footnoteRef/>
      </w:r>
      <w:r w:rsidRPr="0084508F">
        <w:rPr>
          <w:rFonts w:asciiTheme="minorHAnsi" w:hAnsiTheme="minorHAnsi" w:cstheme="minorHAnsi"/>
          <w:sz w:val="16"/>
          <w:szCs w:val="16"/>
        </w:rPr>
        <w:t xml:space="preserve"> </w:t>
      </w:r>
      <w:proofErr w:type="spellStart"/>
      <w:r w:rsidRPr="0084508F">
        <w:rPr>
          <w:rFonts w:asciiTheme="minorHAnsi" w:hAnsiTheme="minorHAnsi" w:cstheme="minorHAnsi"/>
          <w:sz w:val="16"/>
          <w:szCs w:val="16"/>
        </w:rPr>
        <w:t>OTMESC</w:t>
      </w:r>
      <w:proofErr w:type="spellEnd"/>
      <w:r w:rsidRPr="0084508F">
        <w:rPr>
          <w:rFonts w:asciiTheme="minorHAnsi" w:hAnsiTheme="minorHAnsi" w:cstheme="minorHAnsi"/>
          <w:sz w:val="16"/>
          <w:szCs w:val="16"/>
        </w:rPr>
        <w:t xml:space="preserve"> countries are countries other than the United Kingdom, Ireland, Canada, South Africa, USA, New Zealand and Australia.</w:t>
      </w:r>
    </w:p>
  </w:footnote>
  <w:footnote w:id="8">
    <w:p w:rsidR="0084508F" w:rsidRPr="0084508F" w:rsidRDefault="0084508F">
      <w:pPr>
        <w:pStyle w:val="FootnoteText"/>
        <w:rPr>
          <w:rFonts w:asciiTheme="minorHAnsi" w:hAnsiTheme="minorHAnsi" w:cstheme="minorHAnsi"/>
          <w:sz w:val="16"/>
          <w:szCs w:val="16"/>
        </w:rPr>
      </w:pPr>
      <w:r w:rsidRPr="0084508F">
        <w:rPr>
          <w:rStyle w:val="FootnoteReference"/>
          <w:rFonts w:asciiTheme="minorHAnsi" w:hAnsiTheme="minorHAnsi" w:cstheme="minorHAnsi"/>
          <w:sz w:val="16"/>
          <w:szCs w:val="16"/>
        </w:rPr>
        <w:footnoteRef/>
      </w:r>
      <w:r w:rsidRPr="0084508F">
        <w:rPr>
          <w:rFonts w:asciiTheme="minorHAnsi" w:hAnsiTheme="minorHAnsi" w:cstheme="minorHAnsi"/>
          <w:sz w:val="16"/>
          <w:szCs w:val="16"/>
        </w:rPr>
        <w:t xml:space="preserve"> </w:t>
      </w:r>
      <w:r w:rsidR="008F7AB3">
        <w:rPr>
          <w:rFonts w:asciiTheme="minorHAnsi" w:hAnsiTheme="minorHAnsi" w:cstheme="minorHAnsi"/>
          <w:sz w:val="16"/>
          <w:szCs w:val="16"/>
        </w:rPr>
        <w:t xml:space="preserve">ABS, </w:t>
      </w:r>
      <w:r w:rsidR="003931DB">
        <w:rPr>
          <w:rFonts w:asciiTheme="minorHAnsi" w:hAnsiTheme="minorHAnsi" w:cstheme="minorHAnsi"/>
          <w:sz w:val="16"/>
          <w:szCs w:val="16"/>
        </w:rPr>
        <w:t>Labour Force, November</w:t>
      </w:r>
      <w:r>
        <w:rPr>
          <w:rFonts w:asciiTheme="minorHAnsi" w:hAnsiTheme="minorHAnsi" w:cstheme="minorHAnsi"/>
          <w:sz w:val="16"/>
          <w:szCs w:val="16"/>
        </w:rPr>
        <w:t xml:space="preserve"> 2013 (seasonally adjusted). </w:t>
      </w:r>
    </w:p>
  </w:footnote>
  <w:footnote w:id="9">
    <w:p w:rsidR="003A24F3" w:rsidRPr="00830321" w:rsidRDefault="003A24F3">
      <w:pPr>
        <w:pStyle w:val="FootnoteText"/>
        <w:rPr>
          <w:rFonts w:asciiTheme="minorHAnsi" w:hAnsiTheme="minorHAnsi" w:cstheme="minorHAnsi"/>
          <w:sz w:val="16"/>
          <w:szCs w:val="16"/>
        </w:rPr>
      </w:pPr>
      <w:r w:rsidRPr="0084508F">
        <w:rPr>
          <w:rStyle w:val="FootnoteReference"/>
          <w:rFonts w:asciiTheme="minorHAnsi" w:hAnsiTheme="minorHAnsi" w:cstheme="minorHAnsi"/>
          <w:sz w:val="16"/>
          <w:szCs w:val="16"/>
        </w:rPr>
        <w:footnoteRef/>
      </w:r>
      <w:r w:rsidR="0032175C" w:rsidRPr="0084508F">
        <w:rPr>
          <w:rFonts w:asciiTheme="minorHAnsi" w:hAnsiTheme="minorHAnsi" w:cstheme="minorHAnsi"/>
          <w:sz w:val="16"/>
          <w:szCs w:val="16"/>
        </w:rPr>
        <w:t xml:space="preserve"> </w:t>
      </w:r>
      <w:r w:rsidRPr="0084508F">
        <w:rPr>
          <w:rFonts w:asciiTheme="minorHAnsi" w:hAnsiTheme="minorHAnsi" w:cstheme="minorHAnsi"/>
          <w:sz w:val="16"/>
          <w:szCs w:val="16"/>
        </w:rPr>
        <w:t>Based on a Survey of Employers’</w:t>
      </w:r>
      <w:r w:rsidR="000B0BD0" w:rsidRPr="0084508F">
        <w:rPr>
          <w:rFonts w:asciiTheme="minorHAnsi" w:hAnsiTheme="minorHAnsi" w:cstheme="minorHAnsi"/>
          <w:sz w:val="16"/>
          <w:szCs w:val="16"/>
        </w:rPr>
        <w:t xml:space="preserve"> Recruitment Experiences of </w:t>
      </w:r>
      <w:r w:rsidRPr="0084508F">
        <w:rPr>
          <w:rFonts w:asciiTheme="minorHAnsi" w:hAnsiTheme="minorHAnsi" w:cstheme="minorHAnsi"/>
          <w:sz w:val="16"/>
          <w:szCs w:val="16"/>
        </w:rPr>
        <w:t>employers undertaken by the De</w:t>
      </w:r>
      <w:r w:rsidR="00830321" w:rsidRPr="0084508F">
        <w:rPr>
          <w:rFonts w:asciiTheme="minorHAnsi" w:hAnsiTheme="minorHAnsi" w:cstheme="minorHAnsi"/>
          <w:sz w:val="16"/>
          <w:szCs w:val="16"/>
        </w:rPr>
        <w:t>partment of Employment in Aug</w:t>
      </w:r>
      <w:r w:rsidRPr="0084508F">
        <w:rPr>
          <w:rFonts w:asciiTheme="minorHAnsi" w:hAnsiTheme="minorHAnsi" w:cstheme="minorHAnsi"/>
          <w:sz w:val="16"/>
          <w:szCs w:val="16"/>
        </w:rPr>
        <w:t xml:space="preserve"> 2013</w:t>
      </w:r>
      <w:r w:rsidR="000B0BD0" w:rsidRPr="0084508F">
        <w:rPr>
          <w:rFonts w:asciiTheme="minorHAnsi" w:hAnsiTheme="minorHAnsi" w:cstheme="minorHAnsi"/>
          <w:sz w:val="16"/>
          <w:szCs w:val="16"/>
        </w:rPr>
        <w:t xml:space="preserve">, </w:t>
      </w:r>
      <w:r w:rsidR="00830321" w:rsidRPr="0084508F">
        <w:rPr>
          <w:rFonts w:asciiTheme="minorHAnsi" w:hAnsiTheme="minorHAnsi" w:cstheme="minorHAnsi"/>
          <w:sz w:val="16"/>
          <w:szCs w:val="16"/>
        </w:rPr>
        <w:t xml:space="preserve">Apr 2012 and Feb </w:t>
      </w:r>
      <w:r w:rsidR="000B0BD0" w:rsidRPr="0084508F">
        <w:rPr>
          <w:rFonts w:asciiTheme="minorHAnsi" w:hAnsiTheme="minorHAnsi" w:cstheme="minorHAnsi"/>
          <w:sz w:val="16"/>
          <w:szCs w:val="16"/>
        </w:rPr>
        <w:t>2010</w:t>
      </w:r>
      <w:r w:rsidRPr="0084508F">
        <w:rPr>
          <w:rFonts w:asciiTheme="minorHAnsi" w:hAnsiTheme="minorHAnsi" w:cstheme="minorHAnsi"/>
          <w:sz w:val="16"/>
          <w:szCs w:val="16"/>
        </w:rPr>
        <w:t>.</w:t>
      </w:r>
    </w:p>
  </w:footnote>
  <w:footnote w:id="10">
    <w:p w:rsidR="00CE1391" w:rsidRPr="00784067" w:rsidRDefault="00CE1391" w:rsidP="00CE1391">
      <w:pPr>
        <w:pStyle w:val="FootnoteText"/>
        <w:rPr>
          <w:rFonts w:asciiTheme="minorHAnsi" w:hAnsiTheme="minorHAnsi" w:cstheme="minorHAnsi"/>
          <w:sz w:val="16"/>
          <w:szCs w:val="16"/>
        </w:rPr>
      </w:pPr>
      <w:r w:rsidRPr="00784067">
        <w:rPr>
          <w:rStyle w:val="FootnoteReference"/>
          <w:rFonts w:asciiTheme="minorHAnsi" w:hAnsiTheme="minorHAnsi" w:cstheme="minorHAnsi"/>
          <w:sz w:val="16"/>
          <w:szCs w:val="16"/>
        </w:rPr>
        <w:footnoteRef/>
      </w:r>
      <w:r w:rsidRPr="00784067">
        <w:rPr>
          <w:rFonts w:asciiTheme="minorHAnsi" w:hAnsiTheme="minorHAnsi" w:cstheme="minorHAnsi"/>
          <w:sz w:val="16"/>
          <w:szCs w:val="16"/>
        </w:rPr>
        <w:t xml:space="preserve"> </w:t>
      </w:r>
      <w:r>
        <w:rPr>
          <w:rFonts w:asciiTheme="minorHAnsi" w:hAnsiTheme="minorHAnsi" w:cstheme="minorHAnsi"/>
          <w:sz w:val="16"/>
          <w:szCs w:val="16"/>
        </w:rPr>
        <w:t xml:space="preserve">Recruitment </w:t>
      </w:r>
      <w:r w:rsidR="005941C1">
        <w:rPr>
          <w:rFonts w:asciiTheme="minorHAnsi" w:hAnsiTheme="minorHAnsi" w:cstheme="minorHAnsi"/>
          <w:sz w:val="16"/>
          <w:szCs w:val="16"/>
        </w:rPr>
        <w:t xml:space="preserve">activity </w:t>
      </w:r>
      <w:r>
        <w:rPr>
          <w:rFonts w:asciiTheme="minorHAnsi" w:hAnsiTheme="minorHAnsi" w:cstheme="minorHAnsi"/>
          <w:sz w:val="16"/>
          <w:szCs w:val="16"/>
        </w:rPr>
        <w:t xml:space="preserve">in the Accommodation and Food Services industry </w:t>
      </w:r>
      <w:r w:rsidR="00F0432F">
        <w:rPr>
          <w:rFonts w:asciiTheme="minorHAnsi" w:hAnsiTheme="minorHAnsi" w:cstheme="minorHAnsi"/>
          <w:sz w:val="16"/>
          <w:szCs w:val="16"/>
        </w:rPr>
        <w:t>was almost entirely</w:t>
      </w:r>
      <w:r>
        <w:rPr>
          <w:rFonts w:asciiTheme="minorHAnsi" w:hAnsiTheme="minorHAnsi" w:cstheme="minorHAnsi"/>
          <w:sz w:val="16"/>
          <w:szCs w:val="16"/>
        </w:rPr>
        <w:t xml:space="preserve"> due to staff turnover.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65C21B0"/>
    <w:lvl w:ilvl="0">
      <w:start w:val="1"/>
      <w:numFmt w:val="decimal"/>
      <w:lvlText w:val="%1."/>
      <w:lvlJc w:val="left"/>
      <w:pPr>
        <w:tabs>
          <w:tab w:val="num" w:pos="1492"/>
        </w:tabs>
        <w:ind w:left="1492" w:hanging="360"/>
      </w:pPr>
    </w:lvl>
  </w:abstractNum>
  <w:abstractNum w:abstractNumId="1">
    <w:nsid w:val="FFFFFF7D"/>
    <w:multiLevelType w:val="singleLevel"/>
    <w:tmpl w:val="EF2C0204"/>
    <w:lvl w:ilvl="0">
      <w:start w:val="1"/>
      <w:numFmt w:val="decimal"/>
      <w:lvlText w:val="%1."/>
      <w:lvlJc w:val="left"/>
      <w:pPr>
        <w:tabs>
          <w:tab w:val="num" w:pos="1209"/>
        </w:tabs>
        <w:ind w:left="1209" w:hanging="360"/>
      </w:pPr>
    </w:lvl>
  </w:abstractNum>
  <w:abstractNum w:abstractNumId="2">
    <w:nsid w:val="FFFFFF7E"/>
    <w:multiLevelType w:val="singleLevel"/>
    <w:tmpl w:val="37D08C3A"/>
    <w:lvl w:ilvl="0">
      <w:start w:val="1"/>
      <w:numFmt w:val="decimal"/>
      <w:lvlText w:val="%1."/>
      <w:lvlJc w:val="left"/>
      <w:pPr>
        <w:tabs>
          <w:tab w:val="num" w:pos="926"/>
        </w:tabs>
        <w:ind w:left="926" w:hanging="360"/>
      </w:pPr>
    </w:lvl>
  </w:abstractNum>
  <w:abstractNum w:abstractNumId="3">
    <w:nsid w:val="FFFFFF7F"/>
    <w:multiLevelType w:val="singleLevel"/>
    <w:tmpl w:val="4942CF74"/>
    <w:lvl w:ilvl="0">
      <w:start w:val="1"/>
      <w:numFmt w:val="decimal"/>
      <w:lvlText w:val="%1."/>
      <w:lvlJc w:val="left"/>
      <w:pPr>
        <w:tabs>
          <w:tab w:val="num" w:pos="643"/>
        </w:tabs>
        <w:ind w:left="643" w:hanging="360"/>
      </w:pPr>
    </w:lvl>
  </w:abstractNum>
  <w:abstractNum w:abstractNumId="4">
    <w:nsid w:val="FFFFFF80"/>
    <w:multiLevelType w:val="singleLevel"/>
    <w:tmpl w:val="16F649B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C86864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C840E1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EFE160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2001698"/>
    <w:lvl w:ilvl="0">
      <w:start w:val="1"/>
      <w:numFmt w:val="decimal"/>
      <w:lvlText w:val="%1."/>
      <w:lvlJc w:val="left"/>
      <w:pPr>
        <w:tabs>
          <w:tab w:val="num" w:pos="360"/>
        </w:tabs>
        <w:ind w:left="360" w:hanging="360"/>
      </w:pPr>
    </w:lvl>
  </w:abstractNum>
  <w:abstractNum w:abstractNumId="9">
    <w:nsid w:val="FFFFFF89"/>
    <w:multiLevelType w:val="singleLevel"/>
    <w:tmpl w:val="9D80A2AA"/>
    <w:lvl w:ilvl="0">
      <w:start w:val="1"/>
      <w:numFmt w:val="bullet"/>
      <w:lvlText w:val=""/>
      <w:lvlJc w:val="left"/>
      <w:pPr>
        <w:tabs>
          <w:tab w:val="num" w:pos="360"/>
        </w:tabs>
        <w:ind w:left="360" w:hanging="360"/>
      </w:pPr>
      <w:rPr>
        <w:rFonts w:ascii="Symbol" w:hAnsi="Symbol" w:hint="default"/>
      </w:rPr>
    </w:lvl>
  </w:abstractNum>
  <w:abstractNum w:abstractNumId="10">
    <w:nsid w:val="080F485D"/>
    <w:multiLevelType w:val="hybridMultilevel"/>
    <w:tmpl w:val="5BE4D756"/>
    <w:lvl w:ilvl="0" w:tplc="1A4409F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A784D04"/>
    <w:multiLevelType w:val="hybridMultilevel"/>
    <w:tmpl w:val="D80AB6F2"/>
    <w:lvl w:ilvl="0" w:tplc="18C6CEA0">
      <w:start w:val="1"/>
      <w:numFmt w:val="lowerLetter"/>
      <w:lvlText w:val="(%1)"/>
      <w:lvlJc w:val="left"/>
      <w:pPr>
        <w:ind w:left="720" w:hanging="360"/>
      </w:pPr>
      <w:rPr>
        <w:rFonts w:ascii="Calibri" w:hAnsi="Calibri" w:cs="Calibri" w:hint="default"/>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0FDF1F70"/>
    <w:multiLevelType w:val="hybridMultilevel"/>
    <w:tmpl w:val="4D6446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13776B20"/>
    <w:multiLevelType w:val="hybridMultilevel"/>
    <w:tmpl w:val="C9A8CAF0"/>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4E12691"/>
    <w:multiLevelType w:val="hybridMultilevel"/>
    <w:tmpl w:val="87F08D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15133AB5"/>
    <w:multiLevelType w:val="hybridMultilevel"/>
    <w:tmpl w:val="D64E214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B9670B9"/>
    <w:multiLevelType w:val="hybridMultilevel"/>
    <w:tmpl w:val="8A127BE6"/>
    <w:lvl w:ilvl="0" w:tplc="BEC8911C">
      <w:start w:val="5"/>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FBA5C77"/>
    <w:multiLevelType w:val="multilevel"/>
    <w:tmpl w:val="FF4E1B0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nsid w:val="23577BA0"/>
    <w:multiLevelType w:val="hybridMultilevel"/>
    <w:tmpl w:val="CC16E776"/>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C39475E"/>
    <w:multiLevelType w:val="hybridMultilevel"/>
    <w:tmpl w:val="EB022CC4"/>
    <w:lvl w:ilvl="0" w:tplc="F7FE6AA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3D46544D"/>
    <w:multiLevelType w:val="hybridMultilevel"/>
    <w:tmpl w:val="19F2BC94"/>
    <w:lvl w:ilvl="0" w:tplc="0394902E">
      <w:start w:val="7"/>
      <w:numFmt w:val="bullet"/>
      <w:lvlText w:val="-"/>
      <w:lvlJc w:val="left"/>
      <w:pPr>
        <w:ind w:left="360" w:hanging="360"/>
      </w:pPr>
      <w:rPr>
        <w:rFonts w:ascii="Calibri" w:eastAsiaTheme="minorEastAsia"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419A731E"/>
    <w:multiLevelType w:val="hybridMultilevel"/>
    <w:tmpl w:val="0100CBB0"/>
    <w:lvl w:ilvl="0" w:tplc="51BE54A0">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51B73210"/>
    <w:multiLevelType w:val="multilevel"/>
    <w:tmpl w:val="9C90C16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90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nsid w:val="561B7F1F"/>
    <w:multiLevelType w:val="hybridMultilevel"/>
    <w:tmpl w:val="480C874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9CF1710"/>
    <w:multiLevelType w:val="multilevel"/>
    <w:tmpl w:val="835A880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5">
    <w:nsid w:val="5BEF1E92"/>
    <w:multiLevelType w:val="hybridMultilevel"/>
    <w:tmpl w:val="2FAC2C86"/>
    <w:lvl w:ilvl="0" w:tplc="5554EDEC">
      <w:start w:val="1"/>
      <w:numFmt w:val="decimal"/>
      <w:lvlText w:val="(%1)"/>
      <w:lvlJc w:val="left"/>
      <w:pPr>
        <w:ind w:left="720" w:hanging="360"/>
      </w:pPr>
      <w:rPr>
        <w:rFonts w:hint="default"/>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6BE2999"/>
    <w:multiLevelType w:val="hybridMultilevel"/>
    <w:tmpl w:val="BE9A9BF0"/>
    <w:lvl w:ilvl="0" w:tplc="CC821152">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24"/>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26"/>
  </w:num>
  <w:num w:numId="15">
    <w:abstractNumId w:val="14"/>
  </w:num>
  <w:num w:numId="16">
    <w:abstractNumId w:val="22"/>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22"/>
  </w:num>
  <w:num w:numId="20">
    <w:abstractNumId w:val="13"/>
  </w:num>
  <w:num w:numId="21">
    <w:abstractNumId w:val="18"/>
  </w:num>
  <w:num w:numId="22">
    <w:abstractNumId w:val="15"/>
  </w:num>
  <w:num w:numId="23">
    <w:abstractNumId w:val="22"/>
  </w:num>
  <w:num w:numId="24">
    <w:abstractNumId w:val="9"/>
  </w:num>
  <w:num w:numId="25">
    <w:abstractNumId w:val="16"/>
  </w:num>
  <w:num w:numId="26">
    <w:abstractNumId w:val="12"/>
  </w:num>
  <w:num w:numId="27">
    <w:abstractNumId w:val="20"/>
  </w:num>
  <w:num w:numId="28">
    <w:abstractNumId w:val="19"/>
  </w:num>
  <w:num w:numId="29">
    <w:abstractNumId w:val="25"/>
  </w:num>
  <w:num w:numId="30">
    <w:abstractNumId w:val="21"/>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4131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C10C19"/>
    <w:rsid w:val="00002721"/>
    <w:rsid w:val="000105B5"/>
    <w:rsid w:val="00010FE2"/>
    <w:rsid w:val="0001484D"/>
    <w:rsid w:val="00023DBF"/>
    <w:rsid w:val="00024E24"/>
    <w:rsid w:val="000254ED"/>
    <w:rsid w:val="000273C2"/>
    <w:rsid w:val="00047301"/>
    <w:rsid w:val="00053CA4"/>
    <w:rsid w:val="000617D6"/>
    <w:rsid w:val="000861A6"/>
    <w:rsid w:val="00094D9B"/>
    <w:rsid w:val="00096C35"/>
    <w:rsid w:val="000B0BD0"/>
    <w:rsid w:val="000C096D"/>
    <w:rsid w:val="000C16B4"/>
    <w:rsid w:val="000D4EE6"/>
    <w:rsid w:val="000F3BA2"/>
    <w:rsid w:val="00100AF4"/>
    <w:rsid w:val="001111BE"/>
    <w:rsid w:val="0011609E"/>
    <w:rsid w:val="00117175"/>
    <w:rsid w:val="001175BF"/>
    <w:rsid w:val="00125E63"/>
    <w:rsid w:val="001270E9"/>
    <w:rsid w:val="0013485F"/>
    <w:rsid w:val="00143FCD"/>
    <w:rsid w:val="00160384"/>
    <w:rsid w:val="001811D2"/>
    <w:rsid w:val="00182B5F"/>
    <w:rsid w:val="00185471"/>
    <w:rsid w:val="001933F8"/>
    <w:rsid w:val="001B187C"/>
    <w:rsid w:val="001B42E5"/>
    <w:rsid w:val="001B6467"/>
    <w:rsid w:val="001C0A62"/>
    <w:rsid w:val="001E0E07"/>
    <w:rsid w:val="001E2AA5"/>
    <w:rsid w:val="001E5C2B"/>
    <w:rsid w:val="002035B6"/>
    <w:rsid w:val="002052C6"/>
    <w:rsid w:val="0021164C"/>
    <w:rsid w:val="0021366A"/>
    <w:rsid w:val="00222186"/>
    <w:rsid w:val="00223EB1"/>
    <w:rsid w:val="0022609D"/>
    <w:rsid w:val="002317F5"/>
    <w:rsid w:val="00236793"/>
    <w:rsid w:val="00236917"/>
    <w:rsid w:val="00237162"/>
    <w:rsid w:val="00241D88"/>
    <w:rsid w:val="0025069C"/>
    <w:rsid w:val="002530AF"/>
    <w:rsid w:val="0025319C"/>
    <w:rsid w:val="00255568"/>
    <w:rsid w:val="00263A54"/>
    <w:rsid w:val="00267902"/>
    <w:rsid w:val="00272D7B"/>
    <w:rsid w:val="00284984"/>
    <w:rsid w:val="00295F43"/>
    <w:rsid w:val="002B06E6"/>
    <w:rsid w:val="002B1671"/>
    <w:rsid w:val="002B3243"/>
    <w:rsid w:val="002C19E3"/>
    <w:rsid w:val="002C1A1A"/>
    <w:rsid w:val="002D271F"/>
    <w:rsid w:val="002D6386"/>
    <w:rsid w:val="002E4CBF"/>
    <w:rsid w:val="002F3DFB"/>
    <w:rsid w:val="00305B35"/>
    <w:rsid w:val="0031071F"/>
    <w:rsid w:val="00311564"/>
    <w:rsid w:val="00314E70"/>
    <w:rsid w:val="003201A6"/>
    <w:rsid w:val="0032175C"/>
    <w:rsid w:val="003424FD"/>
    <w:rsid w:val="00361653"/>
    <w:rsid w:val="0036227F"/>
    <w:rsid w:val="003648F4"/>
    <w:rsid w:val="003745D1"/>
    <w:rsid w:val="003751E9"/>
    <w:rsid w:val="00377F31"/>
    <w:rsid w:val="003803BD"/>
    <w:rsid w:val="00380E63"/>
    <w:rsid w:val="003925E5"/>
    <w:rsid w:val="003931DB"/>
    <w:rsid w:val="00396575"/>
    <w:rsid w:val="003A1E1A"/>
    <w:rsid w:val="003A24F3"/>
    <w:rsid w:val="003A43B4"/>
    <w:rsid w:val="003B10A0"/>
    <w:rsid w:val="003B1387"/>
    <w:rsid w:val="003C35AB"/>
    <w:rsid w:val="003C3739"/>
    <w:rsid w:val="003C793C"/>
    <w:rsid w:val="003D69EA"/>
    <w:rsid w:val="003F060E"/>
    <w:rsid w:val="00406E5A"/>
    <w:rsid w:val="00410738"/>
    <w:rsid w:val="00413C64"/>
    <w:rsid w:val="00430726"/>
    <w:rsid w:val="00445359"/>
    <w:rsid w:val="00447A3A"/>
    <w:rsid w:val="00455B34"/>
    <w:rsid w:val="0046093F"/>
    <w:rsid w:val="00476773"/>
    <w:rsid w:val="00481201"/>
    <w:rsid w:val="00490D1C"/>
    <w:rsid w:val="0049127B"/>
    <w:rsid w:val="00491EFD"/>
    <w:rsid w:val="004A49A8"/>
    <w:rsid w:val="004A7CE3"/>
    <w:rsid w:val="004B1635"/>
    <w:rsid w:val="004B256F"/>
    <w:rsid w:val="004B69A6"/>
    <w:rsid w:val="004E1087"/>
    <w:rsid w:val="004E293E"/>
    <w:rsid w:val="004E7BB5"/>
    <w:rsid w:val="00510FE9"/>
    <w:rsid w:val="00531817"/>
    <w:rsid w:val="00531CE8"/>
    <w:rsid w:val="00541383"/>
    <w:rsid w:val="005433BB"/>
    <w:rsid w:val="00546036"/>
    <w:rsid w:val="00547470"/>
    <w:rsid w:val="0055227F"/>
    <w:rsid w:val="0055500D"/>
    <w:rsid w:val="00557199"/>
    <w:rsid w:val="00561F0D"/>
    <w:rsid w:val="005624F3"/>
    <w:rsid w:val="0056501A"/>
    <w:rsid w:val="005766D2"/>
    <w:rsid w:val="005811EF"/>
    <w:rsid w:val="00590486"/>
    <w:rsid w:val="005941C1"/>
    <w:rsid w:val="00595557"/>
    <w:rsid w:val="00597CBC"/>
    <w:rsid w:val="005A7CE8"/>
    <w:rsid w:val="005B0878"/>
    <w:rsid w:val="005B3728"/>
    <w:rsid w:val="005C4D74"/>
    <w:rsid w:val="005D004F"/>
    <w:rsid w:val="005D3936"/>
    <w:rsid w:val="005D5AE8"/>
    <w:rsid w:val="005E18AE"/>
    <w:rsid w:val="005E3C8B"/>
    <w:rsid w:val="005E5950"/>
    <w:rsid w:val="005F482B"/>
    <w:rsid w:val="005F7278"/>
    <w:rsid w:val="005F766E"/>
    <w:rsid w:val="00610654"/>
    <w:rsid w:val="006123CB"/>
    <w:rsid w:val="006155EA"/>
    <w:rsid w:val="00623B86"/>
    <w:rsid w:val="00633210"/>
    <w:rsid w:val="006420BF"/>
    <w:rsid w:val="006463BA"/>
    <w:rsid w:val="00651E50"/>
    <w:rsid w:val="00656489"/>
    <w:rsid w:val="00660AA4"/>
    <w:rsid w:val="006621E3"/>
    <w:rsid w:val="0068048B"/>
    <w:rsid w:val="006848A6"/>
    <w:rsid w:val="006864C3"/>
    <w:rsid w:val="0069559C"/>
    <w:rsid w:val="00696584"/>
    <w:rsid w:val="006A10C3"/>
    <w:rsid w:val="006B126C"/>
    <w:rsid w:val="006B3178"/>
    <w:rsid w:val="006B4159"/>
    <w:rsid w:val="006C28D3"/>
    <w:rsid w:val="006C5DCD"/>
    <w:rsid w:val="006E2169"/>
    <w:rsid w:val="006F2DB2"/>
    <w:rsid w:val="006F3BB9"/>
    <w:rsid w:val="00700CFB"/>
    <w:rsid w:val="00710F73"/>
    <w:rsid w:val="0071482C"/>
    <w:rsid w:val="00715C36"/>
    <w:rsid w:val="00722724"/>
    <w:rsid w:val="00724E66"/>
    <w:rsid w:val="007253AB"/>
    <w:rsid w:val="00725C77"/>
    <w:rsid w:val="007349C8"/>
    <w:rsid w:val="0074029B"/>
    <w:rsid w:val="00742886"/>
    <w:rsid w:val="0076630F"/>
    <w:rsid w:val="00780860"/>
    <w:rsid w:val="00784067"/>
    <w:rsid w:val="00791DE2"/>
    <w:rsid w:val="00792CA3"/>
    <w:rsid w:val="007A594F"/>
    <w:rsid w:val="007A5F7C"/>
    <w:rsid w:val="007B0AF3"/>
    <w:rsid w:val="007B2C34"/>
    <w:rsid w:val="007B2FDD"/>
    <w:rsid w:val="007B3D3B"/>
    <w:rsid w:val="007C41EF"/>
    <w:rsid w:val="007C65FC"/>
    <w:rsid w:val="007C7B09"/>
    <w:rsid w:val="007D05AC"/>
    <w:rsid w:val="007E1944"/>
    <w:rsid w:val="007E2D74"/>
    <w:rsid w:val="007E6286"/>
    <w:rsid w:val="007F194F"/>
    <w:rsid w:val="007F3949"/>
    <w:rsid w:val="00805EDE"/>
    <w:rsid w:val="00806DAA"/>
    <w:rsid w:val="00807832"/>
    <w:rsid w:val="008121B1"/>
    <w:rsid w:val="008163CE"/>
    <w:rsid w:val="0081769A"/>
    <w:rsid w:val="008264B8"/>
    <w:rsid w:val="00830321"/>
    <w:rsid w:val="0083468A"/>
    <w:rsid w:val="00842D43"/>
    <w:rsid w:val="0084508F"/>
    <w:rsid w:val="00851007"/>
    <w:rsid w:val="008573B1"/>
    <w:rsid w:val="00875A56"/>
    <w:rsid w:val="0088642E"/>
    <w:rsid w:val="008A1CCE"/>
    <w:rsid w:val="008D0CF6"/>
    <w:rsid w:val="008E45E7"/>
    <w:rsid w:val="008F7AB3"/>
    <w:rsid w:val="009010C4"/>
    <w:rsid w:val="00905FD1"/>
    <w:rsid w:val="009116EA"/>
    <w:rsid w:val="0092042E"/>
    <w:rsid w:val="00926F3B"/>
    <w:rsid w:val="00927FA6"/>
    <w:rsid w:val="00933671"/>
    <w:rsid w:val="0095412B"/>
    <w:rsid w:val="00984879"/>
    <w:rsid w:val="00985632"/>
    <w:rsid w:val="00991B63"/>
    <w:rsid w:val="0099681C"/>
    <w:rsid w:val="009A6BDC"/>
    <w:rsid w:val="009B2428"/>
    <w:rsid w:val="009B5CB7"/>
    <w:rsid w:val="009C03DE"/>
    <w:rsid w:val="009C1810"/>
    <w:rsid w:val="009C3B12"/>
    <w:rsid w:val="009C6F3F"/>
    <w:rsid w:val="009C7FC6"/>
    <w:rsid w:val="009D2644"/>
    <w:rsid w:val="009E28F2"/>
    <w:rsid w:val="009E5F23"/>
    <w:rsid w:val="00A05736"/>
    <w:rsid w:val="00A23842"/>
    <w:rsid w:val="00A2425D"/>
    <w:rsid w:val="00A2766A"/>
    <w:rsid w:val="00A31242"/>
    <w:rsid w:val="00A4001A"/>
    <w:rsid w:val="00A4518D"/>
    <w:rsid w:val="00A46600"/>
    <w:rsid w:val="00A52530"/>
    <w:rsid w:val="00A54B46"/>
    <w:rsid w:val="00A610D9"/>
    <w:rsid w:val="00A66E4D"/>
    <w:rsid w:val="00A723F5"/>
    <w:rsid w:val="00A7619F"/>
    <w:rsid w:val="00A81858"/>
    <w:rsid w:val="00A85EBD"/>
    <w:rsid w:val="00AB7FB8"/>
    <w:rsid w:val="00AC65DA"/>
    <w:rsid w:val="00AC6F1A"/>
    <w:rsid w:val="00AC7396"/>
    <w:rsid w:val="00AD548C"/>
    <w:rsid w:val="00AE08A7"/>
    <w:rsid w:val="00AE7480"/>
    <w:rsid w:val="00AF1447"/>
    <w:rsid w:val="00AF2552"/>
    <w:rsid w:val="00AF6E85"/>
    <w:rsid w:val="00B074A6"/>
    <w:rsid w:val="00B10BD1"/>
    <w:rsid w:val="00B21D09"/>
    <w:rsid w:val="00B24D1A"/>
    <w:rsid w:val="00B265DD"/>
    <w:rsid w:val="00B300CE"/>
    <w:rsid w:val="00B3674C"/>
    <w:rsid w:val="00B409EF"/>
    <w:rsid w:val="00B40E45"/>
    <w:rsid w:val="00B4394A"/>
    <w:rsid w:val="00B45116"/>
    <w:rsid w:val="00B626A5"/>
    <w:rsid w:val="00B7034E"/>
    <w:rsid w:val="00B77A09"/>
    <w:rsid w:val="00B9286F"/>
    <w:rsid w:val="00B9628B"/>
    <w:rsid w:val="00BB717A"/>
    <w:rsid w:val="00BC0908"/>
    <w:rsid w:val="00BC5406"/>
    <w:rsid w:val="00BC5774"/>
    <w:rsid w:val="00BD1ECE"/>
    <w:rsid w:val="00BD5F90"/>
    <w:rsid w:val="00C04021"/>
    <w:rsid w:val="00C05E74"/>
    <w:rsid w:val="00C07572"/>
    <w:rsid w:val="00C10C19"/>
    <w:rsid w:val="00C11108"/>
    <w:rsid w:val="00C17D9D"/>
    <w:rsid w:val="00C247AD"/>
    <w:rsid w:val="00C30785"/>
    <w:rsid w:val="00C43F3E"/>
    <w:rsid w:val="00C448BA"/>
    <w:rsid w:val="00C5649C"/>
    <w:rsid w:val="00C5752B"/>
    <w:rsid w:val="00C65C6F"/>
    <w:rsid w:val="00C72D27"/>
    <w:rsid w:val="00C8202C"/>
    <w:rsid w:val="00C821B5"/>
    <w:rsid w:val="00C82311"/>
    <w:rsid w:val="00C85548"/>
    <w:rsid w:val="00C92A5B"/>
    <w:rsid w:val="00CA46EC"/>
    <w:rsid w:val="00CB5A8F"/>
    <w:rsid w:val="00CB79F1"/>
    <w:rsid w:val="00CC60B0"/>
    <w:rsid w:val="00CD414B"/>
    <w:rsid w:val="00CD4515"/>
    <w:rsid w:val="00CD73CB"/>
    <w:rsid w:val="00CE1391"/>
    <w:rsid w:val="00D00513"/>
    <w:rsid w:val="00D0261F"/>
    <w:rsid w:val="00D04991"/>
    <w:rsid w:val="00D0598F"/>
    <w:rsid w:val="00D078F5"/>
    <w:rsid w:val="00D1394D"/>
    <w:rsid w:val="00D17848"/>
    <w:rsid w:val="00D223C3"/>
    <w:rsid w:val="00D45209"/>
    <w:rsid w:val="00D533A1"/>
    <w:rsid w:val="00D637C0"/>
    <w:rsid w:val="00D74592"/>
    <w:rsid w:val="00D75777"/>
    <w:rsid w:val="00D805A9"/>
    <w:rsid w:val="00D814D0"/>
    <w:rsid w:val="00D81779"/>
    <w:rsid w:val="00D83FBC"/>
    <w:rsid w:val="00D878AE"/>
    <w:rsid w:val="00D90241"/>
    <w:rsid w:val="00D903FD"/>
    <w:rsid w:val="00D923FC"/>
    <w:rsid w:val="00D9431E"/>
    <w:rsid w:val="00D9622A"/>
    <w:rsid w:val="00D96C08"/>
    <w:rsid w:val="00DA6F94"/>
    <w:rsid w:val="00DB2553"/>
    <w:rsid w:val="00DB38AF"/>
    <w:rsid w:val="00DD445B"/>
    <w:rsid w:val="00DD5BE4"/>
    <w:rsid w:val="00DD74AA"/>
    <w:rsid w:val="00DE2651"/>
    <w:rsid w:val="00DF0893"/>
    <w:rsid w:val="00DF31C6"/>
    <w:rsid w:val="00DF4CBD"/>
    <w:rsid w:val="00E00645"/>
    <w:rsid w:val="00E05BF2"/>
    <w:rsid w:val="00E11BEA"/>
    <w:rsid w:val="00E13CFE"/>
    <w:rsid w:val="00E20EAB"/>
    <w:rsid w:val="00E27F32"/>
    <w:rsid w:val="00E32601"/>
    <w:rsid w:val="00E527B2"/>
    <w:rsid w:val="00E5500D"/>
    <w:rsid w:val="00E57344"/>
    <w:rsid w:val="00E60221"/>
    <w:rsid w:val="00E64521"/>
    <w:rsid w:val="00E6540C"/>
    <w:rsid w:val="00E7032C"/>
    <w:rsid w:val="00E751E0"/>
    <w:rsid w:val="00E84A53"/>
    <w:rsid w:val="00E84C5F"/>
    <w:rsid w:val="00E856A0"/>
    <w:rsid w:val="00E90FDD"/>
    <w:rsid w:val="00E9367D"/>
    <w:rsid w:val="00EA6DAD"/>
    <w:rsid w:val="00EA7DEF"/>
    <w:rsid w:val="00EB36E0"/>
    <w:rsid w:val="00EB7FD3"/>
    <w:rsid w:val="00EC30C5"/>
    <w:rsid w:val="00ED3CCF"/>
    <w:rsid w:val="00ED43D2"/>
    <w:rsid w:val="00ED714D"/>
    <w:rsid w:val="00ED7550"/>
    <w:rsid w:val="00EE3B8C"/>
    <w:rsid w:val="00EF052C"/>
    <w:rsid w:val="00EF1717"/>
    <w:rsid w:val="00F02783"/>
    <w:rsid w:val="00F0432F"/>
    <w:rsid w:val="00F16965"/>
    <w:rsid w:val="00F2587D"/>
    <w:rsid w:val="00F27AFF"/>
    <w:rsid w:val="00F34B97"/>
    <w:rsid w:val="00F35CE0"/>
    <w:rsid w:val="00F500CB"/>
    <w:rsid w:val="00F52A6E"/>
    <w:rsid w:val="00F54811"/>
    <w:rsid w:val="00F56105"/>
    <w:rsid w:val="00F76304"/>
    <w:rsid w:val="00F77A61"/>
    <w:rsid w:val="00F877BC"/>
    <w:rsid w:val="00F96748"/>
    <w:rsid w:val="00FB10CB"/>
    <w:rsid w:val="00FB24C6"/>
    <w:rsid w:val="00FB7444"/>
    <w:rsid w:val="00FC3E16"/>
    <w:rsid w:val="00FF1F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1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25D"/>
  </w:style>
  <w:style w:type="paragraph" w:styleId="Heading1">
    <w:name w:val="heading 1"/>
    <w:basedOn w:val="Normal"/>
    <w:next w:val="Normal"/>
    <w:link w:val="Heading1Char"/>
    <w:uiPriority w:val="9"/>
    <w:qFormat/>
    <w:rsid w:val="00E90FDD"/>
    <w:pPr>
      <w:pBdr>
        <w:bottom w:val="single" w:sz="4" w:space="1" w:color="427730"/>
      </w:pBdr>
      <w:spacing w:before="360" w:after="240" w:line="240" w:lineRule="auto"/>
      <w:contextualSpacing/>
      <w:outlineLvl w:val="0"/>
    </w:pPr>
    <w:rPr>
      <w:rFonts w:ascii="Calibri" w:eastAsiaTheme="majorEastAsia" w:hAnsi="Calibri" w:cstheme="majorBidi"/>
      <w:b/>
      <w:bCs/>
      <w:color w:val="427730"/>
      <w:sz w:val="36"/>
      <w:szCs w:val="28"/>
    </w:rPr>
  </w:style>
  <w:style w:type="paragraph" w:styleId="Heading2">
    <w:name w:val="heading 2"/>
    <w:basedOn w:val="Normal"/>
    <w:next w:val="Normal"/>
    <w:link w:val="Heading2Char"/>
    <w:uiPriority w:val="9"/>
    <w:unhideWhenUsed/>
    <w:qFormat/>
    <w:rsid w:val="00A31242"/>
    <w:pPr>
      <w:spacing w:before="200" w:after="0"/>
      <w:outlineLvl w:val="1"/>
    </w:pPr>
    <w:rPr>
      <w:rFonts w:ascii="Calibri" w:eastAsiaTheme="majorEastAsia" w:hAnsi="Calibri" w:cstheme="majorBidi"/>
      <w:b/>
      <w:bCs/>
      <w:sz w:val="28"/>
      <w:szCs w:val="26"/>
    </w:rPr>
  </w:style>
  <w:style w:type="paragraph" w:styleId="Heading3">
    <w:name w:val="heading 3"/>
    <w:basedOn w:val="Normal"/>
    <w:next w:val="Normal"/>
    <w:link w:val="Heading3Char"/>
    <w:uiPriority w:val="9"/>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0000FF"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E90FDD"/>
    <w:rPr>
      <w:rFonts w:ascii="Calibri" w:eastAsiaTheme="majorEastAsia" w:hAnsi="Calibri" w:cstheme="majorBidi"/>
      <w:b/>
      <w:bCs/>
      <w:color w:val="427730"/>
      <w:sz w:val="36"/>
      <w:szCs w:val="28"/>
    </w:rPr>
  </w:style>
  <w:style w:type="character" w:customStyle="1" w:styleId="Heading2Char">
    <w:name w:val="Heading 2 Char"/>
    <w:basedOn w:val="DefaultParagraphFont"/>
    <w:link w:val="Heading2"/>
    <w:uiPriority w:val="9"/>
    <w:rsid w:val="00A31242"/>
    <w:rPr>
      <w:rFonts w:ascii="Calibri" w:eastAsiaTheme="majorEastAsia" w:hAnsi="Calibri" w:cstheme="majorBidi"/>
      <w:b/>
      <w:bCs/>
      <w:sz w:val="28"/>
      <w:szCs w:val="26"/>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0861A6"/>
    <w:pPr>
      <w:spacing w:after="120" w:line="240" w:lineRule="auto"/>
      <w:contextualSpacing/>
    </w:pPr>
    <w:rPr>
      <w:rFonts w:ascii="Calibri" w:eastAsiaTheme="majorEastAsia" w:hAnsi="Calibri" w:cstheme="majorBidi"/>
      <w:b/>
      <w:spacing w:val="5"/>
      <w:sz w:val="56"/>
      <w:szCs w:val="52"/>
    </w:rPr>
  </w:style>
  <w:style w:type="character" w:customStyle="1" w:styleId="TitleChar">
    <w:name w:val="Title Char"/>
    <w:basedOn w:val="DefaultParagraphFont"/>
    <w:link w:val="Title"/>
    <w:uiPriority w:val="10"/>
    <w:rsid w:val="000861A6"/>
    <w:rPr>
      <w:rFonts w:ascii="Calibri" w:eastAsiaTheme="majorEastAsia" w:hAnsi="Calibri" w:cstheme="majorBidi"/>
      <w:b/>
      <w:spacing w:val="5"/>
      <w:sz w:val="56"/>
      <w:szCs w:val="52"/>
    </w:rPr>
  </w:style>
  <w:style w:type="paragraph" w:styleId="Subtitle">
    <w:name w:val="Subtitle"/>
    <w:basedOn w:val="Normal"/>
    <w:next w:val="Normal"/>
    <w:link w:val="SubtitleChar"/>
    <w:uiPriority w:val="11"/>
    <w:qFormat/>
    <w:rsid w:val="00A2425D"/>
    <w:pPr>
      <w:spacing w:after="240"/>
    </w:pPr>
    <w:rPr>
      <w:rFonts w:ascii="Calibri" w:eastAsiaTheme="majorEastAsia" w:hAnsi="Calibri" w:cstheme="majorBidi"/>
      <w:b/>
      <w:iCs/>
      <w:color w:val="427730"/>
      <w:spacing w:val="13"/>
      <w:sz w:val="40"/>
      <w:szCs w:val="24"/>
    </w:rPr>
  </w:style>
  <w:style w:type="character" w:customStyle="1" w:styleId="SubtitleChar">
    <w:name w:val="Subtitle Char"/>
    <w:basedOn w:val="DefaultParagraphFont"/>
    <w:link w:val="Subtitle"/>
    <w:uiPriority w:val="11"/>
    <w:rsid w:val="00A2425D"/>
    <w:rPr>
      <w:rFonts w:ascii="Calibri" w:eastAsiaTheme="majorEastAsia" w:hAnsi="Calibri" w:cstheme="majorBidi"/>
      <w:b/>
      <w:iCs/>
      <w:color w:val="427730"/>
      <w:spacing w:val="13"/>
      <w:sz w:val="40"/>
      <w:szCs w:val="24"/>
    </w:rPr>
  </w:style>
  <w:style w:type="paragraph" w:styleId="NoSpacing">
    <w:name w:val="No Spacing"/>
    <w:basedOn w:val="Normal"/>
    <w:uiPriority w:val="1"/>
    <w:qFormat/>
    <w:rsid w:val="00AC65DA"/>
    <w:pPr>
      <w:spacing w:after="0" w:line="240" w:lineRule="auto"/>
    </w:pPr>
  </w:style>
  <w:style w:type="paragraph" w:styleId="ListParagraph">
    <w:name w:val="List Paragraph"/>
    <w:basedOn w:val="Normal"/>
    <w:uiPriority w:val="34"/>
    <w:qFormat/>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semiHidden/>
    <w:unhideWhenUsed/>
    <w:qFormat/>
    <w:rsid w:val="00AC65DA"/>
    <w:pPr>
      <w:outlineLvl w:val="9"/>
    </w:pPr>
    <w:rPr>
      <w:lang w:bidi="en-US"/>
    </w:rPr>
  </w:style>
  <w:style w:type="paragraph" w:styleId="ListNumber">
    <w:name w:val="List Number"/>
    <w:basedOn w:val="Normal"/>
    <w:uiPriority w:val="99"/>
    <w:unhideWhenUsed/>
    <w:rsid w:val="00FB10CB"/>
    <w:pPr>
      <w:numPr>
        <w:numId w:val="11"/>
      </w:numPr>
      <w:spacing w:after="120"/>
      <w:ind w:left="369" w:hanging="369"/>
      <w:contextualSpacing/>
    </w:pPr>
  </w:style>
  <w:style w:type="paragraph" w:styleId="ListNumber2">
    <w:name w:val="List Number 2"/>
    <w:basedOn w:val="Normal"/>
    <w:uiPriority w:val="99"/>
    <w:unhideWhenUsed/>
    <w:rsid w:val="00985632"/>
    <w:pPr>
      <w:numPr>
        <w:ilvl w:val="1"/>
        <w:numId w:val="1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1"/>
      </w:numPr>
      <w:spacing w:after="120"/>
      <w:ind w:left="1701" w:hanging="765"/>
      <w:contextualSpacing/>
    </w:pPr>
  </w:style>
  <w:style w:type="paragraph" w:styleId="ListNumber4">
    <w:name w:val="List Number 4"/>
    <w:basedOn w:val="Normal"/>
    <w:uiPriority w:val="99"/>
    <w:unhideWhenUsed/>
    <w:rsid w:val="00406E5A"/>
    <w:pPr>
      <w:numPr>
        <w:ilvl w:val="3"/>
        <w:numId w:val="11"/>
      </w:numPr>
      <w:spacing w:after="120"/>
      <w:ind w:left="2637" w:hanging="936"/>
      <w:contextualSpacing/>
    </w:pPr>
  </w:style>
  <w:style w:type="paragraph" w:styleId="ListBullet">
    <w:name w:val="List Bullet"/>
    <w:basedOn w:val="Normal"/>
    <w:uiPriority w:val="99"/>
    <w:unhideWhenUsed/>
    <w:rsid w:val="00CA46EC"/>
    <w:pPr>
      <w:numPr>
        <w:numId w:val="16"/>
      </w:numPr>
      <w:spacing w:after="120"/>
      <w:contextualSpacing/>
    </w:pPr>
  </w:style>
  <w:style w:type="paragraph" w:styleId="ListBullet2">
    <w:name w:val="List Bullet 2"/>
    <w:basedOn w:val="Normal"/>
    <w:uiPriority w:val="99"/>
    <w:unhideWhenUsed/>
    <w:rsid w:val="00CA46EC"/>
    <w:pPr>
      <w:numPr>
        <w:ilvl w:val="1"/>
        <w:numId w:val="16"/>
      </w:numPr>
      <w:spacing w:after="120"/>
      <w:contextualSpacing/>
    </w:pPr>
  </w:style>
  <w:style w:type="paragraph" w:styleId="ListBullet3">
    <w:name w:val="List Bullet 3"/>
    <w:basedOn w:val="Normal"/>
    <w:uiPriority w:val="99"/>
    <w:unhideWhenUsed/>
    <w:rsid w:val="00CA46EC"/>
    <w:pPr>
      <w:numPr>
        <w:ilvl w:val="2"/>
        <w:numId w:val="16"/>
      </w:numPr>
      <w:spacing w:after="120"/>
      <w:contextualSpacing/>
    </w:pPr>
  </w:style>
  <w:style w:type="paragraph" w:styleId="ListBullet4">
    <w:name w:val="List Bullet 4"/>
    <w:basedOn w:val="Normal"/>
    <w:uiPriority w:val="99"/>
    <w:unhideWhenUsed/>
    <w:rsid w:val="00CA46EC"/>
    <w:pPr>
      <w:numPr>
        <w:ilvl w:val="3"/>
        <w:numId w:val="16"/>
      </w:numPr>
      <w:spacing w:after="120"/>
      <w:contextualSpacing/>
    </w:pPr>
  </w:style>
  <w:style w:type="table" w:styleId="TableGrid">
    <w:name w:val="Table Grid"/>
    <w:basedOn w:val="TableNormal"/>
    <w:uiPriority w:val="59"/>
    <w:rsid w:val="00792C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EEWRTable">
    <w:name w:val="DEEWR Table"/>
    <w:basedOn w:val="TableNormal"/>
    <w:uiPriority w:val="99"/>
    <w:rsid w:val="00ED3CCF"/>
    <w:pPr>
      <w:spacing w:after="0" w:line="240" w:lineRule="auto"/>
    </w:pPr>
    <w:rPr>
      <w:sz w:val="20"/>
    </w:rPr>
    <w:tblPr>
      <w:tblStyleRowBandSize w:val="1"/>
      <w:tblInd w:w="0" w:type="dxa"/>
      <w:tblCellMar>
        <w:top w:w="0" w:type="dxa"/>
        <w:left w:w="108" w:type="dxa"/>
        <w:bottom w:w="0" w:type="dxa"/>
        <w:right w:w="108" w:type="dxa"/>
      </w:tblCellMar>
    </w:tblPr>
    <w:tblStylePr w:type="firstRow">
      <w:pPr>
        <w:wordWrap/>
        <w:ind w:leftChars="0" w:left="0" w:rightChars="0" w:right="0"/>
        <w:jc w:val="left"/>
      </w:pPr>
      <w:rPr>
        <w:rFonts w:asciiTheme="minorHAnsi" w:hAnsiTheme="minorHAnsi"/>
        <w:b/>
        <w:color w:val="FFFFFF" w:themeColor="background1"/>
        <w:sz w:val="20"/>
      </w:rPr>
      <w:tblPr/>
      <w:tcPr>
        <w:shd w:val="clear" w:color="auto" w:fill="427730"/>
      </w:tcPr>
    </w:tblStylePr>
    <w:tblStylePr w:type="band2Horz">
      <w:tblPr/>
      <w:tcPr>
        <w:shd w:val="clear" w:color="auto" w:fill="D9E6DA"/>
      </w:tcPr>
    </w:tblStylePr>
  </w:style>
  <w:style w:type="paragraph" w:styleId="Header">
    <w:name w:val="header"/>
    <w:basedOn w:val="Normal"/>
    <w:link w:val="HeaderChar"/>
    <w:uiPriority w:val="99"/>
    <w:unhideWhenUsed/>
    <w:rsid w:val="007349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49C8"/>
  </w:style>
  <w:style w:type="paragraph" w:styleId="Footer">
    <w:name w:val="footer"/>
    <w:basedOn w:val="Normal"/>
    <w:link w:val="FooterChar"/>
    <w:uiPriority w:val="99"/>
    <w:unhideWhenUsed/>
    <w:rsid w:val="007349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49C8"/>
  </w:style>
  <w:style w:type="paragraph" w:styleId="BalloonText">
    <w:name w:val="Balloon Text"/>
    <w:basedOn w:val="Normal"/>
    <w:link w:val="BalloonTextChar"/>
    <w:uiPriority w:val="99"/>
    <w:semiHidden/>
    <w:unhideWhenUsed/>
    <w:rsid w:val="007349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9C8"/>
    <w:rPr>
      <w:rFonts w:ascii="Tahoma" w:hAnsi="Tahoma" w:cs="Tahoma"/>
      <w:sz w:val="16"/>
      <w:szCs w:val="16"/>
    </w:rPr>
  </w:style>
  <w:style w:type="paragraph" w:styleId="FootnoteText">
    <w:name w:val="footnote text"/>
    <w:aliases w:val="Footnote Text Char1 Char,Footnote Text Char Char Char,Footnote Text Char1 Char Char Char,Footnote Text Char Char Char Char Char,Footnote Text Char1 Char1,Footnote Text Char Char Char1"/>
    <w:basedOn w:val="Normal"/>
    <w:link w:val="FootnoteTextChar"/>
    <w:uiPriority w:val="99"/>
    <w:unhideWhenUsed/>
    <w:rsid w:val="003F060E"/>
    <w:pPr>
      <w:spacing w:after="0" w:line="240" w:lineRule="auto"/>
    </w:pPr>
    <w:rPr>
      <w:rFonts w:ascii="Arial" w:eastAsia="Times New Roman" w:hAnsi="Arial" w:cs="Times New Roman"/>
      <w:sz w:val="20"/>
      <w:szCs w:val="20"/>
    </w:rPr>
  </w:style>
  <w:style w:type="character" w:customStyle="1" w:styleId="FootnoteTextChar">
    <w:name w:val="Footnote Text Char"/>
    <w:aliases w:val="Footnote Text Char1 Char Char,Footnote Text Char Char Char Char,Footnote Text Char1 Char Char Char Char,Footnote Text Char Char Char Char Char Char,Footnote Text Char1 Char1 Char,Footnote Text Char Char Char1 Char"/>
    <w:basedOn w:val="DefaultParagraphFont"/>
    <w:link w:val="FootnoteText"/>
    <w:uiPriority w:val="99"/>
    <w:rsid w:val="003F060E"/>
    <w:rPr>
      <w:rFonts w:ascii="Arial" w:eastAsia="Times New Roman" w:hAnsi="Arial" w:cs="Times New Roman"/>
      <w:sz w:val="20"/>
      <w:szCs w:val="20"/>
    </w:rPr>
  </w:style>
  <w:style w:type="character" w:styleId="FootnoteReference">
    <w:name w:val="footnote reference"/>
    <w:basedOn w:val="DefaultParagraphFont"/>
    <w:uiPriority w:val="99"/>
    <w:unhideWhenUsed/>
    <w:rsid w:val="003F060E"/>
    <w:rPr>
      <w:vertAlign w:val="superscript"/>
    </w:rPr>
  </w:style>
  <w:style w:type="table" w:styleId="LightShading-Accent1">
    <w:name w:val="Light Shading Accent 1"/>
    <w:basedOn w:val="TableNormal"/>
    <w:uiPriority w:val="60"/>
    <w:rsid w:val="003F060E"/>
    <w:pPr>
      <w:spacing w:after="0" w:line="240" w:lineRule="auto"/>
    </w:pPr>
    <w:rPr>
      <w:rFonts w:eastAsiaTheme="minorHAns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B074A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25D"/>
  </w:style>
  <w:style w:type="paragraph" w:styleId="Heading1">
    <w:name w:val="heading 1"/>
    <w:basedOn w:val="Normal"/>
    <w:next w:val="Normal"/>
    <w:link w:val="Heading1Char"/>
    <w:uiPriority w:val="9"/>
    <w:qFormat/>
    <w:rsid w:val="00E90FDD"/>
    <w:pPr>
      <w:pBdr>
        <w:bottom w:val="single" w:sz="4" w:space="1" w:color="427730"/>
      </w:pBdr>
      <w:spacing w:before="360" w:after="240" w:line="240" w:lineRule="auto"/>
      <w:contextualSpacing/>
      <w:outlineLvl w:val="0"/>
    </w:pPr>
    <w:rPr>
      <w:rFonts w:ascii="Calibri" w:eastAsiaTheme="majorEastAsia" w:hAnsi="Calibri" w:cstheme="majorBidi"/>
      <w:b/>
      <w:bCs/>
      <w:color w:val="427730"/>
      <w:sz w:val="36"/>
      <w:szCs w:val="28"/>
    </w:rPr>
  </w:style>
  <w:style w:type="paragraph" w:styleId="Heading2">
    <w:name w:val="heading 2"/>
    <w:basedOn w:val="Normal"/>
    <w:next w:val="Normal"/>
    <w:link w:val="Heading2Char"/>
    <w:uiPriority w:val="9"/>
    <w:unhideWhenUsed/>
    <w:qFormat/>
    <w:rsid w:val="00A31242"/>
    <w:pPr>
      <w:spacing w:before="200" w:after="0"/>
      <w:outlineLvl w:val="1"/>
    </w:pPr>
    <w:rPr>
      <w:rFonts w:ascii="Calibri" w:eastAsiaTheme="majorEastAsia" w:hAnsi="Calibri" w:cstheme="majorBidi"/>
      <w:b/>
      <w:bCs/>
      <w:sz w:val="28"/>
      <w:szCs w:val="26"/>
    </w:rPr>
  </w:style>
  <w:style w:type="paragraph" w:styleId="Heading3">
    <w:name w:val="heading 3"/>
    <w:basedOn w:val="Normal"/>
    <w:next w:val="Normal"/>
    <w:link w:val="Heading3Char"/>
    <w:uiPriority w:val="9"/>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0000FF"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E90FDD"/>
    <w:rPr>
      <w:rFonts w:ascii="Calibri" w:eastAsiaTheme="majorEastAsia" w:hAnsi="Calibri" w:cstheme="majorBidi"/>
      <w:b/>
      <w:bCs/>
      <w:color w:val="427730"/>
      <w:sz w:val="36"/>
      <w:szCs w:val="28"/>
    </w:rPr>
  </w:style>
  <w:style w:type="character" w:customStyle="1" w:styleId="Heading2Char">
    <w:name w:val="Heading 2 Char"/>
    <w:basedOn w:val="DefaultParagraphFont"/>
    <w:link w:val="Heading2"/>
    <w:uiPriority w:val="9"/>
    <w:rsid w:val="00A31242"/>
    <w:rPr>
      <w:rFonts w:ascii="Calibri" w:eastAsiaTheme="majorEastAsia" w:hAnsi="Calibri" w:cstheme="majorBidi"/>
      <w:b/>
      <w:bCs/>
      <w:sz w:val="28"/>
      <w:szCs w:val="26"/>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0861A6"/>
    <w:pPr>
      <w:spacing w:after="120" w:line="240" w:lineRule="auto"/>
      <w:contextualSpacing/>
    </w:pPr>
    <w:rPr>
      <w:rFonts w:ascii="Calibri" w:eastAsiaTheme="majorEastAsia" w:hAnsi="Calibri" w:cstheme="majorBidi"/>
      <w:b/>
      <w:spacing w:val="5"/>
      <w:sz w:val="56"/>
      <w:szCs w:val="52"/>
    </w:rPr>
  </w:style>
  <w:style w:type="character" w:customStyle="1" w:styleId="TitleChar">
    <w:name w:val="Title Char"/>
    <w:basedOn w:val="DefaultParagraphFont"/>
    <w:link w:val="Title"/>
    <w:uiPriority w:val="10"/>
    <w:rsid w:val="000861A6"/>
    <w:rPr>
      <w:rFonts w:ascii="Calibri" w:eastAsiaTheme="majorEastAsia" w:hAnsi="Calibri" w:cstheme="majorBidi"/>
      <w:b/>
      <w:spacing w:val="5"/>
      <w:sz w:val="56"/>
      <w:szCs w:val="52"/>
    </w:rPr>
  </w:style>
  <w:style w:type="paragraph" w:styleId="Subtitle">
    <w:name w:val="Subtitle"/>
    <w:basedOn w:val="Normal"/>
    <w:next w:val="Normal"/>
    <w:link w:val="SubtitleChar"/>
    <w:uiPriority w:val="11"/>
    <w:qFormat/>
    <w:rsid w:val="00A2425D"/>
    <w:pPr>
      <w:spacing w:after="240"/>
    </w:pPr>
    <w:rPr>
      <w:rFonts w:ascii="Calibri" w:eastAsiaTheme="majorEastAsia" w:hAnsi="Calibri" w:cstheme="majorBidi"/>
      <w:b/>
      <w:iCs/>
      <w:color w:val="427730"/>
      <w:spacing w:val="13"/>
      <w:sz w:val="40"/>
      <w:szCs w:val="24"/>
    </w:rPr>
  </w:style>
  <w:style w:type="character" w:customStyle="1" w:styleId="SubtitleChar">
    <w:name w:val="Subtitle Char"/>
    <w:basedOn w:val="DefaultParagraphFont"/>
    <w:link w:val="Subtitle"/>
    <w:uiPriority w:val="11"/>
    <w:rsid w:val="00A2425D"/>
    <w:rPr>
      <w:rFonts w:ascii="Calibri" w:eastAsiaTheme="majorEastAsia" w:hAnsi="Calibri" w:cstheme="majorBidi"/>
      <w:b/>
      <w:iCs/>
      <w:color w:val="427730"/>
      <w:spacing w:val="13"/>
      <w:sz w:val="40"/>
      <w:szCs w:val="24"/>
    </w:rPr>
  </w:style>
  <w:style w:type="paragraph" w:styleId="NoSpacing">
    <w:name w:val="No Spacing"/>
    <w:basedOn w:val="Normal"/>
    <w:uiPriority w:val="1"/>
    <w:qFormat/>
    <w:rsid w:val="00AC65DA"/>
    <w:pPr>
      <w:spacing w:after="0" w:line="240" w:lineRule="auto"/>
    </w:pPr>
  </w:style>
  <w:style w:type="paragraph" w:styleId="ListParagraph">
    <w:name w:val="List Paragraph"/>
    <w:basedOn w:val="Normal"/>
    <w:uiPriority w:val="34"/>
    <w:qFormat/>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semiHidden/>
    <w:unhideWhenUsed/>
    <w:qFormat/>
    <w:rsid w:val="00AC65DA"/>
    <w:pPr>
      <w:outlineLvl w:val="9"/>
    </w:pPr>
    <w:rPr>
      <w:lang w:bidi="en-US"/>
    </w:rPr>
  </w:style>
  <w:style w:type="paragraph" w:styleId="ListNumber">
    <w:name w:val="List Number"/>
    <w:basedOn w:val="Normal"/>
    <w:uiPriority w:val="99"/>
    <w:unhideWhenUsed/>
    <w:rsid w:val="00FB10CB"/>
    <w:pPr>
      <w:numPr>
        <w:numId w:val="11"/>
      </w:numPr>
      <w:spacing w:after="120"/>
      <w:ind w:left="369" w:hanging="369"/>
      <w:contextualSpacing/>
    </w:pPr>
  </w:style>
  <w:style w:type="paragraph" w:styleId="ListNumber2">
    <w:name w:val="List Number 2"/>
    <w:basedOn w:val="Normal"/>
    <w:uiPriority w:val="99"/>
    <w:unhideWhenUsed/>
    <w:rsid w:val="00985632"/>
    <w:pPr>
      <w:numPr>
        <w:ilvl w:val="1"/>
        <w:numId w:val="1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1"/>
      </w:numPr>
      <w:spacing w:after="120"/>
      <w:ind w:left="1701" w:hanging="765"/>
      <w:contextualSpacing/>
    </w:pPr>
  </w:style>
  <w:style w:type="paragraph" w:styleId="ListNumber4">
    <w:name w:val="List Number 4"/>
    <w:basedOn w:val="Normal"/>
    <w:uiPriority w:val="99"/>
    <w:unhideWhenUsed/>
    <w:rsid w:val="00406E5A"/>
    <w:pPr>
      <w:numPr>
        <w:ilvl w:val="3"/>
        <w:numId w:val="11"/>
      </w:numPr>
      <w:spacing w:after="120"/>
      <w:ind w:left="2637" w:hanging="936"/>
      <w:contextualSpacing/>
    </w:pPr>
  </w:style>
  <w:style w:type="paragraph" w:styleId="ListBullet">
    <w:name w:val="List Bullet"/>
    <w:basedOn w:val="Normal"/>
    <w:uiPriority w:val="99"/>
    <w:unhideWhenUsed/>
    <w:rsid w:val="00CA46EC"/>
    <w:pPr>
      <w:numPr>
        <w:numId w:val="16"/>
      </w:numPr>
      <w:spacing w:after="120"/>
      <w:contextualSpacing/>
    </w:pPr>
  </w:style>
  <w:style w:type="paragraph" w:styleId="ListBullet2">
    <w:name w:val="List Bullet 2"/>
    <w:basedOn w:val="Normal"/>
    <w:uiPriority w:val="99"/>
    <w:unhideWhenUsed/>
    <w:rsid w:val="00CA46EC"/>
    <w:pPr>
      <w:numPr>
        <w:ilvl w:val="1"/>
        <w:numId w:val="16"/>
      </w:numPr>
      <w:spacing w:after="120"/>
      <w:contextualSpacing/>
    </w:pPr>
  </w:style>
  <w:style w:type="paragraph" w:styleId="ListBullet3">
    <w:name w:val="List Bullet 3"/>
    <w:basedOn w:val="Normal"/>
    <w:uiPriority w:val="99"/>
    <w:unhideWhenUsed/>
    <w:rsid w:val="00CA46EC"/>
    <w:pPr>
      <w:numPr>
        <w:ilvl w:val="2"/>
        <w:numId w:val="16"/>
      </w:numPr>
      <w:spacing w:after="120"/>
      <w:contextualSpacing/>
    </w:pPr>
  </w:style>
  <w:style w:type="paragraph" w:styleId="ListBullet4">
    <w:name w:val="List Bullet 4"/>
    <w:basedOn w:val="Normal"/>
    <w:uiPriority w:val="99"/>
    <w:unhideWhenUsed/>
    <w:rsid w:val="00CA46EC"/>
    <w:pPr>
      <w:numPr>
        <w:ilvl w:val="3"/>
        <w:numId w:val="16"/>
      </w:numPr>
      <w:spacing w:after="120"/>
      <w:contextualSpacing/>
    </w:pPr>
  </w:style>
  <w:style w:type="table" w:styleId="TableGrid">
    <w:name w:val="Table Grid"/>
    <w:basedOn w:val="TableNormal"/>
    <w:uiPriority w:val="59"/>
    <w:rsid w:val="00792C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EEWRTable">
    <w:name w:val="DEEWR Table"/>
    <w:basedOn w:val="TableNormal"/>
    <w:uiPriority w:val="99"/>
    <w:rsid w:val="00ED3CCF"/>
    <w:pPr>
      <w:spacing w:after="0" w:line="240" w:lineRule="auto"/>
    </w:pPr>
    <w:rPr>
      <w:sz w:val="20"/>
    </w:rPr>
    <w:tblPr>
      <w:tblStyleRowBandSize w:val="1"/>
      <w:tblInd w:w="0" w:type="dxa"/>
      <w:tblCellMar>
        <w:top w:w="0" w:type="dxa"/>
        <w:left w:w="108" w:type="dxa"/>
        <w:bottom w:w="0" w:type="dxa"/>
        <w:right w:w="108" w:type="dxa"/>
      </w:tblCellMar>
    </w:tblPr>
    <w:tblStylePr w:type="firstRow">
      <w:pPr>
        <w:wordWrap/>
        <w:ind w:leftChars="0" w:left="0" w:rightChars="0" w:right="0"/>
        <w:jc w:val="left"/>
      </w:pPr>
      <w:rPr>
        <w:rFonts w:asciiTheme="minorHAnsi" w:hAnsiTheme="minorHAnsi"/>
        <w:b/>
        <w:color w:val="FFFFFF" w:themeColor="background1"/>
        <w:sz w:val="20"/>
      </w:rPr>
      <w:tblPr/>
      <w:tcPr>
        <w:shd w:val="clear" w:color="auto" w:fill="427730"/>
      </w:tcPr>
    </w:tblStylePr>
    <w:tblStylePr w:type="band2Horz">
      <w:tblPr/>
      <w:tcPr>
        <w:shd w:val="clear" w:color="auto" w:fill="D9E6DA"/>
      </w:tcPr>
    </w:tblStylePr>
  </w:style>
  <w:style w:type="paragraph" w:styleId="Header">
    <w:name w:val="header"/>
    <w:basedOn w:val="Normal"/>
    <w:link w:val="HeaderChar"/>
    <w:uiPriority w:val="99"/>
    <w:unhideWhenUsed/>
    <w:rsid w:val="007349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49C8"/>
  </w:style>
  <w:style w:type="paragraph" w:styleId="Footer">
    <w:name w:val="footer"/>
    <w:basedOn w:val="Normal"/>
    <w:link w:val="FooterChar"/>
    <w:uiPriority w:val="99"/>
    <w:unhideWhenUsed/>
    <w:rsid w:val="007349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49C8"/>
  </w:style>
  <w:style w:type="paragraph" w:styleId="BalloonText">
    <w:name w:val="Balloon Text"/>
    <w:basedOn w:val="Normal"/>
    <w:link w:val="BalloonTextChar"/>
    <w:uiPriority w:val="99"/>
    <w:semiHidden/>
    <w:unhideWhenUsed/>
    <w:rsid w:val="007349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9C8"/>
    <w:rPr>
      <w:rFonts w:ascii="Tahoma" w:hAnsi="Tahoma" w:cs="Tahoma"/>
      <w:sz w:val="16"/>
      <w:szCs w:val="16"/>
    </w:rPr>
  </w:style>
  <w:style w:type="paragraph" w:styleId="FootnoteText">
    <w:name w:val="footnote text"/>
    <w:aliases w:val="Footnote Text Char1 Char,Footnote Text Char Char Char,Footnote Text Char1 Char Char Char,Footnote Text Char Char Char Char Char,Footnote Text Char1 Char1,Footnote Text Char Char Char1"/>
    <w:basedOn w:val="Normal"/>
    <w:link w:val="FootnoteTextChar"/>
    <w:uiPriority w:val="99"/>
    <w:unhideWhenUsed/>
    <w:rsid w:val="003F060E"/>
    <w:pPr>
      <w:spacing w:after="0" w:line="240" w:lineRule="auto"/>
    </w:pPr>
    <w:rPr>
      <w:rFonts w:ascii="Arial" w:eastAsia="Times New Roman" w:hAnsi="Arial" w:cs="Times New Roman"/>
      <w:sz w:val="20"/>
      <w:szCs w:val="20"/>
    </w:rPr>
  </w:style>
  <w:style w:type="character" w:customStyle="1" w:styleId="FootnoteTextChar">
    <w:name w:val="Footnote Text Char"/>
    <w:aliases w:val="Footnote Text Char1 Char Char,Footnote Text Char Char Char Char,Footnote Text Char1 Char Char Char Char,Footnote Text Char Char Char Char Char Char,Footnote Text Char1 Char1 Char,Footnote Text Char Char Char1 Char"/>
    <w:basedOn w:val="DefaultParagraphFont"/>
    <w:link w:val="FootnoteText"/>
    <w:uiPriority w:val="99"/>
    <w:rsid w:val="003F060E"/>
    <w:rPr>
      <w:rFonts w:ascii="Arial" w:eastAsia="Times New Roman" w:hAnsi="Arial" w:cs="Times New Roman"/>
      <w:sz w:val="20"/>
      <w:szCs w:val="20"/>
    </w:rPr>
  </w:style>
  <w:style w:type="character" w:styleId="FootnoteReference">
    <w:name w:val="footnote reference"/>
    <w:basedOn w:val="DefaultParagraphFont"/>
    <w:uiPriority w:val="99"/>
    <w:unhideWhenUsed/>
    <w:rsid w:val="003F060E"/>
    <w:rPr>
      <w:vertAlign w:val="superscript"/>
    </w:rPr>
  </w:style>
  <w:style w:type="table" w:styleId="LightShading-Accent1">
    <w:name w:val="Light Shading Accent 1"/>
    <w:basedOn w:val="TableNormal"/>
    <w:uiPriority w:val="60"/>
    <w:rsid w:val="003F060E"/>
    <w:pPr>
      <w:spacing w:after="0" w:line="240" w:lineRule="auto"/>
    </w:pPr>
    <w:rPr>
      <w:rFonts w:eastAsiaTheme="minorHAns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B074A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6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ustomXml" Target="../customXml/item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xPr>
        <a:bodyPr/>
        <a:lstStyle/>
        <a:p>
          <a:pPr>
            <a:defRPr sz="1200"/>
          </a:pPr>
          <a:endParaRPr lang="en-US"/>
        </a:p>
      </c:txPr>
    </c:title>
    <c:autoTitleDeleted val="0"/>
    <c:plotArea>
      <c:layout/>
      <c:barChart>
        <c:barDir val="bar"/>
        <c:grouping val="clustered"/>
        <c:varyColors val="0"/>
        <c:ser>
          <c:idx val="0"/>
          <c:order val="0"/>
          <c:tx>
            <c:strRef>
              <c:f>'Survey stuff'!$O$3</c:f>
              <c:strCache>
                <c:ptCount val="1"/>
                <c:pt idx="0">
                  <c:v>% Recruited</c:v>
                </c:pt>
              </c:strCache>
            </c:strRef>
          </c:tx>
          <c:invertIfNegative val="0"/>
          <c:dPt>
            <c:idx val="5"/>
            <c:invertIfNegative val="0"/>
            <c:bubble3D val="0"/>
            <c:spPr>
              <a:solidFill>
                <a:schemeClr val="accent1">
                  <a:lumMod val="50000"/>
                </a:schemeClr>
              </a:solidFill>
            </c:spPr>
          </c:dPt>
          <c:dLbls>
            <c:dLbl>
              <c:idx val="4"/>
              <c:layout>
                <c:manualLayout>
                  <c:x val="0"/>
                  <c:y val="8.9640434289976052E-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'Survey stuff'!$N$4:$N$9</c:f>
              <c:strCache>
                <c:ptCount val="6"/>
                <c:pt idx="0">
                  <c:v>Construction </c:v>
                </c:pt>
                <c:pt idx="1">
                  <c:v>Manufacturing </c:v>
                </c:pt>
                <c:pt idx="2">
                  <c:v>Retail Trade </c:v>
                </c:pt>
                <c:pt idx="3">
                  <c:v>Health Care and Social Assistance </c:v>
                </c:pt>
                <c:pt idx="4">
                  <c:v>Accommodation and Food Services </c:v>
                </c:pt>
                <c:pt idx="5">
                  <c:v>All industries</c:v>
                </c:pt>
              </c:strCache>
            </c:strRef>
          </c:cat>
          <c:val>
            <c:numRef>
              <c:f>'Survey stuff'!$O$4:$O$9</c:f>
              <c:numCache>
                <c:formatCode>0%</c:formatCode>
                <c:ptCount val="6"/>
                <c:pt idx="0">
                  <c:v>0.38</c:v>
                </c:pt>
                <c:pt idx="1">
                  <c:v>0.43</c:v>
                </c:pt>
                <c:pt idx="2">
                  <c:v>0.53</c:v>
                </c:pt>
                <c:pt idx="3">
                  <c:v>0.68</c:v>
                </c:pt>
                <c:pt idx="4">
                  <c:v>0.73</c:v>
                </c:pt>
                <c:pt idx="5">
                  <c:v>0.5</c:v>
                </c:pt>
              </c:numCache>
            </c:numRef>
          </c:val>
        </c:ser>
        <c:dLbls>
          <c:showLegendKey val="0"/>
          <c:showVal val="0"/>
          <c:showCatName val="0"/>
          <c:showSerName val="0"/>
          <c:showPercent val="0"/>
          <c:showBubbleSize val="0"/>
        </c:dLbls>
        <c:gapWidth val="150"/>
        <c:axId val="46186496"/>
        <c:axId val="46188032"/>
      </c:barChart>
      <c:catAx>
        <c:axId val="46186496"/>
        <c:scaling>
          <c:orientation val="maxMin"/>
        </c:scaling>
        <c:delete val="0"/>
        <c:axPos val="l"/>
        <c:majorTickMark val="out"/>
        <c:minorTickMark val="none"/>
        <c:tickLblPos val="nextTo"/>
        <c:txPr>
          <a:bodyPr/>
          <a:lstStyle/>
          <a:p>
            <a:pPr>
              <a:defRPr sz="800"/>
            </a:pPr>
            <a:endParaRPr lang="en-US"/>
          </a:p>
        </c:txPr>
        <c:crossAx val="46188032"/>
        <c:crosses val="autoZero"/>
        <c:auto val="1"/>
        <c:lblAlgn val="ctr"/>
        <c:lblOffset val="100"/>
        <c:noMultiLvlLbl val="0"/>
      </c:catAx>
      <c:valAx>
        <c:axId val="46188032"/>
        <c:scaling>
          <c:orientation val="minMax"/>
        </c:scaling>
        <c:delete val="0"/>
        <c:axPos val="b"/>
        <c:majorGridlines>
          <c:spPr>
            <a:ln>
              <a:noFill/>
            </a:ln>
          </c:spPr>
        </c:majorGridlines>
        <c:numFmt formatCode="0%" sourceLinked="1"/>
        <c:majorTickMark val="out"/>
        <c:minorTickMark val="none"/>
        <c:tickLblPos val="none"/>
        <c:crossAx val="46186496"/>
        <c:crosses val="max"/>
        <c:crossBetween val="between"/>
        <c:majorUnit val="0.4"/>
      </c:valAx>
    </c:plotArea>
    <c:plotVisOnly val="1"/>
    <c:dispBlanksAs val="gap"/>
    <c:showDLblsOverMax val="0"/>
  </c:chart>
  <c:txPr>
    <a:bodyPr/>
    <a:lstStyle/>
    <a:p>
      <a:pPr>
        <a:defRPr sz="900"/>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D16B51E-D5CA-4401-BA95-BE0A8F5D7242}"/>
</file>

<file path=customXml/itemProps2.xml><?xml version="1.0" encoding="utf-8"?>
<ds:datastoreItem xmlns:ds="http://schemas.openxmlformats.org/officeDocument/2006/customXml" ds:itemID="{3F4B1CCE-4FBA-4630-9C88-AAEE645308F0}"/>
</file>

<file path=customXml/itemProps3.xml><?xml version="1.0" encoding="utf-8"?>
<ds:datastoreItem xmlns:ds="http://schemas.openxmlformats.org/officeDocument/2006/customXml" ds:itemID="{42BF0CC8-8D79-4C8D-A4FF-E0B2C0869956}"/>
</file>

<file path=customXml/itemProps4.xml><?xml version="1.0" encoding="utf-8"?>
<ds:datastoreItem xmlns:ds="http://schemas.openxmlformats.org/officeDocument/2006/customXml" ds:itemID="{873EBBB6-066A-47DE-A6D2-C6E5AC51D8F4}"/>
</file>

<file path=docProps/app.xml><?xml version="1.0" encoding="utf-8"?>
<Properties xmlns="http://schemas.openxmlformats.org/officeDocument/2006/extended-properties" xmlns:vt="http://schemas.openxmlformats.org/officeDocument/2006/docPropsVTypes">
  <Template>4A50A1AE.dotm</Template>
  <TotalTime>6</TotalTime>
  <Pages>1</Pages>
  <Words>360</Words>
  <Characters>2053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2409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Danny Thomas</dc:creator>
  <cp:lastModifiedBy>Sandra Taylor-Steele</cp:lastModifiedBy>
  <cp:revision>10</cp:revision>
  <cp:lastPrinted>2013-10-25T00:19:00Z</cp:lastPrinted>
  <dcterms:created xsi:type="dcterms:W3CDTF">2013-11-21T23:47:00Z</dcterms:created>
  <dcterms:modified xsi:type="dcterms:W3CDTF">2013-12-16T00:37:00Z</dcterms:modified>
</cp:coreProperties>
</file>