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60E" w:rsidRPr="0055260F" w:rsidRDefault="0055260F" w:rsidP="00124F71">
      <w:pPr>
        <w:pStyle w:val="Title"/>
        <w:spacing w:before="240" w:after="180"/>
        <w:jc w:val="center"/>
        <w:rPr>
          <w:sz w:val="40"/>
          <w:szCs w:val="40"/>
        </w:rPr>
      </w:pPr>
      <w:r w:rsidRPr="00D32EE6">
        <w:rPr>
          <w:noProof/>
          <w:color w:val="336600"/>
          <w:sz w:val="28"/>
          <w:szCs w:val="28"/>
          <w:lang w:eastAsia="en-AU"/>
        </w:rPr>
        <w:drawing>
          <wp:anchor distT="0" distB="0" distL="114300" distR="114300" simplePos="0" relativeHeight="251665408" behindDoc="0" locked="0" layoutInCell="1" allowOverlap="1" wp14:anchorId="62C0AD05" wp14:editId="14BA92CD">
            <wp:simplePos x="0" y="0"/>
            <wp:positionH relativeFrom="column">
              <wp:posOffset>2066925</wp:posOffset>
            </wp:positionH>
            <wp:positionV relativeFrom="paragraph">
              <wp:posOffset>-361950</wp:posOffset>
            </wp:positionV>
            <wp:extent cx="2419350" cy="561975"/>
            <wp:effectExtent l="0" t="0" r="0" b="9525"/>
            <wp:wrapSquare wrapText="bothSides"/>
            <wp:docPr id="2" name="Picture 1" descr="Dept Employment_Inl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Dept Employment_Inlin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9350" cy="56197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D32EE6">
        <w:rPr>
          <w:color w:val="336600"/>
          <w:sz w:val="28"/>
          <w:szCs w:val="28"/>
        </w:rPr>
        <w:br/>
      </w:r>
      <w:r w:rsidRPr="0055260F">
        <w:rPr>
          <w:color w:val="336600"/>
          <w:sz w:val="16"/>
          <w:szCs w:val="16"/>
        </w:rPr>
        <w:br/>
      </w:r>
      <w:r w:rsidR="00B074A6" w:rsidRPr="0055260F">
        <w:rPr>
          <w:color w:val="336600"/>
          <w:sz w:val="40"/>
          <w:szCs w:val="40"/>
        </w:rPr>
        <w:t>Labour Market Conditions in</w:t>
      </w:r>
      <w:r w:rsidRPr="0055260F">
        <w:rPr>
          <w:iCs/>
          <w:color w:val="336600"/>
          <w:sz w:val="40"/>
          <w:szCs w:val="40"/>
        </w:rPr>
        <w:t xml:space="preserve"> </w:t>
      </w:r>
      <w:r w:rsidR="007B000A" w:rsidRPr="0055260F">
        <w:rPr>
          <w:color w:val="336600"/>
          <w:sz w:val="40"/>
          <w:szCs w:val="40"/>
        </w:rPr>
        <w:t>Gladstone</w:t>
      </w:r>
    </w:p>
    <w:p w:rsidR="00C910A9" w:rsidRDefault="0055260F" w:rsidP="00C910A9">
      <w:pPr>
        <w:spacing w:after="0"/>
        <w:contextualSpacing/>
        <w:jc w:val="both"/>
        <w:rPr>
          <w:color w:val="000000" w:themeColor="text1"/>
        </w:rPr>
      </w:pPr>
      <w:bookmarkStart w:id="0" w:name="_GoBack"/>
      <w:bookmarkEnd w:id="0"/>
      <w:r w:rsidRPr="001A43F5">
        <w:rPr>
          <w:noProof/>
          <w:color w:val="000000" w:themeColor="text1"/>
          <w:lang w:eastAsia="en-AU"/>
        </w:rPr>
        <w:drawing>
          <wp:anchor distT="0" distB="0" distL="114300" distR="114300" simplePos="0" relativeHeight="251666432" behindDoc="1" locked="0" layoutInCell="1" allowOverlap="1" wp14:anchorId="549E9139" wp14:editId="62360DDF">
            <wp:simplePos x="0" y="0"/>
            <wp:positionH relativeFrom="column">
              <wp:posOffset>4871085</wp:posOffset>
            </wp:positionH>
            <wp:positionV relativeFrom="paragraph">
              <wp:posOffset>54610</wp:posOffset>
            </wp:positionV>
            <wp:extent cx="1866900" cy="1676400"/>
            <wp:effectExtent l="19050" t="19050" r="19050" b="19050"/>
            <wp:wrapTight wrapText="bothSides">
              <wp:wrapPolygon edited="0">
                <wp:start x="-220" y="-245"/>
                <wp:lineTo x="-220" y="21600"/>
                <wp:lineTo x="21600" y="21600"/>
                <wp:lineTo x="21600" y="-245"/>
                <wp:lineTo x="-220" y="-245"/>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adstone.png"/>
                    <pic:cNvPicPr/>
                  </pic:nvPicPr>
                  <pic:blipFill>
                    <a:blip r:embed="rId10">
                      <a:extLst>
                        <a:ext uri="{28A0092B-C50C-407E-A947-70E740481C1C}">
                          <a14:useLocalDpi xmlns:a14="http://schemas.microsoft.com/office/drawing/2010/main" val="0"/>
                        </a:ext>
                      </a:extLst>
                    </a:blip>
                    <a:stretch>
                      <a:fillRect/>
                    </a:stretch>
                  </pic:blipFill>
                  <pic:spPr>
                    <a:xfrm>
                      <a:off x="0" y="0"/>
                      <a:ext cx="1866900" cy="16764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C910A9">
        <w:rPr>
          <w:color w:val="000000" w:themeColor="text1"/>
        </w:rPr>
        <w:t xml:space="preserve">A number of major liquefied natural gas projects in the Gladstone </w:t>
      </w:r>
      <w:r w:rsidR="006900DC">
        <w:rPr>
          <w:color w:val="000000" w:themeColor="text1"/>
        </w:rPr>
        <w:t>Employment Service Area (ESA)</w:t>
      </w:r>
      <w:r w:rsidR="00C910A9">
        <w:rPr>
          <w:color w:val="000000" w:themeColor="text1"/>
        </w:rPr>
        <w:t xml:space="preserve"> underpinned str</w:t>
      </w:r>
      <w:r w:rsidR="003B4329">
        <w:rPr>
          <w:color w:val="000000" w:themeColor="text1"/>
        </w:rPr>
        <w:t>ong employment growth over the five</w:t>
      </w:r>
      <w:r w:rsidR="00C910A9">
        <w:rPr>
          <w:color w:val="000000" w:themeColor="text1"/>
        </w:rPr>
        <w:t xml:space="preserve"> years to 2011. However, w</w:t>
      </w:r>
      <w:r w:rsidR="00C910A9" w:rsidRPr="00195A1B">
        <w:rPr>
          <w:color w:val="000000" w:themeColor="text1"/>
        </w:rPr>
        <w:t xml:space="preserve">hile the labour market remains </w:t>
      </w:r>
      <w:r w:rsidR="00C910A9">
        <w:rPr>
          <w:color w:val="000000" w:themeColor="text1"/>
        </w:rPr>
        <w:t xml:space="preserve">relatively </w:t>
      </w:r>
      <w:r w:rsidR="00C910A9" w:rsidRPr="00195A1B">
        <w:rPr>
          <w:color w:val="000000" w:themeColor="text1"/>
        </w:rPr>
        <w:t>strong</w:t>
      </w:r>
      <w:r w:rsidR="00C910A9">
        <w:rPr>
          <w:color w:val="000000" w:themeColor="text1"/>
        </w:rPr>
        <w:t xml:space="preserve">, </w:t>
      </w:r>
      <w:r w:rsidR="00C910A9" w:rsidRPr="00195A1B">
        <w:rPr>
          <w:color w:val="000000" w:themeColor="text1"/>
        </w:rPr>
        <w:t xml:space="preserve">conditions </w:t>
      </w:r>
      <w:r w:rsidR="00C910A9">
        <w:rPr>
          <w:color w:val="000000" w:themeColor="text1"/>
        </w:rPr>
        <w:t xml:space="preserve">are </w:t>
      </w:r>
      <w:r w:rsidR="006E6F5C">
        <w:rPr>
          <w:color w:val="000000" w:themeColor="text1"/>
        </w:rPr>
        <w:t>moderating</w:t>
      </w:r>
      <w:r w:rsidR="00C910A9" w:rsidRPr="00195A1B">
        <w:rPr>
          <w:color w:val="000000" w:themeColor="text1"/>
        </w:rPr>
        <w:t xml:space="preserve"> as</w:t>
      </w:r>
      <w:r w:rsidR="00291F7C">
        <w:rPr>
          <w:color w:val="000000" w:themeColor="text1"/>
        </w:rPr>
        <w:t xml:space="preserve"> the construction phase of key</w:t>
      </w:r>
      <w:r w:rsidR="00C910A9">
        <w:rPr>
          <w:color w:val="000000" w:themeColor="text1"/>
        </w:rPr>
        <w:t xml:space="preserve"> </w:t>
      </w:r>
      <w:r w:rsidR="00C910A9" w:rsidRPr="00195A1B">
        <w:rPr>
          <w:color w:val="000000" w:themeColor="text1"/>
        </w:rPr>
        <w:t>projects approach</w:t>
      </w:r>
      <w:r w:rsidR="00714AB9">
        <w:rPr>
          <w:color w:val="000000" w:themeColor="text1"/>
        </w:rPr>
        <w:t>es</w:t>
      </w:r>
      <w:r w:rsidR="00C910A9" w:rsidRPr="00195A1B">
        <w:rPr>
          <w:color w:val="000000" w:themeColor="text1"/>
        </w:rPr>
        <w:t xml:space="preserve"> completion</w:t>
      </w:r>
      <w:r w:rsidR="00C910A9">
        <w:rPr>
          <w:color w:val="000000" w:themeColor="text1"/>
        </w:rPr>
        <w:t>.</w:t>
      </w:r>
    </w:p>
    <w:p w:rsidR="00C910A9" w:rsidRPr="00763EAD" w:rsidRDefault="00C910A9" w:rsidP="00C910A9">
      <w:pPr>
        <w:pStyle w:val="ListParagraph"/>
        <w:numPr>
          <w:ilvl w:val="0"/>
          <w:numId w:val="34"/>
        </w:numPr>
        <w:spacing w:after="0"/>
        <w:jc w:val="both"/>
        <w:rPr>
          <w:color w:val="000000" w:themeColor="text1"/>
        </w:rPr>
      </w:pPr>
      <w:r>
        <w:rPr>
          <w:color w:val="000000" w:themeColor="text1"/>
        </w:rPr>
        <w:t xml:space="preserve">Employment grew by </w:t>
      </w:r>
      <w:r w:rsidRPr="00763EAD">
        <w:rPr>
          <w:color w:val="000000" w:themeColor="text1"/>
        </w:rPr>
        <w:t xml:space="preserve">17 </w:t>
      </w:r>
      <w:r w:rsidR="003B4329">
        <w:rPr>
          <w:color w:val="000000" w:themeColor="text1"/>
        </w:rPr>
        <w:t>per cent (5,100 jobs) over the five</w:t>
      </w:r>
      <w:r w:rsidR="00C60A34">
        <w:rPr>
          <w:color w:val="000000" w:themeColor="text1"/>
        </w:rPr>
        <w:t xml:space="preserve"> years to 2011, </w:t>
      </w:r>
      <w:r w:rsidRPr="00763EAD">
        <w:rPr>
          <w:color w:val="000000" w:themeColor="text1"/>
        </w:rPr>
        <w:t>almost double the n</w:t>
      </w:r>
      <w:r w:rsidR="00C60A34">
        <w:rPr>
          <w:color w:val="000000" w:themeColor="text1"/>
        </w:rPr>
        <w:t>ational growth rate over the same period (9 per cent)</w:t>
      </w:r>
      <w:r w:rsidRPr="00763EAD">
        <w:rPr>
          <w:color w:val="000000" w:themeColor="text1"/>
        </w:rPr>
        <w:t>.</w:t>
      </w:r>
      <w:r w:rsidRPr="001F5844">
        <w:rPr>
          <w:rStyle w:val="FootnoteReference"/>
          <w:color w:val="000000" w:themeColor="text1"/>
        </w:rPr>
        <w:footnoteReference w:id="1"/>
      </w:r>
      <w:r w:rsidRPr="00763EAD">
        <w:rPr>
          <w:color w:val="000000" w:themeColor="text1"/>
        </w:rPr>
        <w:t xml:space="preserve"> </w:t>
      </w:r>
    </w:p>
    <w:p w:rsidR="003B4329" w:rsidRDefault="00C910A9" w:rsidP="003B4329">
      <w:pPr>
        <w:pStyle w:val="ListParagraph"/>
        <w:numPr>
          <w:ilvl w:val="0"/>
          <w:numId w:val="34"/>
        </w:numPr>
        <w:spacing w:after="0"/>
        <w:jc w:val="both"/>
        <w:rPr>
          <w:color w:val="000000" w:themeColor="text1"/>
        </w:rPr>
      </w:pPr>
      <w:r>
        <w:rPr>
          <w:color w:val="000000" w:themeColor="text1"/>
        </w:rPr>
        <w:t xml:space="preserve">There has been </w:t>
      </w:r>
      <w:r w:rsidRPr="00195A1B">
        <w:rPr>
          <w:color w:val="000000" w:themeColor="text1"/>
        </w:rPr>
        <w:t>a 1.1 percentage point increase in the unemployment rate to 4.6 per cent over the year to September 2</w:t>
      </w:r>
      <w:r>
        <w:rPr>
          <w:color w:val="000000" w:themeColor="text1"/>
        </w:rPr>
        <w:t>013</w:t>
      </w:r>
      <w:r w:rsidRPr="00195A1B">
        <w:rPr>
          <w:color w:val="000000" w:themeColor="text1"/>
        </w:rPr>
        <w:t>.</w:t>
      </w:r>
    </w:p>
    <w:p w:rsidR="00F75D00" w:rsidRPr="003B4329" w:rsidRDefault="00AB5F07" w:rsidP="003B4329">
      <w:pPr>
        <w:pStyle w:val="ListParagraph"/>
        <w:numPr>
          <w:ilvl w:val="1"/>
          <w:numId w:val="34"/>
        </w:numPr>
        <w:spacing w:after="0"/>
        <w:jc w:val="both"/>
        <w:rPr>
          <w:color w:val="000000" w:themeColor="text1"/>
        </w:rPr>
      </w:pPr>
      <w:r w:rsidRPr="003B4329">
        <w:rPr>
          <w:color w:val="000000" w:themeColor="text1"/>
        </w:rPr>
        <w:t xml:space="preserve">There </w:t>
      </w:r>
      <w:r w:rsidR="003B2B5C" w:rsidRPr="003B4329">
        <w:rPr>
          <w:color w:val="000000" w:themeColor="text1"/>
        </w:rPr>
        <w:t>are</w:t>
      </w:r>
      <w:r w:rsidRPr="003B4329">
        <w:rPr>
          <w:color w:val="000000" w:themeColor="text1"/>
        </w:rPr>
        <w:t xml:space="preserve"> also some pockets of disadvantage in the regio</w:t>
      </w:r>
      <w:r w:rsidR="006900DC">
        <w:rPr>
          <w:color w:val="000000" w:themeColor="text1"/>
        </w:rPr>
        <w:t>n, such as the Miriam Va</w:t>
      </w:r>
      <w:r w:rsidR="00C60A34">
        <w:rPr>
          <w:color w:val="000000" w:themeColor="text1"/>
        </w:rPr>
        <w:t xml:space="preserve">le Statistical Local Area </w:t>
      </w:r>
      <w:r w:rsidR="006900DC">
        <w:rPr>
          <w:color w:val="000000" w:themeColor="text1"/>
        </w:rPr>
        <w:t>where the unemployment rate is</w:t>
      </w:r>
      <w:r w:rsidR="003B4329">
        <w:rPr>
          <w:color w:val="000000" w:themeColor="text1"/>
        </w:rPr>
        <w:t xml:space="preserve"> 8.0 per cent</w:t>
      </w:r>
      <w:r w:rsidRPr="003B4329">
        <w:rPr>
          <w:color w:val="000000" w:themeColor="text1"/>
        </w:rPr>
        <w:t>.</w:t>
      </w:r>
      <w:r w:rsidRPr="003B5BFE">
        <w:rPr>
          <w:vertAlign w:val="superscript"/>
        </w:rPr>
        <w:footnoteReference w:id="2"/>
      </w:r>
    </w:p>
    <w:p w:rsidR="00C04021" w:rsidRPr="00822E33" w:rsidRDefault="00D04991" w:rsidP="00124F71">
      <w:pPr>
        <w:pStyle w:val="Heading1"/>
        <w:spacing w:before="120" w:after="0" w:line="20" w:lineRule="atLeast"/>
        <w:rPr>
          <w:color w:val="auto"/>
          <w:sz w:val="22"/>
          <w:szCs w:val="22"/>
        </w:rPr>
      </w:pPr>
      <w:r w:rsidRPr="00567E81">
        <w:rPr>
          <w:bCs w:val="0"/>
          <w:color w:val="336600"/>
          <w:spacing w:val="5"/>
          <w:sz w:val="24"/>
          <w:szCs w:val="22"/>
        </w:rPr>
        <w:t>What employers are telling us</w:t>
      </w:r>
      <w:r w:rsidR="003A24F3" w:rsidRPr="00822E33">
        <w:rPr>
          <w:rStyle w:val="FootnoteReference"/>
          <w:color w:val="4F6228" w:themeColor="accent3" w:themeShade="80"/>
          <w:sz w:val="22"/>
          <w:szCs w:val="22"/>
        </w:rPr>
        <w:footnoteReference w:id="3"/>
      </w:r>
    </w:p>
    <w:p w:rsidR="005458F5" w:rsidRDefault="003B4329" w:rsidP="00671B6C">
      <w:pPr>
        <w:spacing w:before="80" w:after="0" w:line="264" w:lineRule="auto"/>
        <w:jc w:val="both"/>
      </w:pPr>
      <w:r>
        <w:t>The w</w:t>
      </w:r>
      <w:r w:rsidR="006E4449">
        <w:t>idespread</w:t>
      </w:r>
      <w:r w:rsidR="00AE4959">
        <w:t xml:space="preserve"> </w:t>
      </w:r>
      <w:r w:rsidR="00E811E1">
        <w:t>s</w:t>
      </w:r>
      <w:r w:rsidR="00AD0B2A">
        <w:t>taff retenti</w:t>
      </w:r>
      <w:r w:rsidR="00AE4959">
        <w:t xml:space="preserve">on and skill shortage problems </w:t>
      </w:r>
      <w:r>
        <w:t>identified in the</w:t>
      </w:r>
      <w:r w:rsidR="006900DC">
        <w:t xml:space="preserve"> department’s</w:t>
      </w:r>
      <w:r w:rsidR="00320C21">
        <w:t xml:space="preserve"> 2011 survey of the region</w:t>
      </w:r>
      <w:r w:rsidR="00E54F82">
        <w:t xml:space="preserve"> have</w:t>
      </w:r>
      <w:r w:rsidR="006E4B8A">
        <w:t xml:space="preserve"> eased</w:t>
      </w:r>
      <w:r w:rsidR="00CF6E7E">
        <w:t>.</w:t>
      </w:r>
    </w:p>
    <w:p w:rsidR="00195A1B" w:rsidRDefault="00706E22" w:rsidP="00195A1B">
      <w:pPr>
        <w:pStyle w:val="ListParagraph"/>
        <w:numPr>
          <w:ilvl w:val="0"/>
          <w:numId w:val="35"/>
        </w:numPr>
        <w:spacing w:after="0" w:line="264" w:lineRule="auto"/>
        <w:jc w:val="both"/>
      </w:pPr>
      <w:r>
        <w:t xml:space="preserve">Less than half (48 per cent) of recruiting employers reported that recruitment was difficult, down significantly from 2011 (70 per cent). </w:t>
      </w:r>
    </w:p>
    <w:p w:rsidR="00195A1B" w:rsidRDefault="00890044" w:rsidP="00195A1B">
      <w:pPr>
        <w:pStyle w:val="ListParagraph"/>
        <w:numPr>
          <w:ilvl w:val="0"/>
          <w:numId w:val="35"/>
        </w:numPr>
        <w:spacing w:after="0" w:line="264" w:lineRule="auto"/>
        <w:jc w:val="both"/>
      </w:pPr>
      <w:r>
        <w:t>Avera</w:t>
      </w:r>
      <w:r w:rsidR="00E56C48">
        <w:t xml:space="preserve">ge applicant numbers </w:t>
      </w:r>
      <w:r w:rsidR="003B4329">
        <w:t xml:space="preserve">per vacancy had increased </w:t>
      </w:r>
      <w:r w:rsidR="00237B8C">
        <w:t xml:space="preserve">to 6.3 in 2013 </w:t>
      </w:r>
      <w:r w:rsidR="003B4329">
        <w:t>from 3.8 i</w:t>
      </w:r>
      <w:r w:rsidR="00237B8C">
        <w:t>n the previous survey</w:t>
      </w:r>
      <w:r w:rsidR="003B4329">
        <w:t xml:space="preserve">. </w:t>
      </w:r>
      <w:r>
        <w:t xml:space="preserve"> </w:t>
      </w:r>
    </w:p>
    <w:p w:rsidR="00195A1B" w:rsidRDefault="0032187A" w:rsidP="00195A1B">
      <w:pPr>
        <w:pStyle w:val="ListParagraph"/>
        <w:numPr>
          <w:ilvl w:val="0"/>
          <w:numId w:val="35"/>
        </w:numPr>
        <w:spacing w:after="0" w:line="264" w:lineRule="auto"/>
        <w:jc w:val="both"/>
      </w:pPr>
      <w:r>
        <w:t>The un</w:t>
      </w:r>
      <w:r w:rsidR="00C910A9">
        <w:t xml:space="preserve">filled vacancy rate </w:t>
      </w:r>
      <w:r w:rsidR="006900DC">
        <w:t xml:space="preserve">was </w:t>
      </w:r>
      <w:r>
        <w:t xml:space="preserve">6.4 per </w:t>
      </w:r>
      <w:r w:rsidR="006900DC">
        <w:t xml:space="preserve">cent, significantly lower than </w:t>
      </w:r>
      <w:r>
        <w:t>the rate in 2011 (16.9 per cent).  </w:t>
      </w:r>
    </w:p>
    <w:p w:rsidR="00067825" w:rsidRDefault="00A73008" w:rsidP="00195A1B">
      <w:pPr>
        <w:pStyle w:val="ListParagraph"/>
        <w:numPr>
          <w:ilvl w:val="0"/>
          <w:numId w:val="35"/>
        </w:numPr>
        <w:spacing w:after="0" w:line="264" w:lineRule="auto"/>
        <w:jc w:val="both"/>
      </w:pPr>
      <w:r>
        <w:t xml:space="preserve">One in five employers indicated that staff retention was a problem compared with one in three in the 2011 survey. </w:t>
      </w:r>
      <w:r w:rsidR="00F33E7B">
        <w:t xml:space="preserve">  </w:t>
      </w:r>
    </w:p>
    <w:p w:rsidR="003316E6" w:rsidRDefault="00A73008" w:rsidP="00B4237C">
      <w:pPr>
        <w:spacing w:after="0" w:line="264" w:lineRule="auto"/>
        <w:jc w:val="both"/>
      </w:pPr>
      <w:r>
        <w:t>While r</w:t>
      </w:r>
      <w:r w:rsidR="003316E6">
        <w:t>ecruitment act</w:t>
      </w:r>
      <w:r w:rsidR="00A400E4">
        <w:t>ivity remains</w:t>
      </w:r>
      <w:r w:rsidR="008563D8">
        <w:t xml:space="preserve"> stronger than in</w:t>
      </w:r>
      <w:r w:rsidR="003316E6">
        <w:t xml:space="preserve"> many other</w:t>
      </w:r>
      <w:r>
        <w:t xml:space="preserve"> regions, it</w:t>
      </w:r>
      <w:r w:rsidR="00A400E4">
        <w:t xml:space="preserve"> is expected to moderate in the</w:t>
      </w:r>
      <w:r w:rsidR="0003412C">
        <w:t xml:space="preserve"> next</w:t>
      </w:r>
      <w:r w:rsidR="00A400E4">
        <w:t xml:space="preserve"> </w:t>
      </w:r>
      <w:r>
        <w:t>year</w:t>
      </w:r>
      <w:r w:rsidR="003316E6">
        <w:t>.</w:t>
      </w:r>
    </w:p>
    <w:p w:rsidR="00195A1B" w:rsidRDefault="009634AA" w:rsidP="00195A1B">
      <w:pPr>
        <w:pStyle w:val="ListParagraph"/>
        <w:numPr>
          <w:ilvl w:val="0"/>
          <w:numId w:val="36"/>
        </w:numPr>
        <w:spacing w:after="0" w:line="264" w:lineRule="auto"/>
        <w:jc w:val="both"/>
      </w:pPr>
      <w:r>
        <w:t>The proportion of employers expecting to recruit (</w:t>
      </w:r>
      <w:r w:rsidR="0032187A">
        <w:t>40 per cent</w:t>
      </w:r>
      <w:r>
        <w:t xml:space="preserve">) and increase staff numbers (17 per cent) </w:t>
      </w:r>
      <w:r w:rsidR="00A73008">
        <w:t>in the next year</w:t>
      </w:r>
      <w:r w:rsidR="0032187A">
        <w:t xml:space="preserve"> </w:t>
      </w:r>
      <w:r>
        <w:t xml:space="preserve">was </w:t>
      </w:r>
      <w:r w:rsidR="00F56C34">
        <w:t xml:space="preserve">significantly less than </w:t>
      </w:r>
      <w:r w:rsidR="0032187A">
        <w:t xml:space="preserve">in </w:t>
      </w:r>
      <w:r w:rsidR="00F56C34">
        <w:t xml:space="preserve">the </w:t>
      </w:r>
      <w:r w:rsidR="0032187A">
        <w:t xml:space="preserve">2011 </w:t>
      </w:r>
      <w:r w:rsidR="00F56C34">
        <w:t xml:space="preserve">survey </w:t>
      </w:r>
      <w:r w:rsidR="00F918C1">
        <w:t>(64 per cent</w:t>
      </w:r>
      <w:r>
        <w:t xml:space="preserve"> and 41 per cent respectively</w:t>
      </w:r>
      <w:r w:rsidR="00F918C1">
        <w:t xml:space="preserve">). </w:t>
      </w:r>
    </w:p>
    <w:p w:rsidR="003316E6" w:rsidRDefault="00047051" w:rsidP="00FD6CCE">
      <w:pPr>
        <w:spacing w:after="0" w:line="264" w:lineRule="auto"/>
        <w:jc w:val="both"/>
      </w:pPr>
      <w:r>
        <w:t>Employers continued to report</w:t>
      </w:r>
      <w:r w:rsidR="003316E6">
        <w:t xml:space="preserve"> </w:t>
      </w:r>
      <w:r w:rsidR="006E4449">
        <w:t xml:space="preserve">a high level of </w:t>
      </w:r>
      <w:r w:rsidR="003316E6">
        <w:t xml:space="preserve">difficulty recruiting for </w:t>
      </w:r>
      <w:r w:rsidR="00FD6CCE">
        <w:t>Technicians an</w:t>
      </w:r>
      <w:r w:rsidR="003316E6">
        <w:t>d Trades Workers a</w:t>
      </w:r>
      <w:r w:rsidR="00FD6CCE">
        <w:t>nd Community and Personal</w:t>
      </w:r>
      <w:r w:rsidR="003316E6">
        <w:t xml:space="preserve"> Service Workers</w:t>
      </w:r>
      <w:r w:rsidR="00FD6CCE">
        <w:t>.</w:t>
      </w:r>
      <w:r w:rsidR="003316E6" w:rsidRPr="003316E6">
        <w:t xml:space="preserve"> </w:t>
      </w:r>
    </w:p>
    <w:p w:rsidR="00195A1B" w:rsidRDefault="003316E6" w:rsidP="00195A1B">
      <w:pPr>
        <w:pStyle w:val="ListParagraph"/>
        <w:numPr>
          <w:ilvl w:val="0"/>
          <w:numId w:val="37"/>
        </w:numPr>
        <w:spacing w:after="0" w:line="264" w:lineRule="auto"/>
        <w:jc w:val="both"/>
      </w:pPr>
      <w:r>
        <w:t>The unfilled vacancy rate</w:t>
      </w:r>
      <w:r w:rsidR="00047051">
        <w:t>s</w:t>
      </w:r>
      <w:r>
        <w:t xml:space="preserve"> for Technicians and Trades Workers (28.6 per cent) and Community and Personal Ser</w:t>
      </w:r>
      <w:r w:rsidR="00047051">
        <w:t>vice Workers (18.4 per cent) were</w:t>
      </w:r>
      <w:r>
        <w:t xml:space="preserve"> well above the rate for all occupation groups (6.4 per cent). </w:t>
      </w:r>
    </w:p>
    <w:p w:rsidR="00CF4822" w:rsidRDefault="003316E6" w:rsidP="00237B8C">
      <w:pPr>
        <w:pStyle w:val="ListParagraph"/>
        <w:numPr>
          <w:ilvl w:val="0"/>
          <w:numId w:val="37"/>
        </w:numPr>
        <w:spacing w:after="120" w:line="264" w:lineRule="auto"/>
        <w:ind w:left="357" w:hanging="357"/>
        <w:jc w:val="both"/>
      </w:pPr>
      <w:r>
        <w:t>Employers recruiting for Technicians and Trad</w:t>
      </w:r>
      <w:r w:rsidR="003B4329">
        <w:t xml:space="preserve">es Workers most commonly cited </w:t>
      </w:r>
      <w:r w:rsidR="006900DC">
        <w:t xml:space="preserve">the </w:t>
      </w:r>
      <w:r w:rsidR="003B4329">
        <w:t>t</w:t>
      </w:r>
      <w:r w:rsidR="00663984">
        <w:t>echnical skill requirements and higher wages offered by larger businesses</w:t>
      </w:r>
      <w:r>
        <w:t xml:space="preserve"> as</w:t>
      </w:r>
      <w:r w:rsidR="003B4329">
        <w:t xml:space="preserve"> the main</w:t>
      </w:r>
      <w:r>
        <w:t xml:space="preserve"> reasons for recruitment difficulty. </w:t>
      </w:r>
    </w:p>
    <w:p w:rsidR="009F2734" w:rsidRPr="001B572C" w:rsidRDefault="009F2734" w:rsidP="009F2734">
      <w:pPr>
        <w:pStyle w:val="ListParagraph"/>
        <w:spacing w:after="60" w:line="264" w:lineRule="auto"/>
        <w:ind w:left="357"/>
        <w:jc w:val="both"/>
        <w:rPr>
          <w:sz w:val="8"/>
        </w:rPr>
      </w:pPr>
    </w:p>
    <w:p w:rsidR="00D22B54" w:rsidRPr="00D22B54" w:rsidRDefault="00D22B54" w:rsidP="00D22B54">
      <w:pPr>
        <w:pStyle w:val="ListParagraph"/>
        <w:spacing w:after="120" w:line="264" w:lineRule="auto"/>
        <w:ind w:left="357"/>
        <w:jc w:val="both"/>
        <w:rPr>
          <w:sz w:val="6"/>
        </w:rPr>
      </w:pPr>
    </w:p>
    <w:tbl>
      <w:tblPr>
        <w:tblStyle w:val="DEEWRTable"/>
        <w:tblW w:w="10855" w:type="dxa"/>
        <w:tblLook w:val="04A0" w:firstRow="1" w:lastRow="0" w:firstColumn="1" w:lastColumn="0" w:noHBand="0" w:noVBand="1"/>
      </w:tblPr>
      <w:tblGrid>
        <w:gridCol w:w="3118"/>
        <w:gridCol w:w="1434"/>
        <w:gridCol w:w="2005"/>
        <w:gridCol w:w="2579"/>
        <w:gridCol w:w="1719"/>
      </w:tblGrid>
      <w:tr w:rsidR="000105B5" w:rsidRPr="00822E33" w:rsidTr="00AF1447">
        <w:trPr>
          <w:cnfStyle w:val="100000000000" w:firstRow="1" w:lastRow="0" w:firstColumn="0" w:lastColumn="0" w:oddVBand="0" w:evenVBand="0" w:oddHBand="0" w:evenHBand="0" w:firstRowFirstColumn="0" w:firstRowLastColumn="0" w:lastRowFirstColumn="0" w:lastRowLastColumn="0"/>
          <w:trHeight w:val="680"/>
        </w:trPr>
        <w:tc>
          <w:tcPr>
            <w:tcW w:w="3118" w:type="dxa"/>
            <w:vAlign w:val="center"/>
          </w:tcPr>
          <w:p w:rsidR="002035B6" w:rsidRPr="00822E33" w:rsidRDefault="002035B6" w:rsidP="004B1635">
            <w:pPr>
              <w:pStyle w:val="ListParagraph"/>
              <w:ind w:left="360"/>
              <w:jc w:val="center"/>
              <w:rPr>
                <w:sz w:val="22"/>
              </w:rPr>
            </w:pPr>
            <w:r w:rsidRPr="00822E33">
              <w:rPr>
                <w:sz w:val="22"/>
              </w:rPr>
              <w:t>Region</w:t>
            </w:r>
          </w:p>
        </w:tc>
        <w:tc>
          <w:tcPr>
            <w:tcW w:w="1434" w:type="dxa"/>
            <w:vAlign w:val="center"/>
          </w:tcPr>
          <w:p w:rsidR="002035B6" w:rsidRPr="00822E33" w:rsidRDefault="00A723F5" w:rsidP="004B1635">
            <w:pPr>
              <w:jc w:val="center"/>
              <w:rPr>
                <w:sz w:val="22"/>
              </w:rPr>
            </w:pPr>
            <w:r w:rsidRPr="00822E33">
              <w:rPr>
                <w:sz w:val="22"/>
              </w:rPr>
              <w:t>Recruitment Rate</w:t>
            </w:r>
          </w:p>
        </w:tc>
        <w:tc>
          <w:tcPr>
            <w:tcW w:w="2005" w:type="dxa"/>
            <w:vAlign w:val="center"/>
          </w:tcPr>
          <w:p w:rsidR="002035B6" w:rsidRPr="00822E33" w:rsidRDefault="008933AF" w:rsidP="004B1635">
            <w:pPr>
              <w:jc w:val="center"/>
              <w:rPr>
                <w:sz w:val="22"/>
              </w:rPr>
            </w:pPr>
            <w:r>
              <w:rPr>
                <w:sz w:val="22"/>
              </w:rPr>
              <w:t>% of vacancies unfilled</w:t>
            </w:r>
          </w:p>
        </w:tc>
        <w:tc>
          <w:tcPr>
            <w:tcW w:w="2579" w:type="dxa"/>
            <w:vAlign w:val="center"/>
          </w:tcPr>
          <w:p w:rsidR="002035B6" w:rsidRPr="00822E33" w:rsidRDefault="00076693" w:rsidP="004B1635">
            <w:pPr>
              <w:jc w:val="center"/>
              <w:rPr>
                <w:sz w:val="22"/>
              </w:rPr>
            </w:pPr>
            <w:r>
              <w:rPr>
                <w:sz w:val="22"/>
              </w:rPr>
              <w:t>% experienced recruitment difficulty</w:t>
            </w:r>
          </w:p>
        </w:tc>
        <w:tc>
          <w:tcPr>
            <w:tcW w:w="1719" w:type="dxa"/>
            <w:vAlign w:val="center"/>
          </w:tcPr>
          <w:p w:rsidR="002035B6" w:rsidRPr="00822E33" w:rsidRDefault="002035B6" w:rsidP="004B1635">
            <w:pPr>
              <w:jc w:val="center"/>
              <w:rPr>
                <w:sz w:val="22"/>
              </w:rPr>
            </w:pPr>
            <w:r w:rsidRPr="00822E33">
              <w:rPr>
                <w:sz w:val="22"/>
              </w:rPr>
              <w:t>% Will Recruit</w:t>
            </w:r>
          </w:p>
        </w:tc>
      </w:tr>
      <w:tr w:rsidR="000105B5" w:rsidRPr="00822E33" w:rsidTr="00C910A9">
        <w:trPr>
          <w:trHeight w:val="356"/>
        </w:trPr>
        <w:tc>
          <w:tcPr>
            <w:tcW w:w="3118" w:type="dxa"/>
            <w:vAlign w:val="center"/>
          </w:tcPr>
          <w:p w:rsidR="002035B6" w:rsidRPr="00822E33" w:rsidRDefault="0032187A" w:rsidP="00C910A9">
            <w:pPr>
              <w:jc w:val="center"/>
              <w:rPr>
                <w:sz w:val="22"/>
              </w:rPr>
            </w:pPr>
            <w:r>
              <w:rPr>
                <w:sz w:val="22"/>
              </w:rPr>
              <w:t>Gladstone ESA</w:t>
            </w:r>
            <w:r w:rsidR="00BE069E">
              <w:rPr>
                <w:sz w:val="22"/>
              </w:rPr>
              <w:t xml:space="preserve"> 2013</w:t>
            </w:r>
          </w:p>
        </w:tc>
        <w:tc>
          <w:tcPr>
            <w:tcW w:w="1434" w:type="dxa"/>
            <w:vAlign w:val="center"/>
          </w:tcPr>
          <w:p w:rsidR="002035B6" w:rsidRPr="00822E33" w:rsidRDefault="0032187A" w:rsidP="00C910A9">
            <w:pPr>
              <w:jc w:val="center"/>
              <w:rPr>
                <w:sz w:val="22"/>
              </w:rPr>
            </w:pPr>
            <w:r>
              <w:rPr>
                <w:sz w:val="22"/>
              </w:rPr>
              <w:t>25</w:t>
            </w:r>
          </w:p>
        </w:tc>
        <w:tc>
          <w:tcPr>
            <w:tcW w:w="2005" w:type="dxa"/>
            <w:vAlign w:val="center"/>
          </w:tcPr>
          <w:p w:rsidR="002035B6" w:rsidRPr="00822E33" w:rsidRDefault="008933AF" w:rsidP="00C910A9">
            <w:pPr>
              <w:jc w:val="center"/>
              <w:rPr>
                <w:sz w:val="22"/>
              </w:rPr>
            </w:pPr>
            <w:r>
              <w:rPr>
                <w:sz w:val="22"/>
              </w:rPr>
              <w:t>6.4</w:t>
            </w:r>
          </w:p>
        </w:tc>
        <w:tc>
          <w:tcPr>
            <w:tcW w:w="2579" w:type="dxa"/>
            <w:vAlign w:val="center"/>
          </w:tcPr>
          <w:p w:rsidR="002035B6" w:rsidRPr="00822E33" w:rsidRDefault="00C21D5B" w:rsidP="00C910A9">
            <w:pPr>
              <w:jc w:val="center"/>
              <w:rPr>
                <w:sz w:val="22"/>
              </w:rPr>
            </w:pPr>
            <w:r>
              <w:rPr>
                <w:sz w:val="22"/>
              </w:rPr>
              <w:t>48</w:t>
            </w:r>
            <w:r w:rsidR="00076693">
              <w:rPr>
                <w:sz w:val="22"/>
              </w:rPr>
              <w:t>%</w:t>
            </w:r>
          </w:p>
        </w:tc>
        <w:tc>
          <w:tcPr>
            <w:tcW w:w="1719" w:type="dxa"/>
            <w:vAlign w:val="center"/>
          </w:tcPr>
          <w:p w:rsidR="002035B6" w:rsidRPr="00822E33" w:rsidRDefault="00F153DE" w:rsidP="00C910A9">
            <w:pPr>
              <w:jc w:val="center"/>
              <w:rPr>
                <w:sz w:val="22"/>
              </w:rPr>
            </w:pPr>
            <w:r>
              <w:rPr>
                <w:sz w:val="22"/>
              </w:rPr>
              <w:t>40</w:t>
            </w:r>
            <w:r w:rsidR="004645FC" w:rsidRPr="00822E33">
              <w:rPr>
                <w:sz w:val="22"/>
              </w:rPr>
              <w:t>%</w:t>
            </w:r>
          </w:p>
        </w:tc>
      </w:tr>
      <w:tr w:rsidR="00BE069E" w:rsidRPr="00822E33" w:rsidTr="00C910A9">
        <w:trPr>
          <w:cnfStyle w:val="000000010000" w:firstRow="0" w:lastRow="0" w:firstColumn="0" w:lastColumn="0" w:oddVBand="0" w:evenVBand="0" w:oddHBand="0" w:evenHBand="1" w:firstRowFirstColumn="0" w:firstRowLastColumn="0" w:lastRowFirstColumn="0" w:lastRowLastColumn="0"/>
          <w:trHeight w:val="356"/>
        </w:trPr>
        <w:tc>
          <w:tcPr>
            <w:tcW w:w="3118" w:type="dxa"/>
            <w:vAlign w:val="center"/>
          </w:tcPr>
          <w:p w:rsidR="00BE069E" w:rsidRDefault="00BE069E" w:rsidP="00C910A9">
            <w:pPr>
              <w:jc w:val="center"/>
            </w:pPr>
            <w:r>
              <w:rPr>
                <w:sz w:val="22"/>
              </w:rPr>
              <w:t>Gladstone ESA 2011</w:t>
            </w:r>
          </w:p>
        </w:tc>
        <w:tc>
          <w:tcPr>
            <w:tcW w:w="1434" w:type="dxa"/>
            <w:vAlign w:val="center"/>
          </w:tcPr>
          <w:p w:rsidR="00BE069E" w:rsidRPr="00822E33" w:rsidRDefault="00BE069E" w:rsidP="00C910A9">
            <w:pPr>
              <w:jc w:val="center"/>
              <w:rPr>
                <w:sz w:val="22"/>
              </w:rPr>
            </w:pPr>
            <w:r>
              <w:rPr>
                <w:sz w:val="22"/>
              </w:rPr>
              <w:t>26</w:t>
            </w:r>
          </w:p>
        </w:tc>
        <w:tc>
          <w:tcPr>
            <w:tcW w:w="2005" w:type="dxa"/>
            <w:vAlign w:val="center"/>
          </w:tcPr>
          <w:p w:rsidR="00BE069E" w:rsidRPr="00822E33" w:rsidRDefault="008933AF" w:rsidP="00C910A9">
            <w:pPr>
              <w:jc w:val="center"/>
              <w:rPr>
                <w:sz w:val="22"/>
              </w:rPr>
            </w:pPr>
            <w:r>
              <w:rPr>
                <w:sz w:val="22"/>
              </w:rPr>
              <w:t>16.9</w:t>
            </w:r>
          </w:p>
        </w:tc>
        <w:tc>
          <w:tcPr>
            <w:tcW w:w="2579" w:type="dxa"/>
            <w:vAlign w:val="center"/>
          </w:tcPr>
          <w:p w:rsidR="00BE069E" w:rsidRPr="00822E33" w:rsidRDefault="00C21D5B" w:rsidP="00C910A9">
            <w:pPr>
              <w:jc w:val="center"/>
              <w:rPr>
                <w:sz w:val="22"/>
              </w:rPr>
            </w:pPr>
            <w:r>
              <w:rPr>
                <w:sz w:val="22"/>
              </w:rPr>
              <w:t>70</w:t>
            </w:r>
            <w:r w:rsidR="00076693">
              <w:rPr>
                <w:sz w:val="22"/>
              </w:rPr>
              <w:t>%</w:t>
            </w:r>
          </w:p>
        </w:tc>
        <w:tc>
          <w:tcPr>
            <w:tcW w:w="1719" w:type="dxa"/>
            <w:vAlign w:val="center"/>
          </w:tcPr>
          <w:p w:rsidR="00BE069E" w:rsidRPr="00822E33" w:rsidRDefault="00BE069E" w:rsidP="00C910A9">
            <w:pPr>
              <w:jc w:val="center"/>
              <w:rPr>
                <w:sz w:val="22"/>
              </w:rPr>
            </w:pPr>
            <w:r>
              <w:rPr>
                <w:sz w:val="22"/>
              </w:rPr>
              <w:t>64</w:t>
            </w:r>
            <w:r w:rsidRPr="00822E33">
              <w:rPr>
                <w:sz w:val="22"/>
              </w:rPr>
              <w:t>%</w:t>
            </w:r>
          </w:p>
        </w:tc>
      </w:tr>
    </w:tbl>
    <w:p w:rsidR="00AF1447" w:rsidRPr="00567E81" w:rsidRDefault="00AF1447" w:rsidP="00124F71">
      <w:pPr>
        <w:pStyle w:val="Heading1"/>
        <w:spacing w:before="240" w:after="80" w:line="20" w:lineRule="atLeast"/>
        <w:rPr>
          <w:bCs w:val="0"/>
          <w:color w:val="336600"/>
          <w:spacing w:val="5"/>
          <w:sz w:val="24"/>
          <w:szCs w:val="22"/>
        </w:rPr>
      </w:pPr>
      <w:r w:rsidRPr="00567E81">
        <w:rPr>
          <w:bCs w:val="0"/>
          <w:color w:val="336600"/>
          <w:spacing w:val="5"/>
          <w:sz w:val="24"/>
          <w:szCs w:val="22"/>
        </w:rPr>
        <w:t>Where are the opportunities?</w:t>
      </w:r>
    </w:p>
    <w:p w:rsidR="00AA69A6" w:rsidRPr="00AC1B69" w:rsidRDefault="00AA69A6" w:rsidP="003B4329">
      <w:pPr>
        <w:pStyle w:val="ListParagraph"/>
        <w:numPr>
          <w:ilvl w:val="0"/>
          <w:numId w:val="37"/>
        </w:numPr>
        <w:spacing w:after="0" w:line="264" w:lineRule="auto"/>
        <w:jc w:val="both"/>
      </w:pPr>
      <w:r>
        <w:t>Recruitment conditions in the Gladstone ESA are still relatively strong and many employers intend to recruit for a range of occupations in the next 12 months. Some of the most commonly mentioned occupations include</w:t>
      </w:r>
      <w:r w:rsidRPr="003B4329">
        <w:t xml:space="preserve"> Sales Assistants, Kitchenhands, Checkout Operators and Office Cashiers, Waiters, Motor Mechanics, Child Carers, Truck Drivers, Metal Fitters and Machinists, and General Clerks. </w:t>
      </w:r>
    </w:p>
    <w:p w:rsidR="00170144" w:rsidRDefault="00C60A34" w:rsidP="00170144">
      <w:pPr>
        <w:pStyle w:val="ListParagraph"/>
        <w:numPr>
          <w:ilvl w:val="0"/>
          <w:numId w:val="37"/>
        </w:numPr>
        <w:spacing w:after="0" w:line="264" w:lineRule="auto"/>
        <w:jc w:val="both"/>
      </w:pPr>
      <w:r>
        <w:t xml:space="preserve">The very high unfilled vacancy rate for Technicians and Trades Workers demonstrates the opportunities for job seekers in the area with the requisite skills and qualifications. </w:t>
      </w:r>
      <w:r w:rsidR="000267AF">
        <w:t>There may also be opportunities for job seekers to tak</w:t>
      </w:r>
      <w:r w:rsidR="00AD0B2A">
        <w:t>e up apprenticeships</w:t>
      </w:r>
      <w:r>
        <w:t xml:space="preserve"> in these occupations</w:t>
      </w:r>
      <w:r w:rsidR="000267AF">
        <w:t xml:space="preserve">. </w:t>
      </w:r>
    </w:p>
    <w:sectPr w:rsidR="00170144" w:rsidSect="001B572C">
      <w:footerReference w:type="default" r:id="rId11"/>
      <w:type w:val="continuous"/>
      <w:pgSz w:w="11906" w:h="16838"/>
      <w:pgMar w:top="851" w:right="624" w:bottom="624" w:left="624"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9C8" w:rsidRDefault="007349C8" w:rsidP="007349C8">
      <w:pPr>
        <w:spacing w:after="0" w:line="240" w:lineRule="auto"/>
      </w:pPr>
      <w:r>
        <w:separator/>
      </w:r>
    </w:p>
  </w:endnote>
  <w:endnote w:type="continuationSeparator" w:id="0">
    <w:p w:rsidR="007349C8" w:rsidRDefault="007349C8" w:rsidP="00734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72C" w:rsidRPr="001B572C" w:rsidRDefault="001B572C" w:rsidP="001B572C">
    <w:pPr>
      <w:pStyle w:val="ListBullet"/>
      <w:numPr>
        <w:ilvl w:val="0"/>
        <w:numId w:val="0"/>
      </w:numPr>
      <w:tabs>
        <w:tab w:val="left" w:pos="5529"/>
      </w:tabs>
      <w:spacing w:after="0" w:line="240" w:lineRule="auto"/>
      <w:ind w:right="1961"/>
      <w:rPr>
        <w:sz w:val="20"/>
        <w:szCs w:val="18"/>
      </w:rPr>
    </w:pPr>
    <w:r w:rsidRPr="001B572C">
      <w:rPr>
        <w:sz w:val="20"/>
        <w:szCs w:val="18"/>
      </w:rPr>
      <w:t xml:space="preserve">Further information can be found at </w:t>
    </w:r>
    <w:hyperlink r:id="rId1" w:history="1">
      <w:r w:rsidRPr="001B572C">
        <w:rPr>
          <w:rStyle w:val="Hyperlink"/>
          <w:sz w:val="20"/>
          <w:szCs w:val="18"/>
        </w:rPr>
        <w:t>www.employment.gov.au/regionalreports</w:t>
      </w:r>
    </w:hyperlink>
    <w:r w:rsidRPr="001B572C">
      <w:rPr>
        <w:sz w:val="20"/>
        <w:szCs w:val="18"/>
      </w:rPr>
      <w:t xml:space="preserve">, </w:t>
    </w:r>
  </w:p>
  <w:p w:rsidR="001B572C" w:rsidRPr="001B572C" w:rsidRDefault="001B572C" w:rsidP="001B572C">
    <w:pPr>
      <w:pStyle w:val="ListBullet"/>
      <w:numPr>
        <w:ilvl w:val="0"/>
        <w:numId w:val="0"/>
      </w:numPr>
      <w:tabs>
        <w:tab w:val="left" w:pos="5529"/>
      </w:tabs>
      <w:spacing w:after="0" w:line="240" w:lineRule="auto"/>
      <w:ind w:right="1961"/>
      <w:rPr>
        <w:sz w:val="20"/>
        <w:szCs w:val="18"/>
      </w:rPr>
    </w:pPr>
    <w:r w:rsidRPr="001B572C">
      <w:rPr>
        <w:sz w:val="20"/>
        <w:szCs w:val="18"/>
      </w:rPr>
      <w:t>on 1800 059 439 o</w:t>
    </w:r>
    <w:r w:rsidR="007F4DA5">
      <w:rPr>
        <w:sz w:val="20"/>
        <w:szCs w:val="18"/>
      </w:rPr>
      <w:t>r email recruitmentsurveys@employment</w:t>
    </w:r>
    <w:r w:rsidRPr="001B572C">
      <w:rPr>
        <w:sz w:val="20"/>
        <w:szCs w:val="18"/>
      </w:rPr>
      <w:t>.gov.au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9C8" w:rsidRDefault="007349C8" w:rsidP="007349C8">
      <w:pPr>
        <w:spacing w:after="0" w:line="240" w:lineRule="auto"/>
      </w:pPr>
      <w:r>
        <w:separator/>
      </w:r>
    </w:p>
  </w:footnote>
  <w:footnote w:type="continuationSeparator" w:id="0">
    <w:p w:rsidR="007349C8" w:rsidRDefault="007349C8" w:rsidP="007349C8">
      <w:pPr>
        <w:spacing w:after="0" w:line="240" w:lineRule="auto"/>
      </w:pPr>
      <w:r>
        <w:continuationSeparator/>
      </w:r>
    </w:p>
  </w:footnote>
  <w:footnote w:id="1">
    <w:p w:rsidR="00C910A9" w:rsidRPr="00C96581" w:rsidRDefault="00C910A9" w:rsidP="00C910A9">
      <w:pPr>
        <w:pStyle w:val="FootnoteText"/>
        <w:rPr>
          <w:rFonts w:asciiTheme="minorHAnsi" w:hAnsiTheme="minorHAnsi" w:cstheme="minorHAnsi"/>
          <w:sz w:val="16"/>
          <w:szCs w:val="16"/>
        </w:rPr>
      </w:pPr>
      <w:r w:rsidRPr="00C96581">
        <w:rPr>
          <w:rStyle w:val="FootnoteReference"/>
          <w:rFonts w:asciiTheme="minorHAnsi" w:hAnsiTheme="minorHAnsi" w:cstheme="minorHAnsi"/>
          <w:sz w:val="16"/>
          <w:szCs w:val="16"/>
        </w:rPr>
        <w:footnoteRef/>
      </w:r>
      <w:r w:rsidRPr="00C96581">
        <w:rPr>
          <w:rFonts w:asciiTheme="minorHAnsi" w:hAnsiTheme="minorHAnsi" w:cstheme="minorHAnsi"/>
          <w:sz w:val="16"/>
          <w:szCs w:val="16"/>
        </w:rPr>
        <w:t xml:space="preserve"> ABS, Census of Population and Housing, 2011.</w:t>
      </w:r>
    </w:p>
  </w:footnote>
  <w:footnote w:id="2">
    <w:p w:rsidR="00AB5F07" w:rsidRPr="00C96581" w:rsidRDefault="00AB5F07" w:rsidP="00AB5F07">
      <w:pPr>
        <w:pStyle w:val="FootnoteText"/>
        <w:rPr>
          <w:rFonts w:asciiTheme="minorHAnsi" w:hAnsiTheme="minorHAnsi" w:cstheme="minorHAnsi"/>
          <w:sz w:val="16"/>
          <w:szCs w:val="16"/>
        </w:rPr>
      </w:pPr>
      <w:r w:rsidRPr="00C96581">
        <w:rPr>
          <w:rStyle w:val="FootnoteReference"/>
          <w:rFonts w:asciiTheme="minorHAnsi" w:hAnsiTheme="minorHAnsi" w:cstheme="minorHAnsi"/>
          <w:sz w:val="16"/>
          <w:szCs w:val="16"/>
        </w:rPr>
        <w:footnoteRef/>
      </w:r>
      <w:r w:rsidRPr="00C96581">
        <w:rPr>
          <w:rFonts w:asciiTheme="minorHAnsi" w:hAnsiTheme="minorHAnsi" w:cstheme="minorHAnsi"/>
          <w:sz w:val="16"/>
          <w:szCs w:val="16"/>
        </w:rPr>
        <w:t xml:space="preserve"> </w:t>
      </w:r>
      <w:r w:rsidRPr="00C96581">
        <w:rPr>
          <w:rStyle w:val="FootnoteReference"/>
          <w:rFonts w:asciiTheme="minorHAnsi" w:hAnsiTheme="minorHAnsi" w:cstheme="minorHAnsi"/>
          <w:sz w:val="16"/>
          <w:szCs w:val="16"/>
          <w:vertAlign w:val="baseline"/>
        </w:rPr>
        <w:t>Department of Employment, Small Area Labour Markets, September 2013.</w:t>
      </w:r>
    </w:p>
  </w:footnote>
  <w:footnote w:id="3">
    <w:p w:rsidR="003A24F3" w:rsidRPr="00C96581" w:rsidRDefault="003A24F3">
      <w:pPr>
        <w:pStyle w:val="FootnoteText"/>
        <w:rPr>
          <w:rFonts w:asciiTheme="minorHAnsi" w:hAnsiTheme="minorHAnsi" w:cstheme="minorHAnsi"/>
          <w:sz w:val="16"/>
          <w:szCs w:val="16"/>
        </w:rPr>
      </w:pPr>
      <w:r w:rsidRPr="00C96581">
        <w:rPr>
          <w:rStyle w:val="FootnoteReference"/>
          <w:rFonts w:asciiTheme="minorHAnsi" w:hAnsiTheme="minorHAnsi" w:cstheme="minorHAnsi"/>
          <w:sz w:val="16"/>
          <w:szCs w:val="16"/>
        </w:rPr>
        <w:footnoteRef/>
      </w:r>
      <w:r w:rsidR="0032175C" w:rsidRPr="00C96581">
        <w:rPr>
          <w:rFonts w:asciiTheme="minorHAnsi" w:hAnsiTheme="minorHAnsi" w:cstheme="minorHAnsi"/>
          <w:sz w:val="16"/>
          <w:szCs w:val="16"/>
        </w:rPr>
        <w:t xml:space="preserve"> </w:t>
      </w:r>
      <w:r w:rsidR="006900DC" w:rsidRPr="00C96581">
        <w:rPr>
          <w:rFonts w:asciiTheme="minorHAnsi" w:hAnsiTheme="minorHAnsi" w:cstheme="minorHAnsi"/>
          <w:sz w:val="16"/>
          <w:szCs w:val="16"/>
        </w:rPr>
        <w:t>This report is b</w:t>
      </w:r>
      <w:r w:rsidRPr="00C96581">
        <w:rPr>
          <w:rFonts w:asciiTheme="minorHAnsi" w:hAnsiTheme="minorHAnsi" w:cstheme="minorHAnsi"/>
          <w:sz w:val="16"/>
          <w:szCs w:val="16"/>
        </w:rPr>
        <w:t xml:space="preserve">ased on a Survey of Employers’ Recruitment Experiences of </w:t>
      </w:r>
      <w:r w:rsidR="00DC1978" w:rsidRPr="00C96581">
        <w:rPr>
          <w:rFonts w:asciiTheme="minorHAnsi" w:hAnsiTheme="minorHAnsi" w:cstheme="minorHAnsi"/>
          <w:sz w:val="16"/>
          <w:szCs w:val="16"/>
        </w:rPr>
        <w:t>363</w:t>
      </w:r>
      <w:r w:rsidRPr="00C96581">
        <w:rPr>
          <w:rFonts w:asciiTheme="minorHAnsi" w:hAnsiTheme="minorHAnsi" w:cstheme="minorHAnsi"/>
          <w:sz w:val="16"/>
          <w:szCs w:val="16"/>
        </w:rPr>
        <w:t xml:space="preserve"> employers undertaken by the </w:t>
      </w:r>
      <w:r w:rsidR="006900DC" w:rsidRPr="00A71C8B">
        <w:rPr>
          <w:rFonts w:asciiTheme="minorHAnsi" w:hAnsiTheme="minorHAnsi" w:cstheme="minorHAnsi"/>
          <w:sz w:val="18"/>
          <w:szCs w:val="16"/>
        </w:rPr>
        <w:t>Labour Market Research and Analysis Branch</w:t>
      </w:r>
      <w:r w:rsidRPr="00A71C8B">
        <w:rPr>
          <w:rFonts w:asciiTheme="minorHAnsi" w:hAnsiTheme="minorHAnsi" w:cstheme="minorHAnsi"/>
          <w:sz w:val="18"/>
          <w:szCs w:val="16"/>
        </w:rPr>
        <w:t xml:space="preserve"> </w:t>
      </w:r>
      <w:r w:rsidRPr="00C96581">
        <w:rPr>
          <w:rFonts w:asciiTheme="minorHAnsi" w:hAnsiTheme="minorHAnsi" w:cstheme="minorHAnsi"/>
          <w:sz w:val="16"/>
          <w:szCs w:val="16"/>
        </w:rPr>
        <w:t xml:space="preserve">in </w:t>
      </w:r>
      <w:r w:rsidR="00DC1978" w:rsidRPr="00C96581">
        <w:rPr>
          <w:rFonts w:asciiTheme="minorHAnsi" w:hAnsiTheme="minorHAnsi" w:cstheme="minorHAnsi"/>
          <w:sz w:val="16"/>
          <w:szCs w:val="16"/>
        </w:rPr>
        <w:t>October</w:t>
      </w:r>
      <w:r w:rsidRPr="00C96581">
        <w:rPr>
          <w:rFonts w:asciiTheme="minorHAnsi" w:hAnsiTheme="minorHAnsi" w:cstheme="minorHAnsi"/>
          <w:sz w:val="16"/>
          <w:szCs w:val="16"/>
        </w:rPr>
        <w:t xml:space="preserve"> 2013.</w:t>
      </w:r>
      <w:r w:rsidR="00237B8C">
        <w:rPr>
          <w:rFonts w:asciiTheme="minorHAnsi" w:hAnsiTheme="minorHAnsi" w:cstheme="minorHAnsi"/>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65C21B0"/>
    <w:lvl w:ilvl="0">
      <w:start w:val="1"/>
      <w:numFmt w:val="decimal"/>
      <w:lvlText w:val="%1."/>
      <w:lvlJc w:val="left"/>
      <w:pPr>
        <w:tabs>
          <w:tab w:val="num" w:pos="1492"/>
        </w:tabs>
        <w:ind w:left="1492" w:hanging="360"/>
      </w:pPr>
    </w:lvl>
  </w:abstractNum>
  <w:abstractNum w:abstractNumId="1">
    <w:nsid w:val="FFFFFF7D"/>
    <w:multiLevelType w:val="singleLevel"/>
    <w:tmpl w:val="EF2C0204"/>
    <w:lvl w:ilvl="0">
      <w:start w:val="1"/>
      <w:numFmt w:val="decimal"/>
      <w:lvlText w:val="%1."/>
      <w:lvlJc w:val="left"/>
      <w:pPr>
        <w:tabs>
          <w:tab w:val="num" w:pos="1209"/>
        </w:tabs>
        <w:ind w:left="1209" w:hanging="360"/>
      </w:pPr>
    </w:lvl>
  </w:abstractNum>
  <w:abstractNum w:abstractNumId="2">
    <w:nsid w:val="FFFFFF7E"/>
    <w:multiLevelType w:val="singleLevel"/>
    <w:tmpl w:val="37D08C3A"/>
    <w:lvl w:ilvl="0">
      <w:start w:val="1"/>
      <w:numFmt w:val="decimal"/>
      <w:lvlText w:val="%1."/>
      <w:lvlJc w:val="left"/>
      <w:pPr>
        <w:tabs>
          <w:tab w:val="num" w:pos="926"/>
        </w:tabs>
        <w:ind w:left="926" w:hanging="360"/>
      </w:pPr>
    </w:lvl>
  </w:abstractNum>
  <w:abstractNum w:abstractNumId="3">
    <w:nsid w:val="FFFFFF7F"/>
    <w:multiLevelType w:val="singleLevel"/>
    <w:tmpl w:val="4942CF74"/>
    <w:lvl w:ilvl="0">
      <w:start w:val="1"/>
      <w:numFmt w:val="decimal"/>
      <w:lvlText w:val="%1."/>
      <w:lvlJc w:val="left"/>
      <w:pPr>
        <w:tabs>
          <w:tab w:val="num" w:pos="643"/>
        </w:tabs>
        <w:ind w:left="643" w:hanging="360"/>
      </w:pPr>
    </w:lvl>
  </w:abstractNum>
  <w:abstractNum w:abstractNumId="4">
    <w:nsid w:val="FFFFFF80"/>
    <w:multiLevelType w:val="singleLevel"/>
    <w:tmpl w:val="16F649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001698"/>
    <w:lvl w:ilvl="0">
      <w:start w:val="1"/>
      <w:numFmt w:val="decimal"/>
      <w:lvlText w:val="%1."/>
      <w:lvlJc w:val="left"/>
      <w:pPr>
        <w:tabs>
          <w:tab w:val="num" w:pos="360"/>
        </w:tabs>
        <w:ind w:left="360" w:hanging="360"/>
      </w:pPr>
    </w:lvl>
  </w:abstractNum>
  <w:abstractNum w:abstractNumId="9">
    <w:nsid w:val="FFFFFF89"/>
    <w:multiLevelType w:val="singleLevel"/>
    <w:tmpl w:val="9D80A2AA"/>
    <w:lvl w:ilvl="0">
      <w:start w:val="1"/>
      <w:numFmt w:val="bullet"/>
      <w:lvlText w:val=""/>
      <w:lvlJc w:val="left"/>
      <w:pPr>
        <w:tabs>
          <w:tab w:val="num" w:pos="360"/>
        </w:tabs>
        <w:ind w:left="360" w:hanging="360"/>
      </w:pPr>
      <w:rPr>
        <w:rFonts w:ascii="Symbol" w:hAnsi="Symbol" w:hint="default"/>
      </w:rPr>
    </w:lvl>
  </w:abstractNum>
  <w:abstractNum w:abstractNumId="1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A784D04"/>
    <w:multiLevelType w:val="hybridMultilevel"/>
    <w:tmpl w:val="D80AB6F2"/>
    <w:lvl w:ilvl="0" w:tplc="18C6CEA0">
      <w:start w:val="1"/>
      <w:numFmt w:val="lowerLetter"/>
      <w:lvlText w:val="(%1)"/>
      <w:lvlJc w:val="left"/>
      <w:pPr>
        <w:ind w:left="720" w:hanging="360"/>
      </w:pPr>
      <w:rPr>
        <w:rFonts w:ascii="Calibri" w:hAnsi="Calibri" w:cs="Calibri" w:hint="default"/>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CC21FE0"/>
    <w:multiLevelType w:val="hybridMultilevel"/>
    <w:tmpl w:val="00561E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0FDF1F70"/>
    <w:multiLevelType w:val="hybridMultilevel"/>
    <w:tmpl w:val="4D6446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13776B20"/>
    <w:multiLevelType w:val="hybridMultilevel"/>
    <w:tmpl w:val="C9A8CAF0"/>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15133AB5"/>
    <w:multiLevelType w:val="hybridMultilevel"/>
    <w:tmpl w:val="D64E214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A68350F"/>
    <w:multiLevelType w:val="hybridMultilevel"/>
    <w:tmpl w:val="5DB8D4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1B9670B9"/>
    <w:multiLevelType w:val="hybridMultilevel"/>
    <w:tmpl w:val="8A127BE6"/>
    <w:lvl w:ilvl="0" w:tplc="BEC8911C">
      <w:start w:val="5"/>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nsid w:val="23577BA0"/>
    <w:multiLevelType w:val="hybridMultilevel"/>
    <w:tmpl w:val="CC16E776"/>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6373ABC"/>
    <w:multiLevelType w:val="hybridMultilevel"/>
    <w:tmpl w:val="F74E35F2"/>
    <w:lvl w:ilvl="0" w:tplc="76C60534">
      <w:numFmt w:val="bullet"/>
      <w:lvlText w:val="-"/>
      <w:lvlJc w:val="left"/>
      <w:pPr>
        <w:ind w:left="360" w:hanging="360"/>
      </w:pPr>
      <w:rPr>
        <w:rFonts w:ascii="Calibri" w:eastAsia="Calibr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nsid w:val="2C39475E"/>
    <w:multiLevelType w:val="hybridMultilevel"/>
    <w:tmpl w:val="EB022CC4"/>
    <w:lvl w:ilvl="0" w:tplc="F7FE6A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D46544D"/>
    <w:multiLevelType w:val="hybridMultilevel"/>
    <w:tmpl w:val="DB60A010"/>
    <w:lvl w:ilvl="0" w:tplc="0394902E">
      <w:start w:val="7"/>
      <w:numFmt w:val="bullet"/>
      <w:lvlText w:val="-"/>
      <w:lvlJc w:val="left"/>
      <w:pPr>
        <w:ind w:left="360" w:hanging="360"/>
      </w:pPr>
      <w:rPr>
        <w:rFonts w:ascii="Calibri" w:eastAsiaTheme="minorEastAsia"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419A731E"/>
    <w:multiLevelType w:val="hybridMultilevel"/>
    <w:tmpl w:val="0100CBB0"/>
    <w:lvl w:ilvl="0" w:tplc="51BE54A0">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nsid w:val="4D7E1B3B"/>
    <w:multiLevelType w:val="hybridMultilevel"/>
    <w:tmpl w:val="D8ACCF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90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nsid w:val="561B7F1F"/>
    <w:multiLevelType w:val="hybridMultilevel"/>
    <w:tmpl w:val="480C874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nsid w:val="5BEF1E92"/>
    <w:multiLevelType w:val="hybridMultilevel"/>
    <w:tmpl w:val="2FAC2C86"/>
    <w:lvl w:ilvl="0" w:tplc="5554EDEC">
      <w:start w:val="1"/>
      <w:numFmt w:val="decimal"/>
      <w:lvlText w:val="(%1)"/>
      <w:lvlJc w:val="left"/>
      <w:pPr>
        <w:ind w:left="720" w:hanging="360"/>
      </w:pPr>
      <w:rPr>
        <w:rFonts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52C1E45"/>
    <w:multiLevelType w:val="hybridMultilevel"/>
    <w:tmpl w:val="D9B8F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nsid w:val="78483955"/>
    <w:multiLevelType w:val="hybridMultilevel"/>
    <w:tmpl w:val="3DF8B1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8"/>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31"/>
  </w:num>
  <w:num w:numId="15">
    <w:abstractNumId w:val="15"/>
  </w:num>
  <w:num w:numId="16">
    <w:abstractNumId w:val="26"/>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26"/>
  </w:num>
  <w:num w:numId="20">
    <w:abstractNumId w:val="14"/>
  </w:num>
  <w:num w:numId="21">
    <w:abstractNumId w:val="20"/>
  </w:num>
  <w:num w:numId="22">
    <w:abstractNumId w:val="16"/>
  </w:num>
  <w:num w:numId="23">
    <w:abstractNumId w:val="26"/>
  </w:num>
  <w:num w:numId="24">
    <w:abstractNumId w:val="9"/>
  </w:num>
  <w:num w:numId="25">
    <w:abstractNumId w:val="18"/>
  </w:num>
  <w:num w:numId="26">
    <w:abstractNumId w:val="13"/>
  </w:num>
  <w:num w:numId="27">
    <w:abstractNumId w:val="23"/>
  </w:num>
  <w:num w:numId="28">
    <w:abstractNumId w:val="22"/>
  </w:num>
  <w:num w:numId="29">
    <w:abstractNumId w:val="29"/>
  </w:num>
  <w:num w:numId="30">
    <w:abstractNumId w:val="24"/>
  </w:num>
  <w:num w:numId="31">
    <w:abstractNumId w:val="11"/>
  </w:num>
  <w:num w:numId="32">
    <w:abstractNumId w:val="21"/>
  </w:num>
  <w:num w:numId="33">
    <w:abstractNumId w:val="30"/>
  </w:num>
  <w:num w:numId="34">
    <w:abstractNumId w:val="25"/>
  </w:num>
  <w:num w:numId="35">
    <w:abstractNumId w:val="32"/>
  </w:num>
  <w:num w:numId="36">
    <w:abstractNumId w:val="17"/>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070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C10C19"/>
    <w:rsid w:val="00002721"/>
    <w:rsid w:val="00006360"/>
    <w:rsid w:val="000105B5"/>
    <w:rsid w:val="00010FE2"/>
    <w:rsid w:val="00021193"/>
    <w:rsid w:val="00023DBF"/>
    <w:rsid w:val="00024E24"/>
    <w:rsid w:val="000254ED"/>
    <w:rsid w:val="000267AF"/>
    <w:rsid w:val="0003412C"/>
    <w:rsid w:val="00046157"/>
    <w:rsid w:val="00047051"/>
    <w:rsid w:val="00047301"/>
    <w:rsid w:val="000617D6"/>
    <w:rsid w:val="00066CEE"/>
    <w:rsid w:val="00067825"/>
    <w:rsid w:val="00076693"/>
    <w:rsid w:val="000861A6"/>
    <w:rsid w:val="0009189D"/>
    <w:rsid w:val="00094D9B"/>
    <w:rsid w:val="00096C35"/>
    <w:rsid w:val="000A2467"/>
    <w:rsid w:val="000C096D"/>
    <w:rsid w:val="000C7693"/>
    <w:rsid w:val="000D4EE6"/>
    <w:rsid w:val="000E37C2"/>
    <w:rsid w:val="000F3BA2"/>
    <w:rsid w:val="00100AF4"/>
    <w:rsid w:val="001039F3"/>
    <w:rsid w:val="001111BE"/>
    <w:rsid w:val="001132F0"/>
    <w:rsid w:val="00115EE6"/>
    <w:rsid w:val="0011609E"/>
    <w:rsid w:val="001175BF"/>
    <w:rsid w:val="00124F71"/>
    <w:rsid w:val="00125E63"/>
    <w:rsid w:val="001270E9"/>
    <w:rsid w:val="00131755"/>
    <w:rsid w:val="0013485F"/>
    <w:rsid w:val="00135DDA"/>
    <w:rsid w:val="00137F8E"/>
    <w:rsid w:val="00143FCD"/>
    <w:rsid w:val="001535C1"/>
    <w:rsid w:val="00160384"/>
    <w:rsid w:val="00170144"/>
    <w:rsid w:val="001811D2"/>
    <w:rsid w:val="00182F99"/>
    <w:rsid w:val="00184148"/>
    <w:rsid w:val="00184D44"/>
    <w:rsid w:val="00185471"/>
    <w:rsid w:val="00195A1B"/>
    <w:rsid w:val="00197036"/>
    <w:rsid w:val="001A43F5"/>
    <w:rsid w:val="001B187C"/>
    <w:rsid w:val="001B42E5"/>
    <w:rsid w:val="001B572C"/>
    <w:rsid w:val="001B6467"/>
    <w:rsid w:val="001C0A62"/>
    <w:rsid w:val="001C60C9"/>
    <w:rsid w:val="001E0E07"/>
    <w:rsid w:val="001E2AA5"/>
    <w:rsid w:val="001E5C2B"/>
    <w:rsid w:val="001F3076"/>
    <w:rsid w:val="001F5844"/>
    <w:rsid w:val="001F72B1"/>
    <w:rsid w:val="002035B6"/>
    <w:rsid w:val="002052C6"/>
    <w:rsid w:val="0021366A"/>
    <w:rsid w:val="002179DB"/>
    <w:rsid w:val="00222186"/>
    <w:rsid w:val="002228A7"/>
    <w:rsid w:val="00223EB1"/>
    <w:rsid w:val="00225D06"/>
    <w:rsid w:val="002316E1"/>
    <w:rsid w:val="002317F5"/>
    <w:rsid w:val="00236793"/>
    <w:rsid w:val="00236917"/>
    <w:rsid w:val="00237162"/>
    <w:rsid w:val="00237B8C"/>
    <w:rsid w:val="00240BA3"/>
    <w:rsid w:val="00241D88"/>
    <w:rsid w:val="0025069C"/>
    <w:rsid w:val="002530AF"/>
    <w:rsid w:val="0025319C"/>
    <w:rsid w:val="002550A3"/>
    <w:rsid w:val="00255568"/>
    <w:rsid w:val="00265A11"/>
    <w:rsid w:val="00267277"/>
    <w:rsid w:val="00267902"/>
    <w:rsid w:val="00270B07"/>
    <w:rsid w:val="00271435"/>
    <w:rsid w:val="00272D7B"/>
    <w:rsid w:val="00284984"/>
    <w:rsid w:val="00291F7C"/>
    <w:rsid w:val="00295253"/>
    <w:rsid w:val="00295F43"/>
    <w:rsid w:val="002969FE"/>
    <w:rsid w:val="002A2AB8"/>
    <w:rsid w:val="002B06E6"/>
    <w:rsid w:val="002B1671"/>
    <w:rsid w:val="002B4B16"/>
    <w:rsid w:val="002C19E3"/>
    <w:rsid w:val="002C1A1A"/>
    <w:rsid w:val="002D271F"/>
    <w:rsid w:val="002D6386"/>
    <w:rsid w:val="002D6A52"/>
    <w:rsid w:val="002F3DFB"/>
    <w:rsid w:val="00303C17"/>
    <w:rsid w:val="00305B35"/>
    <w:rsid w:val="0031071F"/>
    <w:rsid w:val="00314E70"/>
    <w:rsid w:val="003201A6"/>
    <w:rsid w:val="00320C21"/>
    <w:rsid w:val="0032175C"/>
    <w:rsid w:val="0032187A"/>
    <w:rsid w:val="00321A2C"/>
    <w:rsid w:val="00321D2C"/>
    <w:rsid w:val="00326425"/>
    <w:rsid w:val="003316E6"/>
    <w:rsid w:val="003424FD"/>
    <w:rsid w:val="003745D1"/>
    <w:rsid w:val="00377F31"/>
    <w:rsid w:val="003803BD"/>
    <w:rsid w:val="00380E63"/>
    <w:rsid w:val="00387511"/>
    <w:rsid w:val="003925E5"/>
    <w:rsid w:val="003A1E1A"/>
    <w:rsid w:val="003A24F3"/>
    <w:rsid w:val="003A635F"/>
    <w:rsid w:val="003B10A0"/>
    <w:rsid w:val="003B1387"/>
    <w:rsid w:val="003B2B5C"/>
    <w:rsid w:val="003B4329"/>
    <w:rsid w:val="003B5BFE"/>
    <w:rsid w:val="003C3739"/>
    <w:rsid w:val="003C3943"/>
    <w:rsid w:val="003C793C"/>
    <w:rsid w:val="003D0D60"/>
    <w:rsid w:val="003D3289"/>
    <w:rsid w:val="003D69EA"/>
    <w:rsid w:val="003E1714"/>
    <w:rsid w:val="003E37DC"/>
    <w:rsid w:val="003F060E"/>
    <w:rsid w:val="00403516"/>
    <w:rsid w:val="00406E5A"/>
    <w:rsid w:val="00410738"/>
    <w:rsid w:val="00413C64"/>
    <w:rsid w:val="0041457B"/>
    <w:rsid w:val="00430726"/>
    <w:rsid w:val="00445359"/>
    <w:rsid w:val="00447A3A"/>
    <w:rsid w:val="00451EBA"/>
    <w:rsid w:val="00455B34"/>
    <w:rsid w:val="0046093F"/>
    <w:rsid w:val="004645FC"/>
    <w:rsid w:val="00476773"/>
    <w:rsid w:val="00481201"/>
    <w:rsid w:val="00490D1C"/>
    <w:rsid w:val="0049127B"/>
    <w:rsid w:val="00491EFD"/>
    <w:rsid w:val="004A49A8"/>
    <w:rsid w:val="004A7CE3"/>
    <w:rsid w:val="004B1635"/>
    <w:rsid w:val="004B24B9"/>
    <w:rsid w:val="004B256F"/>
    <w:rsid w:val="004D2032"/>
    <w:rsid w:val="004E0C77"/>
    <w:rsid w:val="004E1087"/>
    <w:rsid w:val="004E71FC"/>
    <w:rsid w:val="004E7BB5"/>
    <w:rsid w:val="004F1E88"/>
    <w:rsid w:val="004F33CA"/>
    <w:rsid w:val="00510FE9"/>
    <w:rsid w:val="00515F8F"/>
    <w:rsid w:val="00517410"/>
    <w:rsid w:val="00520CB5"/>
    <w:rsid w:val="0052464E"/>
    <w:rsid w:val="00531817"/>
    <w:rsid w:val="00531CE8"/>
    <w:rsid w:val="00541383"/>
    <w:rsid w:val="005433BB"/>
    <w:rsid w:val="005458F5"/>
    <w:rsid w:val="00546036"/>
    <w:rsid w:val="00546194"/>
    <w:rsid w:val="00547470"/>
    <w:rsid w:val="0055227F"/>
    <w:rsid w:val="0055260F"/>
    <w:rsid w:val="0055500D"/>
    <w:rsid w:val="00557199"/>
    <w:rsid w:val="005624F3"/>
    <w:rsid w:val="0056501A"/>
    <w:rsid w:val="00567E81"/>
    <w:rsid w:val="005811EF"/>
    <w:rsid w:val="00581479"/>
    <w:rsid w:val="005853DB"/>
    <w:rsid w:val="005915D8"/>
    <w:rsid w:val="00595557"/>
    <w:rsid w:val="00597CBC"/>
    <w:rsid w:val="005A708E"/>
    <w:rsid w:val="005B0878"/>
    <w:rsid w:val="005B3728"/>
    <w:rsid w:val="005B3E46"/>
    <w:rsid w:val="005C4D74"/>
    <w:rsid w:val="005D004F"/>
    <w:rsid w:val="005D3936"/>
    <w:rsid w:val="005D5AE8"/>
    <w:rsid w:val="005E18AE"/>
    <w:rsid w:val="005F7278"/>
    <w:rsid w:val="005F766E"/>
    <w:rsid w:val="00610654"/>
    <w:rsid w:val="006123CB"/>
    <w:rsid w:val="006155EA"/>
    <w:rsid w:val="006164E0"/>
    <w:rsid w:val="00616DC1"/>
    <w:rsid w:val="006204D6"/>
    <w:rsid w:val="00633210"/>
    <w:rsid w:val="0064164D"/>
    <w:rsid w:val="006420BF"/>
    <w:rsid w:val="00642262"/>
    <w:rsid w:val="006463BA"/>
    <w:rsid w:val="00646DAF"/>
    <w:rsid w:val="00655A8D"/>
    <w:rsid w:val="00656489"/>
    <w:rsid w:val="00660AA4"/>
    <w:rsid w:val="00663984"/>
    <w:rsid w:val="00671B6C"/>
    <w:rsid w:val="00671DCF"/>
    <w:rsid w:val="0068048B"/>
    <w:rsid w:val="006834CF"/>
    <w:rsid w:val="006864C3"/>
    <w:rsid w:val="006900DC"/>
    <w:rsid w:val="00690A12"/>
    <w:rsid w:val="00693139"/>
    <w:rsid w:val="0069559C"/>
    <w:rsid w:val="00696584"/>
    <w:rsid w:val="006B126C"/>
    <w:rsid w:val="006B3178"/>
    <w:rsid w:val="006C28D3"/>
    <w:rsid w:val="006C5DCD"/>
    <w:rsid w:val="006E4449"/>
    <w:rsid w:val="006E4B8A"/>
    <w:rsid w:val="006E6F5C"/>
    <w:rsid w:val="006F2DB2"/>
    <w:rsid w:val="006F32BF"/>
    <w:rsid w:val="006F3BB9"/>
    <w:rsid w:val="00700CFB"/>
    <w:rsid w:val="00706E22"/>
    <w:rsid w:val="00710F73"/>
    <w:rsid w:val="00714AB9"/>
    <w:rsid w:val="007253AB"/>
    <w:rsid w:val="00725444"/>
    <w:rsid w:val="00727B99"/>
    <w:rsid w:val="007349C8"/>
    <w:rsid w:val="007415B3"/>
    <w:rsid w:val="00742886"/>
    <w:rsid w:val="00754220"/>
    <w:rsid w:val="0076630F"/>
    <w:rsid w:val="00780860"/>
    <w:rsid w:val="00790FAB"/>
    <w:rsid w:val="0079111A"/>
    <w:rsid w:val="00791DE2"/>
    <w:rsid w:val="00792CA3"/>
    <w:rsid w:val="00793626"/>
    <w:rsid w:val="00794AE9"/>
    <w:rsid w:val="007A594F"/>
    <w:rsid w:val="007A5F7C"/>
    <w:rsid w:val="007B000A"/>
    <w:rsid w:val="007B0AF3"/>
    <w:rsid w:val="007B1FBF"/>
    <w:rsid w:val="007B2C34"/>
    <w:rsid w:val="007B2FDD"/>
    <w:rsid w:val="007B6325"/>
    <w:rsid w:val="007C302A"/>
    <w:rsid w:val="007C41EF"/>
    <w:rsid w:val="007C65FC"/>
    <w:rsid w:val="007C7B09"/>
    <w:rsid w:val="007D05AC"/>
    <w:rsid w:val="007D1310"/>
    <w:rsid w:val="007E1944"/>
    <w:rsid w:val="007E2D74"/>
    <w:rsid w:val="007E4E07"/>
    <w:rsid w:val="007E6286"/>
    <w:rsid w:val="007F194F"/>
    <w:rsid w:val="007F3795"/>
    <w:rsid w:val="007F4DA5"/>
    <w:rsid w:val="00805EDE"/>
    <w:rsid w:val="00807832"/>
    <w:rsid w:val="008121B1"/>
    <w:rsid w:val="008163CE"/>
    <w:rsid w:val="0081769A"/>
    <w:rsid w:val="008219AC"/>
    <w:rsid w:val="00822E33"/>
    <w:rsid w:val="008264B8"/>
    <w:rsid w:val="0083468A"/>
    <w:rsid w:val="00842D43"/>
    <w:rsid w:val="00851007"/>
    <w:rsid w:val="008519C5"/>
    <w:rsid w:val="008552B9"/>
    <w:rsid w:val="0085599C"/>
    <w:rsid w:val="008563D8"/>
    <w:rsid w:val="00875A56"/>
    <w:rsid w:val="0088642E"/>
    <w:rsid w:val="00886C8D"/>
    <w:rsid w:val="00890044"/>
    <w:rsid w:val="008933AF"/>
    <w:rsid w:val="008A1CCE"/>
    <w:rsid w:val="008A5371"/>
    <w:rsid w:val="008D0CF6"/>
    <w:rsid w:val="008E45E7"/>
    <w:rsid w:val="009010C4"/>
    <w:rsid w:val="00904894"/>
    <w:rsid w:val="00905FD1"/>
    <w:rsid w:val="009116EA"/>
    <w:rsid w:val="00914E83"/>
    <w:rsid w:val="009169C6"/>
    <w:rsid w:val="0092042E"/>
    <w:rsid w:val="00926F3B"/>
    <w:rsid w:val="00927FA6"/>
    <w:rsid w:val="00933671"/>
    <w:rsid w:val="00943A32"/>
    <w:rsid w:val="0094436C"/>
    <w:rsid w:val="00945669"/>
    <w:rsid w:val="009634AA"/>
    <w:rsid w:val="00984879"/>
    <w:rsid w:val="00985632"/>
    <w:rsid w:val="00990B5E"/>
    <w:rsid w:val="00991B63"/>
    <w:rsid w:val="00991BCF"/>
    <w:rsid w:val="0099681C"/>
    <w:rsid w:val="009972AC"/>
    <w:rsid w:val="009A6BDC"/>
    <w:rsid w:val="009B00C8"/>
    <w:rsid w:val="009B2428"/>
    <w:rsid w:val="009B28C3"/>
    <w:rsid w:val="009B5CB7"/>
    <w:rsid w:val="009C1810"/>
    <w:rsid w:val="009C3B12"/>
    <w:rsid w:val="009C7FC6"/>
    <w:rsid w:val="009D2644"/>
    <w:rsid w:val="009E28F2"/>
    <w:rsid w:val="009E5F23"/>
    <w:rsid w:val="009F2734"/>
    <w:rsid w:val="009F2ECD"/>
    <w:rsid w:val="00A05736"/>
    <w:rsid w:val="00A07CF2"/>
    <w:rsid w:val="00A23842"/>
    <w:rsid w:val="00A2425D"/>
    <w:rsid w:val="00A2766A"/>
    <w:rsid w:val="00A31242"/>
    <w:rsid w:val="00A32372"/>
    <w:rsid w:val="00A4001A"/>
    <w:rsid w:val="00A400E4"/>
    <w:rsid w:val="00A52530"/>
    <w:rsid w:val="00A54B46"/>
    <w:rsid w:val="00A562F9"/>
    <w:rsid w:val="00A610D9"/>
    <w:rsid w:val="00A63615"/>
    <w:rsid w:val="00A66E4D"/>
    <w:rsid w:val="00A71C8B"/>
    <w:rsid w:val="00A723F5"/>
    <w:rsid w:val="00A73008"/>
    <w:rsid w:val="00A736FA"/>
    <w:rsid w:val="00A7619F"/>
    <w:rsid w:val="00AA07E1"/>
    <w:rsid w:val="00AA69A6"/>
    <w:rsid w:val="00AB5F07"/>
    <w:rsid w:val="00AB7FB8"/>
    <w:rsid w:val="00AC0363"/>
    <w:rsid w:val="00AC1B69"/>
    <w:rsid w:val="00AC65DA"/>
    <w:rsid w:val="00AC6F1A"/>
    <w:rsid w:val="00AD0B2A"/>
    <w:rsid w:val="00AD548C"/>
    <w:rsid w:val="00AD600E"/>
    <w:rsid w:val="00AD70EF"/>
    <w:rsid w:val="00AE08A7"/>
    <w:rsid w:val="00AE4959"/>
    <w:rsid w:val="00AE4A93"/>
    <w:rsid w:val="00AE4F82"/>
    <w:rsid w:val="00AF1447"/>
    <w:rsid w:val="00AF2552"/>
    <w:rsid w:val="00AF5831"/>
    <w:rsid w:val="00AF64BA"/>
    <w:rsid w:val="00AF6E85"/>
    <w:rsid w:val="00B074A6"/>
    <w:rsid w:val="00B10BD1"/>
    <w:rsid w:val="00B10F66"/>
    <w:rsid w:val="00B1705A"/>
    <w:rsid w:val="00B21D09"/>
    <w:rsid w:val="00B24D1A"/>
    <w:rsid w:val="00B265DD"/>
    <w:rsid w:val="00B300CE"/>
    <w:rsid w:val="00B3674C"/>
    <w:rsid w:val="00B409EF"/>
    <w:rsid w:val="00B40E45"/>
    <w:rsid w:val="00B4237C"/>
    <w:rsid w:val="00B45116"/>
    <w:rsid w:val="00B46C89"/>
    <w:rsid w:val="00B626A5"/>
    <w:rsid w:val="00B7034E"/>
    <w:rsid w:val="00B77A09"/>
    <w:rsid w:val="00B9286F"/>
    <w:rsid w:val="00B9628B"/>
    <w:rsid w:val="00BB0DD2"/>
    <w:rsid w:val="00BB418D"/>
    <w:rsid w:val="00BB717A"/>
    <w:rsid w:val="00BC0908"/>
    <w:rsid w:val="00BC1F63"/>
    <w:rsid w:val="00BC2C60"/>
    <w:rsid w:val="00BC5406"/>
    <w:rsid w:val="00BC5774"/>
    <w:rsid w:val="00BD0044"/>
    <w:rsid w:val="00BD33EC"/>
    <w:rsid w:val="00BD5F90"/>
    <w:rsid w:val="00BE069E"/>
    <w:rsid w:val="00BE65FF"/>
    <w:rsid w:val="00BE7816"/>
    <w:rsid w:val="00C0270A"/>
    <w:rsid w:val="00C04021"/>
    <w:rsid w:val="00C05E74"/>
    <w:rsid w:val="00C10C19"/>
    <w:rsid w:val="00C11108"/>
    <w:rsid w:val="00C17D9D"/>
    <w:rsid w:val="00C21D5B"/>
    <w:rsid w:val="00C247AD"/>
    <w:rsid w:val="00C30785"/>
    <w:rsid w:val="00C43F3E"/>
    <w:rsid w:val="00C5649C"/>
    <w:rsid w:val="00C5752B"/>
    <w:rsid w:val="00C60A34"/>
    <w:rsid w:val="00C65C6F"/>
    <w:rsid w:val="00C72D27"/>
    <w:rsid w:val="00C8202C"/>
    <w:rsid w:val="00C821B5"/>
    <w:rsid w:val="00C82311"/>
    <w:rsid w:val="00C85548"/>
    <w:rsid w:val="00C910A9"/>
    <w:rsid w:val="00C92A5B"/>
    <w:rsid w:val="00C96581"/>
    <w:rsid w:val="00CA46EC"/>
    <w:rsid w:val="00CB5A8F"/>
    <w:rsid w:val="00CC60B0"/>
    <w:rsid w:val="00CD10D2"/>
    <w:rsid w:val="00CD3E5F"/>
    <w:rsid w:val="00CD414B"/>
    <w:rsid w:val="00CD4515"/>
    <w:rsid w:val="00CD73CB"/>
    <w:rsid w:val="00CE06DE"/>
    <w:rsid w:val="00CE232C"/>
    <w:rsid w:val="00CF0C95"/>
    <w:rsid w:val="00CF4822"/>
    <w:rsid w:val="00CF6E7E"/>
    <w:rsid w:val="00D00513"/>
    <w:rsid w:val="00D0261F"/>
    <w:rsid w:val="00D042BF"/>
    <w:rsid w:val="00D04991"/>
    <w:rsid w:val="00D0598F"/>
    <w:rsid w:val="00D078F5"/>
    <w:rsid w:val="00D1394D"/>
    <w:rsid w:val="00D17848"/>
    <w:rsid w:val="00D22B54"/>
    <w:rsid w:val="00D22F44"/>
    <w:rsid w:val="00D25699"/>
    <w:rsid w:val="00D32EE6"/>
    <w:rsid w:val="00D45209"/>
    <w:rsid w:val="00D505B1"/>
    <w:rsid w:val="00D637C0"/>
    <w:rsid w:val="00D75777"/>
    <w:rsid w:val="00D805A9"/>
    <w:rsid w:val="00D814D0"/>
    <w:rsid w:val="00D81779"/>
    <w:rsid w:val="00D83FBC"/>
    <w:rsid w:val="00D878AE"/>
    <w:rsid w:val="00D90241"/>
    <w:rsid w:val="00D903FD"/>
    <w:rsid w:val="00D91912"/>
    <w:rsid w:val="00D9622A"/>
    <w:rsid w:val="00D96C08"/>
    <w:rsid w:val="00DA6F94"/>
    <w:rsid w:val="00DB1DF5"/>
    <w:rsid w:val="00DB2553"/>
    <w:rsid w:val="00DB38AF"/>
    <w:rsid w:val="00DB4D1F"/>
    <w:rsid w:val="00DC1978"/>
    <w:rsid w:val="00DC2BD3"/>
    <w:rsid w:val="00DD445B"/>
    <w:rsid w:val="00DD5BE4"/>
    <w:rsid w:val="00DE2651"/>
    <w:rsid w:val="00DE3A26"/>
    <w:rsid w:val="00DE744D"/>
    <w:rsid w:val="00DF4CBD"/>
    <w:rsid w:val="00E00645"/>
    <w:rsid w:val="00E05BF2"/>
    <w:rsid w:val="00E11BEA"/>
    <w:rsid w:val="00E13CFE"/>
    <w:rsid w:val="00E20EAB"/>
    <w:rsid w:val="00E32601"/>
    <w:rsid w:val="00E3598A"/>
    <w:rsid w:val="00E527B2"/>
    <w:rsid w:val="00E5310F"/>
    <w:rsid w:val="00E54F82"/>
    <w:rsid w:val="00E5500D"/>
    <w:rsid w:val="00E56C48"/>
    <w:rsid w:val="00E57344"/>
    <w:rsid w:val="00E60221"/>
    <w:rsid w:val="00E61D77"/>
    <w:rsid w:val="00E7032C"/>
    <w:rsid w:val="00E751E0"/>
    <w:rsid w:val="00E811E1"/>
    <w:rsid w:val="00E82D88"/>
    <w:rsid w:val="00E84A53"/>
    <w:rsid w:val="00E84C5F"/>
    <w:rsid w:val="00E856A0"/>
    <w:rsid w:val="00E90FDD"/>
    <w:rsid w:val="00EA3BFD"/>
    <w:rsid w:val="00EA6DAD"/>
    <w:rsid w:val="00EA7DEF"/>
    <w:rsid w:val="00EB36E0"/>
    <w:rsid w:val="00EB5ABF"/>
    <w:rsid w:val="00EB7FD3"/>
    <w:rsid w:val="00EC30C5"/>
    <w:rsid w:val="00ED3CCF"/>
    <w:rsid w:val="00ED43D2"/>
    <w:rsid w:val="00ED6E26"/>
    <w:rsid w:val="00ED714D"/>
    <w:rsid w:val="00ED7550"/>
    <w:rsid w:val="00EE3B8C"/>
    <w:rsid w:val="00EF052C"/>
    <w:rsid w:val="00EF1717"/>
    <w:rsid w:val="00EF1C27"/>
    <w:rsid w:val="00F03ABB"/>
    <w:rsid w:val="00F13CD6"/>
    <w:rsid w:val="00F153DE"/>
    <w:rsid w:val="00F16965"/>
    <w:rsid w:val="00F23710"/>
    <w:rsid w:val="00F27AFF"/>
    <w:rsid w:val="00F33E7B"/>
    <w:rsid w:val="00F34B97"/>
    <w:rsid w:val="00F36F50"/>
    <w:rsid w:val="00F52A6E"/>
    <w:rsid w:val="00F54811"/>
    <w:rsid w:val="00F56105"/>
    <w:rsid w:val="00F56C34"/>
    <w:rsid w:val="00F70CF3"/>
    <w:rsid w:val="00F75D00"/>
    <w:rsid w:val="00F77A61"/>
    <w:rsid w:val="00F877BC"/>
    <w:rsid w:val="00F918C1"/>
    <w:rsid w:val="00FB10CB"/>
    <w:rsid w:val="00FB24C6"/>
    <w:rsid w:val="00FB7444"/>
    <w:rsid w:val="00FC37B6"/>
    <w:rsid w:val="00FD07E2"/>
    <w:rsid w:val="00FD6CCE"/>
    <w:rsid w:val="00FE16C5"/>
    <w:rsid w:val="00FE4826"/>
    <w:rsid w:val="00FF0357"/>
    <w:rsid w:val="00FF45AB"/>
    <w:rsid w:val="00FF46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07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25D"/>
  </w:style>
  <w:style w:type="paragraph" w:styleId="Heading1">
    <w:name w:val="heading 1"/>
    <w:basedOn w:val="Normal"/>
    <w:next w:val="Normal"/>
    <w:link w:val="Heading1Char"/>
    <w:uiPriority w:val="9"/>
    <w:qFormat/>
    <w:rsid w:val="00E90FDD"/>
    <w:pPr>
      <w:pBdr>
        <w:bottom w:val="single" w:sz="4" w:space="1" w:color="427730"/>
      </w:pBdr>
      <w:spacing w:before="360" w:after="240" w:line="240" w:lineRule="auto"/>
      <w:contextualSpacing/>
      <w:outlineLvl w:val="0"/>
    </w:pPr>
    <w:rPr>
      <w:rFonts w:ascii="Calibri" w:eastAsiaTheme="majorEastAsia" w:hAnsi="Calibri" w:cstheme="majorBidi"/>
      <w:b/>
      <w:bCs/>
      <w:color w:val="427730"/>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0000FF"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E90FDD"/>
    <w:rPr>
      <w:rFonts w:ascii="Calibri" w:eastAsiaTheme="majorEastAsia" w:hAnsi="Calibri" w:cstheme="majorBidi"/>
      <w:b/>
      <w:bCs/>
      <w:color w:val="427730"/>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861A6"/>
    <w:pPr>
      <w:spacing w:after="120" w:line="240" w:lineRule="auto"/>
      <w:contextualSpacing/>
    </w:pPr>
    <w:rPr>
      <w:rFonts w:ascii="Calibri" w:eastAsiaTheme="majorEastAsia" w:hAnsi="Calibri" w:cstheme="majorBidi"/>
      <w:b/>
      <w:spacing w:val="5"/>
      <w:sz w:val="56"/>
      <w:szCs w:val="52"/>
    </w:rPr>
  </w:style>
  <w:style w:type="character" w:customStyle="1" w:styleId="TitleChar">
    <w:name w:val="Title Char"/>
    <w:basedOn w:val="DefaultParagraphFont"/>
    <w:link w:val="Title"/>
    <w:uiPriority w:val="10"/>
    <w:rsid w:val="000861A6"/>
    <w:rPr>
      <w:rFonts w:ascii="Calibri" w:eastAsiaTheme="majorEastAsia" w:hAnsi="Calibri" w:cstheme="majorBidi"/>
      <w:b/>
      <w:spacing w:val="5"/>
      <w:sz w:val="56"/>
      <w:szCs w:val="52"/>
    </w:rPr>
  </w:style>
  <w:style w:type="paragraph" w:styleId="Subtitle">
    <w:name w:val="Subtitle"/>
    <w:basedOn w:val="Normal"/>
    <w:next w:val="Normal"/>
    <w:link w:val="SubtitleChar"/>
    <w:uiPriority w:val="11"/>
    <w:qFormat/>
    <w:rsid w:val="00A2425D"/>
    <w:pPr>
      <w:spacing w:after="240"/>
    </w:pPr>
    <w:rPr>
      <w:rFonts w:ascii="Calibri" w:eastAsiaTheme="majorEastAsia" w:hAnsi="Calibri" w:cstheme="majorBidi"/>
      <w:b/>
      <w:iCs/>
      <w:color w:val="427730"/>
      <w:spacing w:val="13"/>
      <w:sz w:val="40"/>
      <w:szCs w:val="24"/>
    </w:rPr>
  </w:style>
  <w:style w:type="character" w:customStyle="1" w:styleId="SubtitleChar">
    <w:name w:val="Subtitle Char"/>
    <w:basedOn w:val="DefaultParagraphFont"/>
    <w:link w:val="Subtitle"/>
    <w:uiPriority w:val="11"/>
    <w:rsid w:val="00A2425D"/>
    <w:rPr>
      <w:rFonts w:ascii="Calibri" w:eastAsiaTheme="majorEastAsia" w:hAnsi="Calibri" w:cstheme="majorBidi"/>
      <w:b/>
      <w:iCs/>
      <w:color w:val="427730"/>
      <w:spacing w:val="13"/>
      <w:sz w:val="40"/>
      <w:szCs w:val="24"/>
    </w:rPr>
  </w:style>
  <w:style w:type="paragraph" w:styleId="NoSpacing">
    <w:name w:val="No Spacing"/>
    <w:basedOn w:val="Normal"/>
    <w:uiPriority w:val="1"/>
    <w:qFormat/>
    <w:rsid w:val="00AC65DA"/>
    <w:pPr>
      <w:spacing w:after="0" w:line="240" w:lineRule="auto"/>
    </w:pPr>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contextualSpacing/>
    </w:pPr>
  </w:style>
  <w:style w:type="paragraph" w:styleId="ListBullet2">
    <w:name w:val="List Bullet 2"/>
    <w:basedOn w:val="Normal"/>
    <w:uiPriority w:val="99"/>
    <w:unhideWhenUsed/>
    <w:rsid w:val="00CA46EC"/>
    <w:pPr>
      <w:numPr>
        <w:ilvl w:val="1"/>
        <w:numId w:val="16"/>
      </w:numPr>
      <w:spacing w:after="120"/>
      <w:contextualSpacing/>
    </w:pPr>
  </w:style>
  <w:style w:type="paragraph" w:styleId="ListBullet3">
    <w:name w:val="List Bullet 3"/>
    <w:basedOn w:val="Normal"/>
    <w:uiPriority w:val="99"/>
    <w:unhideWhenUsed/>
    <w:rsid w:val="00CA46EC"/>
    <w:pPr>
      <w:numPr>
        <w:ilvl w:val="2"/>
        <w:numId w:val="16"/>
      </w:numPr>
      <w:spacing w:after="120"/>
      <w:contextualSpacing/>
    </w:pPr>
  </w:style>
  <w:style w:type="paragraph" w:styleId="ListBullet4">
    <w:name w:val="List Bullet 4"/>
    <w:basedOn w:val="Normal"/>
    <w:uiPriority w:val="99"/>
    <w:unhideWhenUsed/>
    <w:rsid w:val="00CA46EC"/>
    <w:pPr>
      <w:numPr>
        <w:ilvl w:val="3"/>
        <w:numId w:val="16"/>
      </w:numPr>
      <w:spacing w:after="120"/>
      <w:contextualSpacing/>
    </w:pPr>
  </w:style>
  <w:style w:type="table" w:styleId="TableGrid">
    <w:name w:val="Table Grid"/>
    <w:basedOn w:val="TableNormal"/>
    <w:uiPriority w:val="59"/>
    <w:rsid w:val="00792C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EWRTable">
    <w:name w:val="DEEWR Table"/>
    <w:basedOn w:val="TableNormal"/>
    <w:uiPriority w:val="99"/>
    <w:rsid w:val="00ED3CCF"/>
    <w:pPr>
      <w:spacing w:after="0" w:line="240" w:lineRule="auto"/>
    </w:pPr>
    <w:rPr>
      <w:sz w:val="20"/>
    </w:rPr>
    <w:tblPr>
      <w:tblStyleRowBandSize w:val="1"/>
      <w:tblInd w:w="0" w:type="dxa"/>
      <w:tblCellMar>
        <w:top w:w="0" w:type="dxa"/>
        <w:left w:w="108" w:type="dxa"/>
        <w:bottom w:w="0" w:type="dxa"/>
        <w:right w:w="108" w:type="dxa"/>
      </w:tblCellMar>
    </w:tblPr>
    <w:tblStylePr w:type="firstRow">
      <w:pPr>
        <w:wordWrap/>
        <w:ind w:leftChars="0" w:left="0" w:rightChars="0" w:right="0"/>
        <w:jc w:val="left"/>
      </w:pPr>
      <w:rPr>
        <w:rFonts w:asciiTheme="minorHAnsi" w:hAnsiTheme="minorHAnsi"/>
        <w:b/>
        <w:color w:val="FFFFFF" w:themeColor="background1"/>
        <w:sz w:val="20"/>
      </w:rPr>
      <w:tblPr/>
      <w:tcPr>
        <w:shd w:val="clear" w:color="auto" w:fill="427730"/>
      </w:tcPr>
    </w:tblStylePr>
    <w:tblStylePr w:type="band2Horz">
      <w:tblPr/>
      <w:tcPr>
        <w:shd w:val="clear" w:color="auto" w:fill="D9E6DA"/>
      </w:tcPr>
    </w:tblStylePr>
  </w:style>
  <w:style w:type="paragraph" w:styleId="Header">
    <w:name w:val="header"/>
    <w:basedOn w:val="Normal"/>
    <w:link w:val="HeaderChar"/>
    <w:uiPriority w:val="99"/>
    <w:unhideWhenUsed/>
    <w:rsid w:val="007349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9C8"/>
  </w:style>
  <w:style w:type="paragraph" w:styleId="Footer">
    <w:name w:val="footer"/>
    <w:basedOn w:val="Normal"/>
    <w:link w:val="FooterChar"/>
    <w:uiPriority w:val="99"/>
    <w:unhideWhenUsed/>
    <w:rsid w:val="007349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9C8"/>
  </w:style>
  <w:style w:type="paragraph" w:styleId="BalloonText">
    <w:name w:val="Balloon Text"/>
    <w:basedOn w:val="Normal"/>
    <w:link w:val="BalloonTextChar"/>
    <w:uiPriority w:val="99"/>
    <w:semiHidden/>
    <w:unhideWhenUsed/>
    <w:rsid w:val="007349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9C8"/>
    <w:rPr>
      <w:rFonts w:ascii="Tahoma" w:hAnsi="Tahoma" w:cs="Tahoma"/>
      <w:sz w:val="16"/>
      <w:szCs w:val="16"/>
    </w:rPr>
  </w:style>
  <w:style w:type="paragraph" w:styleId="FootnoteText">
    <w:name w:val="footnote text"/>
    <w:aliases w:val="Footnote Text Char1 Char,Footnote Text Char Char Char,Footnote Text Char1 Char Char Char,Footnote Text Char Char Char Char Char,Footnote Text Char1 Char1,Footnote Text Char Char Char1"/>
    <w:basedOn w:val="Normal"/>
    <w:link w:val="FootnoteTextChar"/>
    <w:uiPriority w:val="99"/>
    <w:unhideWhenUsed/>
    <w:rsid w:val="003F060E"/>
    <w:pPr>
      <w:spacing w:after="0" w:line="240" w:lineRule="auto"/>
    </w:pPr>
    <w:rPr>
      <w:rFonts w:ascii="Arial" w:eastAsia="Times New Roman" w:hAnsi="Arial"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Footnote Text Char Char Char1 Char"/>
    <w:basedOn w:val="DefaultParagraphFont"/>
    <w:link w:val="FootnoteText"/>
    <w:uiPriority w:val="99"/>
    <w:rsid w:val="003F060E"/>
    <w:rPr>
      <w:rFonts w:ascii="Arial" w:eastAsia="Times New Roman" w:hAnsi="Arial" w:cs="Times New Roman"/>
      <w:sz w:val="20"/>
      <w:szCs w:val="20"/>
    </w:rPr>
  </w:style>
  <w:style w:type="character" w:styleId="FootnoteReference">
    <w:name w:val="footnote reference"/>
    <w:basedOn w:val="DefaultParagraphFont"/>
    <w:uiPriority w:val="99"/>
    <w:unhideWhenUsed/>
    <w:rsid w:val="003F060E"/>
    <w:rPr>
      <w:vertAlign w:val="superscript"/>
    </w:rPr>
  </w:style>
  <w:style w:type="table" w:styleId="LightShading-Accent1">
    <w:name w:val="Light Shading Accent 1"/>
    <w:basedOn w:val="TableNormal"/>
    <w:uiPriority w:val="60"/>
    <w:rsid w:val="003F060E"/>
    <w:pPr>
      <w:spacing w:after="0" w:line="240" w:lineRule="auto"/>
    </w:pPr>
    <w:rPr>
      <w:rFonts w:eastAsiaTheme="minorHAnsi"/>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llowedHyperlink">
    <w:name w:val="FollowedHyperlink"/>
    <w:basedOn w:val="DefaultParagraphFont"/>
    <w:uiPriority w:val="99"/>
    <w:semiHidden/>
    <w:unhideWhenUsed/>
    <w:rsid w:val="00B074A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25D"/>
  </w:style>
  <w:style w:type="paragraph" w:styleId="Heading1">
    <w:name w:val="heading 1"/>
    <w:basedOn w:val="Normal"/>
    <w:next w:val="Normal"/>
    <w:link w:val="Heading1Char"/>
    <w:uiPriority w:val="9"/>
    <w:qFormat/>
    <w:rsid w:val="00E90FDD"/>
    <w:pPr>
      <w:pBdr>
        <w:bottom w:val="single" w:sz="4" w:space="1" w:color="427730"/>
      </w:pBdr>
      <w:spacing w:before="360" w:after="240" w:line="240" w:lineRule="auto"/>
      <w:contextualSpacing/>
      <w:outlineLvl w:val="0"/>
    </w:pPr>
    <w:rPr>
      <w:rFonts w:ascii="Calibri" w:eastAsiaTheme="majorEastAsia" w:hAnsi="Calibri" w:cstheme="majorBidi"/>
      <w:b/>
      <w:bCs/>
      <w:color w:val="427730"/>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0000FF"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E90FDD"/>
    <w:rPr>
      <w:rFonts w:ascii="Calibri" w:eastAsiaTheme="majorEastAsia" w:hAnsi="Calibri" w:cstheme="majorBidi"/>
      <w:b/>
      <w:bCs/>
      <w:color w:val="427730"/>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861A6"/>
    <w:pPr>
      <w:spacing w:after="120" w:line="240" w:lineRule="auto"/>
      <w:contextualSpacing/>
    </w:pPr>
    <w:rPr>
      <w:rFonts w:ascii="Calibri" w:eastAsiaTheme="majorEastAsia" w:hAnsi="Calibri" w:cstheme="majorBidi"/>
      <w:b/>
      <w:spacing w:val="5"/>
      <w:sz w:val="56"/>
      <w:szCs w:val="52"/>
    </w:rPr>
  </w:style>
  <w:style w:type="character" w:customStyle="1" w:styleId="TitleChar">
    <w:name w:val="Title Char"/>
    <w:basedOn w:val="DefaultParagraphFont"/>
    <w:link w:val="Title"/>
    <w:uiPriority w:val="10"/>
    <w:rsid w:val="000861A6"/>
    <w:rPr>
      <w:rFonts w:ascii="Calibri" w:eastAsiaTheme="majorEastAsia" w:hAnsi="Calibri" w:cstheme="majorBidi"/>
      <w:b/>
      <w:spacing w:val="5"/>
      <w:sz w:val="56"/>
      <w:szCs w:val="52"/>
    </w:rPr>
  </w:style>
  <w:style w:type="paragraph" w:styleId="Subtitle">
    <w:name w:val="Subtitle"/>
    <w:basedOn w:val="Normal"/>
    <w:next w:val="Normal"/>
    <w:link w:val="SubtitleChar"/>
    <w:uiPriority w:val="11"/>
    <w:qFormat/>
    <w:rsid w:val="00A2425D"/>
    <w:pPr>
      <w:spacing w:after="240"/>
    </w:pPr>
    <w:rPr>
      <w:rFonts w:ascii="Calibri" w:eastAsiaTheme="majorEastAsia" w:hAnsi="Calibri" w:cstheme="majorBidi"/>
      <w:b/>
      <w:iCs/>
      <w:color w:val="427730"/>
      <w:spacing w:val="13"/>
      <w:sz w:val="40"/>
      <w:szCs w:val="24"/>
    </w:rPr>
  </w:style>
  <w:style w:type="character" w:customStyle="1" w:styleId="SubtitleChar">
    <w:name w:val="Subtitle Char"/>
    <w:basedOn w:val="DefaultParagraphFont"/>
    <w:link w:val="Subtitle"/>
    <w:uiPriority w:val="11"/>
    <w:rsid w:val="00A2425D"/>
    <w:rPr>
      <w:rFonts w:ascii="Calibri" w:eastAsiaTheme="majorEastAsia" w:hAnsi="Calibri" w:cstheme="majorBidi"/>
      <w:b/>
      <w:iCs/>
      <w:color w:val="427730"/>
      <w:spacing w:val="13"/>
      <w:sz w:val="40"/>
      <w:szCs w:val="24"/>
    </w:rPr>
  </w:style>
  <w:style w:type="paragraph" w:styleId="NoSpacing">
    <w:name w:val="No Spacing"/>
    <w:basedOn w:val="Normal"/>
    <w:uiPriority w:val="1"/>
    <w:qFormat/>
    <w:rsid w:val="00AC65DA"/>
    <w:pPr>
      <w:spacing w:after="0" w:line="240" w:lineRule="auto"/>
    </w:pPr>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contextualSpacing/>
    </w:pPr>
  </w:style>
  <w:style w:type="paragraph" w:styleId="ListBullet2">
    <w:name w:val="List Bullet 2"/>
    <w:basedOn w:val="Normal"/>
    <w:uiPriority w:val="99"/>
    <w:unhideWhenUsed/>
    <w:rsid w:val="00CA46EC"/>
    <w:pPr>
      <w:numPr>
        <w:ilvl w:val="1"/>
        <w:numId w:val="16"/>
      </w:numPr>
      <w:spacing w:after="120"/>
      <w:contextualSpacing/>
    </w:pPr>
  </w:style>
  <w:style w:type="paragraph" w:styleId="ListBullet3">
    <w:name w:val="List Bullet 3"/>
    <w:basedOn w:val="Normal"/>
    <w:uiPriority w:val="99"/>
    <w:unhideWhenUsed/>
    <w:rsid w:val="00CA46EC"/>
    <w:pPr>
      <w:numPr>
        <w:ilvl w:val="2"/>
        <w:numId w:val="16"/>
      </w:numPr>
      <w:spacing w:after="120"/>
      <w:contextualSpacing/>
    </w:pPr>
  </w:style>
  <w:style w:type="paragraph" w:styleId="ListBullet4">
    <w:name w:val="List Bullet 4"/>
    <w:basedOn w:val="Normal"/>
    <w:uiPriority w:val="99"/>
    <w:unhideWhenUsed/>
    <w:rsid w:val="00CA46EC"/>
    <w:pPr>
      <w:numPr>
        <w:ilvl w:val="3"/>
        <w:numId w:val="16"/>
      </w:numPr>
      <w:spacing w:after="120"/>
      <w:contextualSpacing/>
    </w:pPr>
  </w:style>
  <w:style w:type="table" w:styleId="TableGrid">
    <w:name w:val="Table Grid"/>
    <w:basedOn w:val="TableNormal"/>
    <w:uiPriority w:val="59"/>
    <w:rsid w:val="00792C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EWRTable">
    <w:name w:val="DEEWR Table"/>
    <w:basedOn w:val="TableNormal"/>
    <w:uiPriority w:val="99"/>
    <w:rsid w:val="00ED3CCF"/>
    <w:pPr>
      <w:spacing w:after="0" w:line="240" w:lineRule="auto"/>
    </w:pPr>
    <w:rPr>
      <w:sz w:val="20"/>
    </w:rPr>
    <w:tblPr>
      <w:tblStyleRowBandSize w:val="1"/>
      <w:tblInd w:w="0" w:type="dxa"/>
      <w:tblCellMar>
        <w:top w:w="0" w:type="dxa"/>
        <w:left w:w="108" w:type="dxa"/>
        <w:bottom w:w="0" w:type="dxa"/>
        <w:right w:w="108" w:type="dxa"/>
      </w:tblCellMar>
    </w:tblPr>
    <w:tblStylePr w:type="firstRow">
      <w:pPr>
        <w:wordWrap/>
        <w:ind w:leftChars="0" w:left="0" w:rightChars="0" w:right="0"/>
        <w:jc w:val="left"/>
      </w:pPr>
      <w:rPr>
        <w:rFonts w:asciiTheme="minorHAnsi" w:hAnsiTheme="minorHAnsi"/>
        <w:b/>
        <w:color w:val="FFFFFF" w:themeColor="background1"/>
        <w:sz w:val="20"/>
      </w:rPr>
      <w:tblPr/>
      <w:tcPr>
        <w:shd w:val="clear" w:color="auto" w:fill="427730"/>
      </w:tcPr>
    </w:tblStylePr>
    <w:tblStylePr w:type="band2Horz">
      <w:tblPr/>
      <w:tcPr>
        <w:shd w:val="clear" w:color="auto" w:fill="D9E6DA"/>
      </w:tcPr>
    </w:tblStylePr>
  </w:style>
  <w:style w:type="paragraph" w:styleId="Header">
    <w:name w:val="header"/>
    <w:basedOn w:val="Normal"/>
    <w:link w:val="HeaderChar"/>
    <w:uiPriority w:val="99"/>
    <w:unhideWhenUsed/>
    <w:rsid w:val="007349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9C8"/>
  </w:style>
  <w:style w:type="paragraph" w:styleId="Footer">
    <w:name w:val="footer"/>
    <w:basedOn w:val="Normal"/>
    <w:link w:val="FooterChar"/>
    <w:uiPriority w:val="99"/>
    <w:unhideWhenUsed/>
    <w:rsid w:val="007349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9C8"/>
  </w:style>
  <w:style w:type="paragraph" w:styleId="BalloonText">
    <w:name w:val="Balloon Text"/>
    <w:basedOn w:val="Normal"/>
    <w:link w:val="BalloonTextChar"/>
    <w:uiPriority w:val="99"/>
    <w:semiHidden/>
    <w:unhideWhenUsed/>
    <w:rsid w:val="007349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9C8"/>
    <w:rPr>
      <w:rFonts w:ascii="Tahoma" w:hAnsi="Tahoma" w:cs="Tahoma"/>
      <w:sz w:val="16"/>
      <w:szCs w:val="16"/>
    </w:rPr>
  </w:style>
  <w:style w:type="paragraph" w:styleId="FootnoteText">
    <w:name w:val="footnote text"/>
    <w:aliases w:val="Footnote Text Char1 Char,Footnote Text Char Char Char,Footnote Text Char1 Char Char Char,Footnote Text Char Char Char Char Char,Footnote Text Char1 Char1,Footnote Text Char Char Char1"/>
    <w:basedOn w:val="Normal"/>
    <w:link w:val="FootnoteTextChar"/>
    <w:uiPriority w:val="99"/>
    <w:unhideWhenUsed/>
    <w:rsid w:val="003F060E"/>
    <w:pPr>
      <w:spacing w:after="0" w:line="240" w:lineRule="auto"/>
    </w:pPr>
    <w:rPr>
      <w:rFonts w:ascii="Arial" w:eastAsia="Times New Roman" w:hAnsi="Arial"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Footnote Text Char Char Char1 Char"/>
    <w:basedOn w:val="DefaultParagraphFont"/>
    <w:link w:val="FootnoteText"/>
    <w:uiPriority w:val="99"/>
    <w:rsid w:val="003F060E"/>
    <w:rPr>
      <w:rFonts w:ascii="Arial" w:eastAsia="Times New Roman" w:hAnsi="Arial" w:cs="Times New Roman"/>
      <w:sz w:val="20"/>
      <w:szCs w:val="20"/>
    </w:rPr>
  </w:style>
  <w:style w:type="character" w:styleId="FootnoteReference">
    <w:name w:val="footnote reference"/>
    <w:basedOn w:val="DefaultParagraphFont"/>
    <w:uiPriority w:val="99"/>
    <w:unhideWhenUsed/>
    <w:rsid w:val="003F060E"/>
    <w:rPr>
      <w:vertAlign w:val="superscript"/>
    </w:rPr>
  </w:style>
  <w:style w:type="table" w:styleId="LightShading-Accent1">
    <w:name w:val="Light Shading Accent 1"/>
    <w:basedOn w:val="TableNormal"/>
    <w:uiPriority w:val="60"/>
    <w:rsid w:val="003F060E"/>
    <w:pPr>
      <w:spacing w:after="0" w:line="240" w:lineRule="auto"/>
    </w:pPr>
    <w:rPr>
      <w:rFonts w:eastAsiaTheme="minorHAnsi"/>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llowedHyperlink">
    <w:name w:val="FollowedHyperlink"/>
    <w:basedOn w:val="DefaultParagraphFont"/>
    <w:uiPriority w:val="99"/>
    <w:semiHidden/>
    <w:unhideWhenUsed/>
    <w:rsid w:val="00B074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hyperlink" Target="http://www.employment.gov.au/regional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00A717-DB91-4345-AC83-9EA3B30CC5ED}"/>
</file>

<file path=customXml/itemProps2.xml><?xml version="1.0" encoding="utf-8"?>
<ds:datastoreItem xmlns:ds="http://schemas.openxmlformats.org/officeDocument/2006/customXml" ds:itemID="{55044918-B06B-4A18-89C1-028C72D52690}"/>
</file>

<file path=customXml/itemProps3.xml><?xml version="1.0" encoding="utf-8"?>
<ds:datastoreItem xmlns:ds="http://schemas.openxmlformats.org/officeDocument/2006/customXml" ds:itemID="{32BD2532-56AE-4165-AC19-9F1D9580838D}"/>
</file>

<file path=customXml/itemProps4.xml><?xml version="1.0" encoding="utf-8"?>
<ds:datastoreItem xmlns:ds="http://schemas.openxmlformats.org/officeDocument/2006/customXml" ds:itemID="{F7695028-BFEF-4BE2-9492-E8559EB91494}"/>
</file>

<file path=docProps/app.xml><?xml version="1.0" encoding="utf-8"?>
<Properties xmlns="http://schemas.openxmlformats.org/officeDocument/2006/extended-properties" xmlns:vt="http://schemas.openxmlformats.org/officeDocument/2006/docPropsVTypes">
  <Template>B9791DBB.dotm</Template>
  <TotalTime>60</TotalTime>
  <Pages>1</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Thomas</dc:creator>
  <cp:lastModifiedBy>Scott Lee</cp:lastModifiedBy>
  <cp:revision>11</cp:revision>
  <cp:lastPrinted>2014-02-05T04:33:00Z</cp:lastPrinted>
  <dcterms:created xsi:type="dcterms:W3CDTF">2014-02-27T21:52:00Z</dcterms:created>
  <dcterms:modified xsi:type="dcterms:W3CDTF">2014-03-06T00:00:00Z</dcterms:modified>
</cp:coreProperties>
</file>