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B0" w:rsidRDefault="00BB49B0" w:rsidP="00DF54FA">
      <w:pPr>
        <w:pStyle w:val="Title"/>
        <w:rPr>
          <w:color w:val="336600"/>
          <w:sz w:val="16"/>
          <w:szCs w:val="16"/>
        </w:rPr>
      </w:pPr>
      <w:r w:rsidRPr="00A36D9A">
        <w:rPr>
          <w:iCs/>
          <w:noProof/>
          <w:color w:val="336600"/>
          <w:lang w:eastAsia="en-AU"/>
        </w:rPr>
        <w:drawing>
          <wp:anchor distT="0" distB="0" distL="114300" distR="114300" simplePos="0" relativeHeight="251666432" behindDoc="0" locked="0" layoutInCell="1" allowOverlap="1" wp14:anchorId="16BC6409" wp14:editId="54566C82">
            <wp:simplePos x="0" y="0"/>
            <wp:positionH relativeFrom="column">
              <wp:posOffset>1790700</wp:posOffset>
            </wp:positionH>
            <wp:positionV relativeFrom="paragraph">
              <wp:posOffset>-488315</wp:posOffset>
            </wp:positionV>
            <wp:extent cx="2419350" cy="561975"/>
            <wp:effectExtent l="0" t="0" r="0" b="9525"/>
            <wp:wrapSquare wrapText="bothSides"/>
            <wp:docPr id="9" name="Picture 1" descr="Dept Employment_Inl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ept Employment_Inl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56197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3F060E" w:rsidRPr="00BB49B0" w:rsidRDefault="00B074A6" w:rsidP="00DF54FA">
      <w:pPr>
        <w:pStyle w:val="Title"/>
        <w:rPr>
          <w:sz w:val="34"/>
          <w:szCs w:val="34"/>
        </w:rPr>
      </w:pPr>
      <w:r w:rsidRPr="00DF54FA">
        <w:rPr>
          <w:color w:val="336600"/>
          <w:sz w:val="36"/>
          <w:szCs w:val="36"/>
        </w:rPr>
        <w:t>Labour Market Conditions in</w:t>
      </w:r>
      <w:r w:rsidR="00D805A9" w:rsidRPr="00DF54FA">
        <w:rPr>
          <w:color w:val="336600"/>
          <w:sz w:val="36"/>
          <w:szCs w:val="36"/>
        </w:rPr>
        <w:t xml:space="preserve"> the</w:t>
      </w:r>
      <w:r w:rsidRPr="00DF54FA">
        <w:rPr>
          <w:color w:val="336600"/>
          <w:sz w:val="36"/>
          <w:szCs w:val="36"/>
        </w:rPr>
        <w:t xml:space="preserve"> </w:t>
      </w:r>
      <w:r w:rsidR="00C11108" w:rsidRPr="00DF54FA">
        <w:rPr>
          <w:color w:val="336600"/>
          <w:sz w:val="36"/>
          <w:szCs w:val="36"/>
        </w:rPr>
        <w:t>Cairns</w:t>
      </w:r>
      <w:r w:rsidR="00C04021" w:rsidRPr="00DF54FA">
        <w:rPr>
          <w:color w:val="336600"/>
          <w:sz w:val="36"/>
          <w:szCs w:val="36"/>
        </w:rPr>
        <w:t xml:space="preserve"> P</w:t>
      </w:r>
      <w:r w:rsidR="00D805A9" w:rsidRPr="00DF54FA">
        <w:rPr>
          <w:color w:val="336600"/>
          <w:sz w:val="36"/>
          <w:szCs w:val="36"/>
        </w:rPr>
        <w:t>riority Employment Area</w:t>
      </w:r>
    </w:p>
    <w:p w:rsidR="007D05AC" w:rsidRDefault="00C60E7E" w:rsidP="00700CFB">
      <w:pPr>
        <w:spacing w:after="240"/>
        <w:contextualSpacing/>
      </w:pPr>
      <w:r>
        <w:rPr>
          <w:noProof/>
          <w:lang w:eastAsia="en-AU"/>
        </w:rPr>
        <w:drawing>
          <wp:anchor distT="0" distB="0" distL="114300" distR="114300" simplePos="0" relativeHeight="251660288" behindDoc="0" locked="0" layoutInCell="1" allowOverlap="1" wp14:anchorId="5B1C343D" wp14:editId="640CF64E">
            <wp:simplePos x="0" y="0"/>
            <wp:positionH relativeFrom="column">
              <wp:posOffset>5537200</wp:posOffset>
            </wp:positionH>
            <wp:positionV relativeFrom="paragraph">
              <wp:posOffset>38100</wp:posOffset>
            </wp:positionV>
            <wp:extent cx="1290320" cy="1306195"/>
            <wp:effectExtent l="19050" t="19050" r="24130" b="273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0320" cy="1306195"/>
                    </a:xfrm>
                    <a:prstGeom prst="rect">
                      <a:avLst/>
                    </a:prstGeom>
                    <a:ln w="15875">
                      <a:solidFill>
                        <a:schemeClr val="tx1"/>
                      </a:solidFill>
                    </a:ln>
                  </pic:spPr>
                </pic:pic>
              </a:graphicData>
            </a:graphic>
            <wp14:sizeRelH relativeFrom="page">
              <wp14:pctWidth>0</wp14:pctWidth>
            </wp14:sizeRelH>
            <wp14:sizeRelV relativeFrom="page">
              <wp14:pctHeight>0</wp14:pctHeight>
            </wp14:sizeRelV>
          </wp:anchor>
        </w:drawing>
      </w:r>
      <w:r w:rsidR="007D05AC">
        <w:t>Overall, labour market conditions i</w:t>
      </w:r>
      <w:r w:rsidR="00380E63">
        <w:t>n the Cairns PEA are su</w:t>
      </w:r>
      <w:r w:rsidR="00B005CC">
        <w:t>bdued, although they have been relatively</w:t>
      </w:r>
      <w:r w:rsidR="00D75777">
        <w:t xml:space="preserve"> stable over the last year.</w:t>
      </w:r>
    </w:p>
    <w:p w:rsidR="007D05AC" w:rsidRDefault="002005D3" w:rsidP="0081769A">
      <w:pPr>
        <w:pStyle w:val="ListParagraph"/>
        <w:numPr>
          <w:ilvl w:val="0"/>
          <w:numId w:val="27"/>
        </w:numPr>
        <w:spacing w:after="240"/>
        <w:ind w:left="357" w:hanging="357"/>
      </w:pPr>
      <w:r>
        <w:rPr>
          <w:noProof/>
          <w:lang w:eastAsia="en-AU"/>
        </w:rPr>
        <mc:AlternateContent>
          <mc:Choice Requires="wps">
            <w:drawing>
              <wp:anchor distT="0" distB="0" distL="114300" distR="114300" simplePos="0" relativeHeight="251662336" behindDoc="0" locked="0" layoutInCell="1" allowOverlap="1" wp14:anchorId="6911DC74" wp14:editId="6D433DB5">
                <wp:simplePos x="0" y="0"/>
                <wp:positionH relativeFrom="column">
                  <wp:posOffset>6291580</wp:posOffset>
                </wp:positionH>
                <wp:positionV relativeFrom="paragraph">
                  <wp:posOffset>15875</wp:posOffset>
                </wp:positionV>
                <wp:extent cx="538480" cy="214630"/>
                <wp:effectExtent l="0" t="0" r="0" b="0"/>
                <wp:wrapNone/>
                <wp:docPr id="4" name="Text Box 4"/>
                <wp:cNvGraphicFramePr/>
                <a:graphic xmlns:a="http://schemas.openxmlformats.org/drawingml/2006/main">
                  <a:graphicData uri="http://schemas.microsoft.com/office/word/2010/wordprocessingShape">
                    <wps:wsp>
                      <wps:cNvSpPr txBox="1"/>
                      <wps:spPr>
                        <a:xfrm>
                          <a:off x="0" y="0"/>
                          <a:ext cx="538480"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0FE9" w:rsidRPr="00DD445B" w:rsidRDefault="00510FE9">
                            <w:pPr>
                              <w:rPr>
                                <w:b/>
                                <w:sz w:val="20"/>
                                <w:szCs w:val="20"/>
                              </w:rPr>
                            </w:pPr>
                            <w:r w:rsidRPr="00DD445B">
                              <w:rPr>
                                <w:b/>
                                <w:sz w:val="20"/>
                                <w:szCs w:val="20"/>
                              </w:rPr>
                              <w:t>Cairns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95.4pt;margin-top:1.25pt;width:42.4pt;height:1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" filled="f" stroked="f" strokeweight=".5pt">
                <v:textbox>
                  <w:txbxContent>
                    <w:p w:rsidR="00510FE9" w:rsidRPr="00DD445B" w:rsidRDefault="00510FE9">
                      <w:pPr>
                        <w:rPr>
                          <w:b/>
                          <w:sz w:val="20"/>
                          <w:szCs w:val="20"/>
                        </w:rPr>
                      </w:pPr>
                      <w:r w:rsidRPr="00DD445B">
                        <w:rPr>
                          <w:b/>
                          <w:sz w:val="20"/>
                          <w:szCs w:val="20"/>
                        </w:rPr>
                        <w:t>Cairns</w:t>
                      </w:r>
                    </w:p>
                  </w:txbxContent>
                </v:textbox>
              </v:shape>
            </w:pict>
          </mc:Fallback>
        </mc:AlternateContent>
      </w:r>
      <w:r w:rsidR="00BB49B0">
        <w:rPr>
          <w:noProof/>
          <w:lang w:eastAsia="en-AU"/>
        </w:rPr>
        <mc:AlternateContent>
          <mc:Choice Requires="wps">
            <w:drawing>
              <wp:anchor distT="0" distB="0" distL="114300" distR="114300" simplePos="0" relativeHeight="251661312" behindDoc="0" locked="0" layoutInCell="1" allowOverlap="1" wp14:anchorId="4FCA6928" wp14:editId="233110A1">
                <wp:simplePos x="0" y="0"/>
                <wp:positionH relativeFrom="column">
                  <wp:posOffset>6283960</wp:posOffset>
                </wp:positionH>
                <wp:positionV relativeFrom="paragraph">
                  <wp:posOffset>300990</wp:posOffset>
                </wp:positionV>
                <wp:extent cx="45085" cy="45085"/>
                <wp:effectExtent l="0" t="0" r="12065" b="12065"/>
                <wp:wrapSquare wrapText="bothSides"/>
                <wp:docPr id="3" name="Oval 3"/>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494.8pt;margin-top:23.7pt;width:3.5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" fillcolor="black [3200]" strokecolor="black [1600]" strokeweight="2pt">
                <w10:wrap type="square"/>
              </v:oval>
            </w:pict>
          </mc:Fallback>
        </mc:AlternateContent>
      </w:r>
      <w:r w:rsidR="00BB49B0">
        <w:t>The u</w:t>
      </w:r>
      <w:r w:rsidR="007D05AC">
        <w:t>nemployment</w:t>
      </w:r>
      <w:r w:rsidR="00BB49B0">
        <w:t xml:space="preserve"> rate</w:t>
      </w:r>
      <w:r w:rsidR="007D05AC">
        <w:t xml:space="preserve"> remains high at 7.9 per cent</w:t>
      </w:r>
      <w:r w:rsidR="006155EA">
        <w:t xml:space="preserve">, but has decreased substantially after reaching </w:t>
      </w:r>
      <w:r w:rsidR="009E28F2">
        <w:t>10.6 per cent in March 2010.</w:t>
      </w:r>
      <w:r w:rsidR="00DF54FA">
        <w:rPr>
          <w:rStyle w:val="FootnoteReference"/>
        </w:rPr>
        <w:footnoteReference w:id="1"/>
      </w:r>
      <w:r w:rsidR="00597CBC" w:rsidRPr="00597CBC">
        <w:rPr>
          <w:noProof/>
          <w:lang w:eastAsia="en-AU"/>
        </w:rPr>
        <w:t xml:space="preserve"> </w:t>
      </w:r>
    </w:p>
    <w:p w:rsidR="007D05AC" w:rsidRDefault="00BB49B0" w:rsidP="0081769A">
      <w:pPr>
        <w:pStyle w:val="ListParagraph"/>
        <w:numPr>
          <w:ilvl w:val="0"/>
          <w:numId w:val="27"/>
        </w:numPr>
        <w:spacing w:after="240"/>
        <w:ind w:left="357" w:hanging="357"/>
      </w:pPr>
      <w:r>
        <w:t>The proportion of</w:t>
      </w:r>
      <w:r w:rsidR="0088642E">
        <w:t xml:space="preserve"> unemployed</w:t>
      </w:r>
      <w:r>
        <w:t xml:space="preserve"> people who are long-term unemployed</w:t>
      </w:r>
      <w:r w:rsidR="0088642E">
        <w:t xml:space="preserve"> </w:t>
      </w:r>
      <w:r>
        <w:t>(</w:t>
      </w:r>
      <w:r w:rsidR="0088642E">
        <w:t>52 weeks</w:t>
      </w:r>
      <w:r w:rsidR="00CD3C11">
        <w:t xml:space="preserve"> or more</w:t>
      </w:r>
      <w:r>
        <w:t>)</w:t>
      </w:r>
      <w:r w:rsidR="0095638C">
        <w:t xml:space="preserve"> h</w:t>
      </w:r>
      <w:r w:rsidR="00CD3C11">
        <w:t>as risen</w:t>
      </w:r>
      <w:r>
        <w:t xml:space="preserve"> to 26.8 per cent</w:t>
      </w:r>
      <w:r w:rsidR="00CD3C11">
        <w:t xml:space="preserve"> from 18</w:t>
      </w:r>
      <w:r w:rsidR="0095638C">
        <w:t>.9 per cent</w:t>
      </w:r>
      <w:r w:rsidR="00D078F5">
        <w:t xml:space="preserve"> over the last year</w:t>
      </w:r>
      <w:r w:rsidR="008D0CF6">
        <w:t>. T</w:t>
      </w:r>
      <w:r w:rsidR="0088642E">
        <w:t>he aver</w:t>
      </w:r>
      <w:r w:rsidR="008D0CF6">
        <w:t>age duration of unemployment (</w:t>
      </w:r>
      <w:r w:rsidR="00CD3C11">
        <w:t>50</w:t>
      </w:r>
      <w:r w:rsidR="0088642E">
        <w:t xml:space="preserve"> weeks) is</w:t>
      </w:r>
      <w:r w:rsidR="008D0CF6">
        <w:t xml:space="preserve"> also</w:t>
      </w:r>
      <w:r w:rsidR="0088642E">
        <w:t xml:space="preserve"> very high compared with Australia (37 weeks).</w:t>
      </w:r>
      <w:r w:rsidR="00DF54FA">
        <w:rPr>
          <w:rStyle w:val="FootnoteReference"/>
        </w:rPr>
        <w:footnoteReference w:id="2"/>
      </w:r>
    </w:p>
    <w:p w:rsidR="00B005CC" w:rsidRDefault="00B005CC" w:rsidP="0081769A">
      <w:pPr>
        <w:pStyle w:val="ListParagraph"/>
        <w:numPr>
          <w:ilvl w:val="0"/>
          <w:numId w:val="27"/>
        </w:numPr>
        <w:spacing w:after="240"/>
        <w:ind w:left="357" w:hanging="357"/>
      </w:pPr>
      <w:r>
        <w:t>The largest employing industries in the PEA are Health Care and Social Assistance, Retail Trade and Accommodation and Food Services.</w:t>
      </w:r>
      <w:r w:rsidR="00DF54FA">
        <w:rPr>
          <w:rStyle w:val="FootnoteReference"/>
        </w:rPr>
        <w:footnoteReference w:id="3"/>
      </w:r>
    </w:p>
    <w:tbl>
      <w:tblPr>
        <w:tblStyle w:val="DEEWR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139"/>
        <w:gridCol w:w="2410"/>
        <w:gridCol w:w="2126"/>
        <w:gridCol w:w="2228"/>
      </w:tblGrid>
      <w:tr w:rsidR="00BD5F90" w:rsidTr="00D078F5">
        <w:trPr>
          <w:cnfStyle w:val="100000000000" w:firstRow="1" w:lastRow="0" w:firstColumn="0" w:lastColumn="0" w:oddVBand="0" w:evenVBand="0" w:oddHBand="0" w:evenHBand="0" w:firstRowFirstColumn="0" w:firstRowLastColumn="0" w:lastRowFirstColumn="0" w:lastRowLastColumn="0"/>
          <w:trHeight w:val="516"/>
          <w:jc w:val="center"/>
        </w:trPr>
        <w:tc>
          <w:tcPr>
            <w:tcW w:w="1531" w:type="dxa"/>
            <w:vAlign w:val="center"/>
          </w:tcPr>
          <w:p w:rsidR="00A05736" w:rsidRDefault="00AF6E85" w:rsidP="00700CFB">
            <w:pPr>
              <w:tabs>
                <w:tab w:val="left" w:pos="807"/>
              </w:tabs>
              <w:contextualSpacing/>
              <w:jc w:val="center"/>
            </w:pPr>
            <w:r w:rsidRPr="00AF6E85">
              <w:rPr>
                <w:sz w:val="22"/>
              </w:rPr>
              <w:t>Region</w:t>
            </w:r>
          </w:p>
        </w:tc>
        <w:tc>
          <w:tcPr>
            <w:tcW w:w="2139" w:type="dxa"/>
            <w:vAlign w:val="center"/>
          </w:tcPr>
          <w:p w:rsidR="00A05736" w:rsidRDefault="007D05AC" w:rsidP="00700CFB">
            <w:pPr>
              <w:tabs>
                <w:tab w:val="left" w:pos="807"/>
              </w:tabs>
              <w:contextualSpacing/>
              <w:jc w:val="center"/>
            </w:pPr>
            <w:r>
              <w:rPr>
                <w:sz w:val="22"/>
              </w:rPr>
              <w:t>Unemployment Rate (</w:t>
            </w:r>
            <w:proofErr w:type="spellStart"/>
            <w:r>
              <w:rPr>
                <w:sz w:val="22"/>
              </w:rPr>
              <w:t>SALM</w:t>
            </w:r>
            <w:proofErr w:type="spellEnd"/>
            <w:r>
              <w:rPr>
                <w:sz w:val="22"/>
              </w:rPr>
              <w:t>, June</w:t>
            </w:r>
            <w:r w:rsidR="00A05736" w:rsidRPr="001C0A62">
              <w:rPr>
                <w:sz w:val="22"/>
              </w:rPr>
              <w:t xml:space="preserve"> 2013)</w:t>
            </w:r>
          </w:p>
        </w:tc>
        <w:tc>
          <w:tcPr>
            <w:tcW w:w="2410" w:type="dxa"/>
            <w:vAlign w:val="center"/>
          </w:tcPr>
          <w:p w:rsidR="00A05736" w:rsidRDefault="008D0CF6" w:rsidP="00DF54FA">
            <w:pPr>
              <w:tabs>
                <w:tab w:val="left" w:pos="807"/>
              </w:tabs>
              <w:contextualSpacing/>
              <w:jc w:val="center"/>
            </w:pPr>
            <w:r>
              <w:rPr>
                <w:sz w:val="22"/>
              </w:rPr>
              <w:t xml:space="preserve">Long-term unemployed </w:t>
            </w:r>
            <w:r w:rsidR="00D078F5">
              <w:rPr>
                <w:sz w:val="22"/>
              </w:rPr>
              <w:br/>
            </w:r>
            <w:r>
              <w:rPr>
                <w:sz w:val="22"/>
              </w:rPr>
              <w:t>(Labour Force</w:t>
            </w:r>
            <w:r w:rsidR="00CD3C11">
              <w:rPr>
                <w:sz w:val="22"/>
              </w:rPr>
              <w:t xml:space="preserve"> Survey, </w:t>
            </w:r>
            <w:r w:rsidR="00CD3C11">
              <w:rPr>
                <w:sz w:val="22"/>
              </w:rPr>
              <w:br/>
              <w:t>September</w:t>
            </w:r>
            <w:r w:rsidR="00D078F5">
              <w:rPr>
                <w:sz w:val="22"/>
              </w:rPr>
              <w:t xml:space="preserve"> 2013</w:t>
            </w:r>
            <w:r w:rsidR="00A05736" w:rsidRPr="001C0A62">
              <w:rPr>
                <w:sz w:val="22"/>
              </w:rPr>
              <w:t>)</w:t>
            </w:r>
          </w:p>
        </w:tc>
        <w:tc>
          <w:tcPr>
            <w:tcW w:w="2126" w:type="dxa"/>
            <w:vAlign w:val="center"/>
          </w:tcPr>
          <w:p w:rsidR="00A05736" w:rsidRDefault="00A05736" w:rsidP="00700CFB">
            <w:pPr>
              <w:tabs>
                <w:tab w:val="left" w:pos="807"/>
              </w:tabs>
              <w:contextualSpacing/>
              <w:jc w:val="center"/>
            </w:pPr>
            <w:r w:rsidRPr="001C0A62">
              <w:rPr>
                <w:sz w:val="22"/>
              </w:rPr>
              <w:t xml:space="preserve">Employment Growth </w:t>
            </w:r>
            <w:r w:rsidR="00D078F5">
              <w:rPr>
                <w:sz w:val="22"/>
              </w:rPr>
              <w:br/>
            </w:r>
            <w:r w:rsidRPr="001C0A62">
              <w:rPr>
                <w:sz w:val="22"/>
              </w:rPr>
              <w:t>(Census, 2006,</w:t>
            </w:r>
            <w:r>
              <w:rPr>
                <w:sz w:val="22"/>
              </w:rPr>
              <w:t xml:space="preserve"> </w:t>
            </w:r>
            <w:r w:rsidRPr="001C0A62">
              <w:rPr>
                <w:sz w:val="22"/>
              </w:rPr>
              <w:t>2011)</w:t>
            </w:r>
            <w:r w:rsidR="00D078F5">
              <w:rPr>
                <w:sz w:val="22"/>
              </w:rPr>
              <w:t>*</w:t>
            </w:r>
          </w:p>
        </w:tc>
        <w:tc>
          <w:tcPr>
            <w:tcW w:w="2228" w:type="dxa"/>
            <w:vAlign w:val="center"/>
          </w:tcPr>
          <w:p w:rsidR="00A05736" w:rsidRDefault="00EB7FD3" w:rsidP="00700CFB">
            <w:pPr>
              <w:tabs>
                <w:tab w:val="left" w:pos="807"/>
              </w:tabs>
              <w:contextualSpacing/>
              <w:jc w:val="center"/>
            </w:pPr>
            <w:r>
              <w:rPr>
                <w:sz w:val="22"/>
              </w:rPr>
              <w:t>Year 12 Completion (25-34 year olds)</w:t>
            </w:r>
            <w:r w:rsidR="00A05736" w:rsidRPr="001C0A62">
              <w:rPr>
                <w:sz w:val="22"/>
              </w:rPr>
              <w:t xml:space="preserve"> (Census, 2011)</w:t>
            </w:r>
          </w:p>
        </w:tc>
      </w:tr>
      <w:tr w:rsidR="00BD5F90" w:rsidTr="00D078F5">
        <w:trPr>
          <w:trHeight w:val="273"/>
          <w:jc w:val="center"/>
        </w:trPr>
        <w:tc>
          <w:tcPr>
            <w:tcW w:w="1531" w:type="dxa"/>
            <w:vAlign w:val="center"/>
          </w:tcPr>
          <w:p w:rsidR="00A05736" w:rsidRDefault="00C11108" w:rsidP="00700CFB">
            <w:pPr>
              <w:tabs>
                <w:tab w:val="left" w:pos="807"/>
              </w:tabs>
              <w:contextualSpacing/>
              <w:jc w:val="center"/>
            </w:pPr>
            <w:r>
              <w:rPr>
                <w:sz w:val="22"/>
              </w:rPr>
              <w:t>Cairns</w:t>
            </w:r>
            <w:r w:rsidR="00A05736" w:rsidRPr="001C0A62">
              <w:rPr>
                <w:sz w:val="22"/>
              </w:rPr>
              <w:t xml:space="preserve"> PEA</w:t>
            </w:r>
          </w:p>
        </w:tc>
        <w:tc>
          <w:tcPr>
            <w:tcW w:w="2139" w:type="dxa"/>
            <w:vAlign w:val="center"/>
          </w:tcPr>
          <w:p w:rsidR="00A05736" w:rsidRDefault="007D05AC" w:rsidP="00700CFB">
            <w:pPr>
              <w:tabs>
                <w:tab w:val="left" w:pos="807"/>
              </w:tabs>
              <w:contextualSpacing/>
              <w:jc w:val="center"/>
            </w:pPr>
            <w:r>
              <w:rPr>
                <w:sz w:val="22"/>
              </w:rPr>
              <w:t>7.9</w:t>
            </w:r>
            <w:r w:rsidR="00A05736" w:rsidRPr="001C0A62">
              <w:rPr>
                <w:sz w:val="22"/>
              </w:rPr>
              <w:t>%</w:t>
            </w:r>
          </w:p>
        </w:tc>
        <w:tc>
          <w:tcPr>
            <w:tcW w:w="2410" w:type="dxa"/>
            <w:vAlign w:val="center"/>
          </w:tcPr>
          <w:p w:rsidR="00A05736" w:rsidRDefault="00CD3C11" w:rsidP="00700CFB">
            <w:pPr>
              <w:tabs>
                <w:tab w:val="left" w:pos="807"/>
              </w:tabs>
              <w:contextualSpacing/>
              <w:jc w:val="center"/>
            </w:pPr>
            <w:r>
              <w:t>26.8</w:t>
            </w:r>
            <w:r w:rsidR="00D078F5">
              <w:t>%</w:t>
            </w:r>
          </w:p>
        </w:tc>
        <w:tc>
          <w:tcPr>
            <w:tcW w:w="2126" w:type="dxa"/>
            <w:vAlign w:val="center"/>
          </w:tcPr>
          <w:p w:rsidR="00A05736" w:rsidRDefault="00430726" w:rsidP="00700CFB">
            <w:pPr>
              <w:tabs>
                <w:tab w:val="left" w:pos="807"/>
              </w:tabs>
              <w:contextualSpacing/>
              <w:jc w:val="center"/>
            </w:pPr>
            <w:r>
              <w:t>7</w:t>
            </w:r>
            <w:r w:rsidR="006155EA">
              <w:t>%</w:t>
            </w:r>
          </w:p>
        </w:tc>
        <w:tc>
          <w:tcPr>
            <w:tcW w:w="2228" w:type="dxa"/>
            <w:vAlign w:val="center"/>
          </w:tcPr>
          <w:p w:rsidR="00A05736" w:rsidRDefault="002C1A1A" w:rsidP="00700CFB">
            <w:pPr>
              <w:tabs>
                <w:tab w:val="left" w:pos="807"/>
              </w:tabs>
              <w:contextualSpacing/>
              <w:jc w:val="center"/>
            </w:pPr>
            <w:r>
              <w:t>69%</w:t>
            </w:r>
          </w:p>
        </w:tc>
      </w:tr>
      <w:tr w:rsidR="00BD5F90" w:rsidTr="00D078F5">
        <w:trPr>
          <w:cnfStyle w:val="000000010000" w:firstRow="0" w:lastRow="0" w:firstColumn="0" w:lastColumn="0" w:oddVBand="0" w:evenVBand="0" w:oddHBand="0" w:evenHBand="1" w:firstRowFirstColumn="0" w:firstRowLastColumn="0" w:lastRowFirstColumn="0" w:lastRowLastColumn="0"/>
          <w:trHeight w:val="260"/>
          <w:jc w:val="center"/>
        </w:trPr>
        <w:tc>
          <w:tcPr>
            <w:tcW w:w="1531" w:type="dxa"/>
            <w:vAlign w:val="center"/>
          </w:tcPr>
          <w:p w:rsidR="00A05736" w:rsidRDefault="00A05736" w:rsidP="00700CFB">
            <w:pPr>
              <w:tabs>
                <w:tab w:val="left" w:pos="807"/>
              </w:tabs>
              <w:contextualSpacing/>
              <w:jc w:val="center"/>
            </w:pPr>
            <w:r w:rsidRPr="001C0A62">
              <w:rPr>
                <w:sz w:val="22"/>
              </w:rPr>
              <w:t>Australia</w:t>
            </w:r>
          </w:p>
        </w:tc>
        <w:tc>
          <w:tcPr>
            <w:tcW w:w="2139" w:type="dxa"/>
            <w:vAlign w:val="center"/>
          </w:tcPr>
          <w:p w:rsidR="00A05736" w:rsidRDefault="000B4767" w:rsidP="00700CFB">
            <w:pPr>
              <w:tabs>
                <w:tab w:val="left" w:pos="807"/>
              </w:tabs>
              <w:contextualSpacing/>
              <w:jc w:val="center"/>
            </w:pPr>
            <w:r>
              <w:rPr>
                <w:sz w:val="22"/>
              </w:rPr>
              <w:t>5.6</w:t>
            </w:r>
            <w:r w:rsidR="00A05736" w:rsidRPr="001C0A62">
              <w:rPr>
                <w:sz w:val="22"/>
              </w:rPr>
              <w:t>%</w:t>
            </w:r>
            <w:r w:rsidR="00A05736" w:rsidRPr="001C0A62">
              <w:rPr>
                <w:rStyle w:val="FootnoteReference"/>
                <w:sz w:val="22"/>
              </w:rPr>
              <w:footnoteReference w:id="4"/>
            </w:r>
          </w:p>
        </w:tc>
        <w:tc>
          <w:tcPr>
            <w:tcW w:w="2410" w:type="dxa"/>
            <w:vAlign w:val="center"/>
          </w:tcPr>
          <w:p w:rsidR="00A05736" w:rsidRDefault="00CD3C11" w:rsidP="00700CFB">
            <w:pPr>
              <w:tabs>
                <w:tab w:val="left" w:pos="807"/>
              </w:tabs>
              <w:contextualSpacing/>
              <w:jc w:val="center"/>
            </w:pPr>
            <w:r>
              <w:rPr>
                <w:sz w:val="22"/>
              </w:rPr>
              <w:t>18.8</w:t>
            </w:r>
            <w:r w:rsidR="00A05736" w:rsidRPr="001C0A62">
              <w:rPr>
                <w:sz w:val="22"/>
              </w:rPr>
              <w:t>%</w:t>
            </w:r>
          </w:p>
        </w:tc>
        <w:tc>
          <w:tcPr>
            <w:tcW w:w="2126" w:type="dxa"/>
            <w:vAlign w:val="center"/>
          </w:tcPr>
          <w:p w:rsidR="00A05736" w:rsidRDefault="00A05736" w:rsidP="00700CFB">
            <w:pPr>
              <w:tabs>
                <w:tab w:val="left" w:pos="807"/>
              </w:tabs>
              <w:contextualSpacing/>
              <w:jc w:val="center"/>
            </w:pPr>
            <w:r w:rsidRPr="001C0A62">
              <w:rPr>
                <w:sz w:val="22"/>
              </w:rPr>
              <w:t>10%</w:t>
            </w:r>
          </w:p>
        </w:tc>
        <w:tc>
          <w:tcPr>
            <w:tcW w:w="2228" w:type="dxa"/>
            <w:vAlign w:val="center"/>
          </w:tcPr>
          <w:p w:rsidR="00A05736" w:rsidRDefault="00A05736" w:rsidP="00700CFB">
            <w:pPr>
              <w:tabs>
                <w:tab w:val="left" w:pos="807"/>
              </w:tabs>
              <w:contextualSpacing/>
              <w:jc w:val="center"/>
            </w:pPr>
            <w:r w:rsidRPr="001C0A62">
              <w:rPr>
                <w:sz w:val="22"/>
              </w:rPr>
              <w:t>75%</w:t>
            </w:r>
          </w:p>
        </w:tc>
      </w:tr>
    </w:tbl>
    <w:p w:rsidR="00546036" w:rsidRPr="00546036" w:rsidRDefault="00546036" w:rsidP="00700CFB">
      <w:pPr>
        <w:pStyle w:val="Heading1"/>
        <w:spacing w:before="0" w:after="120" w:line="20" w:lineRule="atLeast"/>
        <w:rPr>
          <w:color w:val="auto"/>
          <w:sz w:val="16"/>
          <w:szCs w:val="16"/>
        </w:rPr>
      </w:pPr>
      <w:r w:rsidRPr="00546036">
        <w:rPr>
          <w:color w:val="auto"/>
          <w:sz w:val="16"/>
          <w:szCs w:val="16"/>
        </w:rPr>
        <w:t>*</w:t>
      </w:r>
      <w:r w:rsidR="002B1671">
        <w:rPr>
          <w:color w:val="auto"/>
          <w:sz w:val="16"/>
          <w:szCs w:val="16"/>
        </w:rPr>
        <w:t>w</w:t>
      </w:r>
      <w:r w:rsidRPr="00546036">
        <w:rPr>
          <w:color w:val="auto"/>
          <w:sz w:val="16"/>
          <w:szCs w:val="16"/>
        </w:rPr>
        <w:t xml:space="preserve">orking </w:t>
      </w:r>
      <w:r>
        <w:rPr>
          <w:color w:val="auto"/>
          <w:sz w:val="16"/>
          <w:szCs w:val="16"/>
        </w:rPr>
        <w:t>a</w:t>
      </w:r>
      <w:r w:rsidRPr="00546036">
        <w:rPr>
          <w:color w:val="auto"/>
          <w:sz w:val="16"/>
          <w:szCs w:val="16"/>
        </w:rPr>
        <w:t>ge population</w:t>
      </w:r>
    </w:p>
    <w:p w:rsidR="00C04021" w:rsidRPr="00D637C0" w:rsidRDefault="00D04991" w:rsidP="00700CFB">
      <w:pPr>
        <w:pStyle w:val="Heading1"/>
        <w:spacing w:before="120" w:after="120" w:line="20" w:lineRule="atLeast"/>
        <w:rPr>
          <w:sz w:val="28"/>
          <w:szCs w:val="30"/>
        </w:rPr>
      </w:pPr>
      <w:r w:rsidRPr="00D637C0">
        <w:rPr>
          <w:sz w:val="28"/>
          <w:szCs w:val="30"/>
        </w:rPr>
        <w:t>What employers are telling us</w:t>
      </w:r>
      <w:r w:rsidR="001E2AA5" w:rsidRPr="00D637C0">
        <w:rPr>
          <w:rStyle w:val="FootnoteReference"/>
          <w:sz w:val="28"/>
          <w:szCs w:val="30"/>
        </w:rPr>
        <w:footnoteReference w:id="5"/>
      </w:r>
    </w:p>
    <w:p w:rsidR="007C65FC" w:rsidRPr="007C65FC" w:rsidRDefault="001B1F4C" w:rsidP="007C65FC">
      <w:pPr>
        <w:pStyle w:val="ListParagraph"/>
        <w:numPr>
          <w:ilvl w:val="0"/>
          <w:numId w:val="27"/>
        </w:numPr>
        <w:spacing w:before="120" w:after="0" w:line="264" w:lineRule="auto"/>
        <w:jc w:val="both"/>
        <w:rPr>
          <w:rFonts w:ascii="Calibri" w:eastAsiaTheme="majorEastAsia" w:hAnsi="Calibri" w:cstheme="majorBidi"/>
          <w:b/>
          <w:bCs/>
          <w:sz w:val="28"/>
          <w:szCs w:val="30"/>
        </w:rPr>
      </w:pPr>
      <w:r>
        <w:rPr>
          <w:noProof/>
          <w:lang w:eastAsia="en-AU"/>
        </w:rPr>
        <w:drawing>
          <wp:anchor distT="0" distB="0" distL="114300" distR="114300" simplePos="0" relativeHeight="251663360" behindDoc="0" locked="0" layoutInCell="1" allowOverlap="1" wp14:anchorId="3F416706" wp14:editId="4B1A1451">
            <wp:simplePos x="0" y="0"/>
            <wp:positionH relativeFrom="column">
              <wp:posOffset>4074160</wp:posOffset>
            </wp:positionH>
            <wp:positionV relativeFrom="paragraph">
              <wp:posOffset>34290</wp:posOffset>
            </wp:positionV>
            <wp:extent cx="2804160" cy="1706880"/>
            <wp:effectExtent l="0" t="0" r="15240" b="2667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4E7BB5">
        <w:rPr>
          <w:rFonts w:ascii="Calibri" w:eastAsiaTheme="majorEastAsia" w:hAnsi="Calibri" w:cstheme="majorBidi"/>
          <w:bCs/>
        </w:rPr>
        <w:t xml:space="preserve">Recruitment activity was high, with 67 per cent of employers recruiting in the year </w:t>
      </w:r>
      <w:r w:rsidR="00AA7269">
        <w:rPr>
          <w:rFonts w:ascii="Calibri" w:eastAsiaTheme="majorEastAsia" w:hAnsi="Calibri" w:cstheme="majorBidi"/>
          <w:bCs/>
        </w:rPr>
        <w:t>before</w:t>
      </w:r>
      <w:r w:rsidR="004E7BB5">
        <w:rPr>
          <w:rFonts w:ascii="Calibri" w:eastAsiaTheme="majorEastAsia" w:hAnsi="Calibri" w:cstheme="majorBidi"/>
          <w:bCs/>
        </w:rPr>
        <w:t xml:space="preserve"> the survey and </w:t>
      </w:r>
      <w:r w:rsidR="0095638C">
        <w:rPr>
          <w:rFonts w:ascii="Calibri" w:eastAsiaTheme="majorEastAsia" w:hAnsi="Calibri" w:cstheme="majorBidi"/>
          <w:bCs/>
        </w:rPr>
        <w:t xml:space="preserve">an average of </w:t>
      </w:r>
      <w:r w:rsidR="00B372CD">
        <w:rPr>
          <w:rFonts w:ascii="Calibri" w:eastAsiaTheme="majorEastAsia" w:hAnsi="Calibri" w:cstheme="majorBidi"/>
          <w:bCs/>
        </w:rPr>
        <w:br/>
      </w:r>
      <w:r w:rsidR="004E7BB5">
        <w:rPr>
          <w:rFonts w:ascii="Calibri" w:eastAsiaTheme="majorEastAsia" w:hAnsi="Calibri" w:cstheme="majorBidi"/>
          <w:bCs/>
        </w:rPr>
        <w:t>24 vacancies per 100 staff.</w:t>
      </w:r>
    </w:p>
    <w:p w:rsidR="004E7BB5" w:rsidRPr="00010FE2" w:rsidRDefault="00AA7269" w:rsidP="00710F73">
      <w:pPr>
        <w:pStyle w:val="ListParagraph"/>
        <w:numPr>
          <w:ilvl w:val="0"/>
          <w:numId w:val="27"/>
        </w:numPr>
        <w:spacing w:before="120" w:after="0" w:line="264" w:lineRule="auto"/>
        <w:jc w:val="both"/>
        <w:rPr>
          <w:rFonts w:ascii="Calibri" w:eastAsiaTheme="majorEastAsia" w:hAnsi="Calibri" w:cstheme="majorBidi"/>
          <w:b/>
          <w:bCs/>
          <w:sz w:val="28"/>
          <w:szCs w:val="30"/>
        </w:rPr>
      </w:pPr>
      <w:r>
        <w:rPr>
          <w:rFonts w:ascii="Calibri" w:eastAsiaTheme="majorEastAsia" w:hAnsi="Calibri" w:cstheme="majorBidi"/>
          <w:bCs/>
        </w:rPr>
        <w:t xml:space="preserve">A </w:t>
      </w:r>
      <w:r w:rsidR="007C65FC">
        <w:rPr>
          <w:rFonts w:ascii="Calibri" w:eastAsiaTheme="majorEastAsia" w:hAnsi="Calibri" w:cstheme="majorBidi"/>
          <w:bCs/>
        </w:rPr>
        <w:t>maj</w:t>
      </w:r>
      <w:r>
        <w:rPr>
          <w:rFonts w:ascii="Calibri" w:eastAsiaTheme="majorEastAsia" w:hAnsi="Calibri" w:cstheme="majorBidi"/>
          <w:bCs/>
        </w:rPr>
        <w:t>ority of</w:t>
      </w:r>
      <w:r w:rsidR="00C60E7E">
        <w:rPr>
          <w:rFonts w:ascii="Calibri" w:eastAsiaTheme="majorEastAsia" w:hAnsi="Calibri" w:cstheme="majorBidi"/>
          <w:bCs/>
        </w:rPr>
        <w:t xml:space="preserve"> all</w:t>
      </w:r>
      <w:r>
        <w:rPr>
          <w:rFonts w:ascii="Calibri" w:eastAsiaTheme="majorEastAsia" w:hAnsi="Calibri" w:cstheme="majorBidi"/>
          <w:bCs/>
        </w:rPr>
        <w:t xml:space="preserve"> employers (59 per cent</w:t>
      </w:r>
      <w:r w:rsidR="001A685C">
        <w:rPr>
          <w:rFonts w:ascii="Calibri" w:eastAsiaTheme="majorEastAsia" w:hAnsi="Calibri" w:cstheme="majorBidi"/>
          <w:bCs/>
        </w:rPr>
        <w:t>)</w:t>
      </w:r>
      <w:r>
        <w:rPr>
          <w:rFonts w:ascii="Calibri" w:eastAsiaTheme="majorEastAsia" w:hAnsi="Calibri" w:cstheme="majorBidi"/>
          <w:bCs/>
        </w:rPr>
        <w:t>, however,</w:t>
      </w:r>
      <w:r w:rsidR="007C65FC">
        <w:rPr>
          <w:rFonts w:ascii="Calibri" w:eastAsiaTheme="majorEastAsia" w:hAnsi="Calibri" w:cstheme="majorBidi"/>
          <w:bCs/>
        </w:rPr>
        <w:t xml:space="preserve"> reported st</w:t>
      </w:r>
      <w:r w:rsidR="00B005CC">
        <w:rPr>
          <w:rFonts w:ascii="Calibri" w:eastAsiaTheme="majorEastAsia" w:hAnsi="Calibri" w:cstheme="majorBidi"/>
          <w:bCs/>
        </w:rPr>
        <w:t>aff numbers had remained unchanged over</w:t>
      </w:r>
      <w:r w:rsidR="00010FE2">
        <w:rPr>
          <w:rFonts w:ascii="Calibri" w:eastAsiaTheme="majorEastAsia" w:hAnsi="Calibri" w:cstheme="majorBidi"/>
          <w:bCs/>
        </w:rPr>
        <w:t xml:space="preserve"> the past year, suggesting</w:t>
      </w:r>
      <w:r w:rsidR="007C65FC">
        <w:rPr>
          <w:rFonts w:ascii="Calibri" w:eastAsiaTheme="majorEastAsia" w:hAnsi="Calibri" w:cstheme="majorBidi"/>
          <w:bCs/>
        </w:rPr>
        <w:t xml:space="preserve"> </w:t>
      </w:r>
      <w:r w:rsidR="00C60E7E">
        <w:rPr>
          <w:rFonts w:ascii="Calibri" w:eastAsiaTheme="majorEastAsia" w:hAnsi="Calibri" w:cstheme="majorBidi"/>
          <w:bCs/>
        </w:rPr>
        <w:t xml:space="preserve">that </w:t>
      </w:r>
      <w:r w:rsidR="007C65FC">
        <w:rPr>
          <w:rFonts w:ascii="Calibri" w:eastAsiaTheme="majorEastAsia" w:hAnsi="Calibri" w:cstheme="majorBidi"/>
          <w:bCs/>
        </w:rPr>
        <w:t>staff turnove</w:t>
      </w:r>
      <w:r w:rsidR="00C60E7E">
        <w:rPr>
          <w:rFonts w:ascii="Calibri" w:eastAsiaTheme="majorEastAsia" w:hAnsi="Calibri" w:cstheme="majorBidi"/>
          <w:bCs/>
        </w:rPr>
        <w:t>r was the main reason for the</w:t>
      </w:r>
      <w:r w:rsidR="00380E63">
        <w:rPr>
          <w:rFonts w:ascii="Calibri" w:eastAsiaTheme="majorEastAsia" w:hAnsi="Calibri" w:cstheme="majorBidi"/>
          <w:bCs/>
        </w:rPr>
        <w:t xml:space="preserve"> recruitment activity.</w:t>
      </w:r>
    </w:p>
    <w:p w:rsidR="00010FE2" w:rsidRPr="0068048B" w:rsidRDefault="00B005CC" w:rsidP="00710F73">
      <w:pPr>
        <w:pStyle w:val="ListParagraph"/>
        <w:numPr>
          <w:ilvl w:val="0"/>
          <w:numId w:val="27"/>
        </w:numPr>
        <w:spacing w:before="120" w:after="0" w:line="264" w:lineRule="auto"/>
        <w:jc w:val="both"/>
        <w:rPr>
          <w:rFonts w:ascii="Calibri" w:eastAsiaTheme="majorEastAsia" w:hAnsi="Calibri" w:cstheme="majorBidi"/>
          <w:b/>
          <w:bCs/>
          <w:sz w:val="28"/>
          <w:szCs w:val="30"/>
        </w:rPr>
      </w:pPr>
      <w:r>
        <w:rPr>
          <w:rFonts w:ascii="Calibri" w:eastAsiaTheme="majorEastAsia" w:hAnsi="Calibri" w:cstheme="majorBidi"/>
          <w:bCs/>
        </w:rPr>
        <w:t>While 31 per cent</w:t>
      </w:r>
      <w:r w:rsidR="00C60E7E">
        <w:rPr>
          <w:rFonts w:ascii="Calibri" w:eastAsiaTheme="majorEastAsia" w:hAnsi="Calibri" w:cstheme="majorBidi"/>
          <w:bCs/>
        </w:rPr>
        <w:t xml:space="preserve"> of</w:t>
      </w:r>
      <w:r w:rsidR="00BB49B0">
        <w:rPr>
          <w:rFonts w:ascii="Calibri" w:eastAsiaTheme="majorEastAsia" w:hAnsi="Calibri" w:cstheme="majorBidi"/>
          <w:bCs/>
        </w:rPr>
        <w:t xml:space="preserve"> employers</w:t>
      </w:r>
      <w:r w:rsidR="00DF4CBD">
        <w:rPr>
          <w:rFonts w:ascii="Calibri" w:eastAsiaTheme="majorEastAsia" w:hAnsi="Calibri" w:cstheme="majorBidi"/>
          <w:bCs/>
        </w:rPr>
        <w:t xml:space="preserve"> experienced difficulty in their most re</w:t>
      </w:r>
      <w:r>
        <w:rPr>
          <w:rFonts w:ascii="Calibri" w:eastAsiaTheme="majorEastAsia" w:hAnsi="Calibri" w:cstheme="majorBidi"/>
          <w:bCs/>
        </w:rPr>
        <w:t xml:space="preserve">cent recruitment round, only </w:t>
      </w:r>
      <w:r w:rsidR="00DF4CBD">
        <w:rPr>
          <w:rFonts w:ascii="Calibri" w:eastAsiaTheme="majorEastAsia" w:hAnsi="Calibri" w:cstheme="majorBidi"/>
          <w:bCs/>
        </w:rPr>
        <w:t xml:space="preserve">1.8 per cent of vacancies remained unfilled. </w:t>
      </w:r>
    </w:p>
    <w:p w:rsidR="00CB5A8F" w:rsidRPr="00B005CC" w:rsidRDefault="00C60E7E" w:rsidP="00710F73">
      <w:pPr>
        <w:pStyle w:val="ListParagraph"/>
        <w:numPr>
          <w:ilvl w:val="0"/>
          <w:numId w:val="27"/>
        </w:numPr>
        <w:spacing w:before="120" w:after="0" w:line="264" w:lineRule="auto"/>
        <w:jc w:val="both"/>
        <w:rPr>
          <w:rFonts w:ascii="Calibri" w:eastAsiaTheme="majorEastAsia" w:hAnsi="Calibri" w:cstheme="majorBidi"/>
          <w:b/>
          <w:bCs/>
          <w:sz w:val="28"/>
          <w:szCs w:val="30"/>
        </w:rPr>
      </w:pPr>
      <w:r>
        <w:rPr>
          <w:noProof/>
          <w:lang w:eastAsia="en-AU"/>
        </w:rPr>
        <w:drawing>
          <wp:anchor distT="0" distB="0" distL="114300" distR="114300" simplePos="0" relativeHeight="251664384" behindDoc="0" locked="0" layoutInCell="1" allowOverlap="1" wp14:anchorId="703E585C" wp14:editId="22D0A29B">
            <wp:simplePos x="0" y="0"/>
            <wp:positionH relativeFrom="column">
              <wp:posOffset>4074160</wp:posOffset>
            </wp:positionH>
            <wp:positionV relativeFrom="paragraph">
              <wp:posOffset>25400</wp:posOffset>
            </wp:positionV>
            <wp:extent cx="2804160" cy="1920240"/>
            <wp:effectExtent l="0" t="0" r="15240" b="2286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CB5A8F">
        <w:rPr>
          <w:rFonts w:ascii="Calibri" w:eastAsiaTheme="majorEastAsia" w:hAnsi="Calibri" w:cstheme="majorBidi"/>
          <w:bCs/>
        </w:rPr>
        <w:t xml:space="preserve">Competition for vacancies was strong, with an average of 10.0 applicants per vacancy, of </w:t>
      </w:r>
      <w:proofErr w:type="gramStart"/>
      <w:r w:rsidR="00CB5A8F">
        <w:rPr>
          <w:rFonts w:ascii="Calibri" w:eastAsiaTheme="majorEastAsia" w:hAnsi="Calibri" w:cstheme="majorBidi"/>
          <w:bCs/>
        </w:rPr>
        <w:t>whom</w:t>
      </w:r>
      <w:proofErr w:type="gramEnd"/>
      <w:r w:rsidR="00CB5A8F">
        <w:rPr>
          <w:rFonts w:ascii="Calibri" w:eastAsiaTheme="majorEastAsia" w:hAnsi="Calibri" w:cstheme="majorBidi"/>
          <w:bCs/>
        </w:rPr>
        <w:t xml:space="preserve"> only 1.4 were considered suitable.</w:t>
      </w:r>
    </w:p>
    <w:p w:rsidR="00B005CC" w:rsidRPr="00CB5A8F" w:rsidRDefault="00BB49B0" w:rsidP="00710F73">
      <w:pPr>
        <w:pStyle w:val="ListParagraph"/>
        <w:numPr>
          <w:ilvl w:val="0"/>
          <w:numId w:val="27"/>
        </w:numPr>
        <w:spacing w:before="120" w:after="0" w:line="264" w:lineRule="auto"/>
        <w:jc w:val="both"/>
        <w:rPr>
          <w:rFonts w:ascii="Calibri" w:eastAsiaTheme="majorEastAsia" w:hAnsi="Calibri" w:cstheme="majorBidi"/>
          <w:b/>
          <w:bCs/>
          <w:sz w:val="28"/>
          <w:szCs w:val="30"/>
        </w:rPr>
      </w:pPr>
      <w:r>
        <w:rPr>
          <w:rFonts w:ascii="Calibri" w:eastAsiaTheme="majorEastAsia" w:hAnsi="Calibri" w:cstheme="majorBidi"/>
          <w:bCs/>
        </w:rPr>
        <w:t>Some 74 per cent of applicants did not receive an interview, with the most</w:t>
      </w:r>
      <w:r w:rsidR="00B005CC">
        <w:rPr>
          <w:rFonts w:ascii="Calibri" w:eastAsiaTheme="majorEastAsia" w:hAnsi="Calibri" w:cstheme="majorBidi"/>
          <w:bCs/>
        </w:rPr>
        <w:t xml:space="preserve"> common reason</w:t>
      </w:r>
      <w:r>
        <w:rPr>
          <w:rFonts w:ascii="Calibri" w:eastAsiaTheme="majorEastAsia" w:hAnsi="Calibri" w:cstheme="majorBidi"/>
          <w:bCs/>
        </w:rPr>
        <w:t>s for this being</w:t>
      </w:r>
      <w:r w:rsidR="00B005CC">
        <w:rPr>
          <w:rFonts w:ascii="Calibri" w:eastAsiaTheme="majorEastAsia" w:hAnsi="Calibri" w:cstheme="majorBidi"/>
          <w:bCs/>
        </w:rPr>
        <w:t xml:space="preserve"> lack</w:t>
      </w:r>
      <w:r w:rsidR="0088408C">
        <w:rPr>
          <w:rFonts w:ascii="Calibri" w:eastAsiaTheme="majorEastAsia" w:hAnsi="Calibri" w:cstheme="majorBidi"/>
          <w:bCs/>
        </w:rPr>
        <w:t xml:space="preserve"> of relevant experience and insufficient qualifications or training</w:t>
      </w:r>
      <w:r w:rsidR="00B005CC">
        <w:rPr>
          <w:rFonts w:ascii="Calibri" w:eastAsiaTheme="majorEastAsia" w:hAnsi="Calibri" w:cstheme="majorBidi"/>
          <w:bCs/>
        </w:rPr>
        <w:t>.</w:t>
      </w:r>
    </w:p>
    <w:p w:rsidR="002035B6" w:rsidRPr="00DF54FA" w:rsidRDefault="00AE585B" w:rsidP="002035B6">
      <w:pPr>
        <w:pStyle w:val="ListParagraph"/>
        <w:numPr>
          <w:ilvl w:val="0"/>
          <w:numId w:val="27"/>
        </w:numPr>
        <w:spacing w:before="120" w:after="0" w:line="264" w:lineRule="auto"/>
        <w:jc w:val="both"/>
        <w:rPr>
          <w:rFonts w:ascii="Calibri" w:eastAsiaTheme="majorEastAsia" w:hAnsi="Calibri" w:cstheme="majorBidi"/>
          <w:bCs/>
        </w:rPr>
      </w:pPr>
      <w:r>
        <w:rPr>
          <w:rFonts w:ascii="Calibri" w:eastAsiaTheme="majorEastAsia" w:hAnsi="Calibri" w:cstheme="majorBidi"/>
          <w:bCs/>
        </w:rPr>
        <w:t>Some</w:t>
      </w:r>
      <w:r w:rsidR="00CB5A8F">
        <w:rPr>
          <w:rFonts w:ascii="Calibri" w:eastAsiaTheme="majorEastAsia" w:hAnsi="Calibri" w:cstheme="majorBidi"/>
          <w:bCs/>
        </w:rPr>
        <w:t xml:space="preserve"> 38 per cent of employers expected to recruit in the year following </w:t>
      </w:r>
      <w:r w:rsidR="00AA7269">
        <w:rPr>
          <w:rFonts w:ascii="Calibri" w:eastAsiaTheme="majorEastAsia" w:hAnsi="Calibri" w:cstheme="majorBidi"/>
          <w:bCs/>
        </w:rPr>
        <w:t xml:space="preserve">the survey </w:t>
      </w:r>
      <w:r w:rsidR="001A3860">
        <w:rPr>
          <w:rFonts w:ascii="Calibri" w:eastAsiaTheme="majorEastAsia" w:hAnsi="Calibri" w:cstheme="majorBidi"/>
          <w:bCs/>
        </w:rPr>
        <w:t xml:space="preserve">and 17 per cent </w:t>
      </w:r>
      <w:r w:rsidR="00CB5A8F">
        <w:rPr>
          <w:rFonts w:ascii="Calibri" w:eastAsiaTheme="majorEastAsia" w:hAnsi="Calibri" w:cstheme="majorBidi"/>
          <w:bCs/>
        </w:rPr>
        <w:t>expected</w:t>
      </w:r>
      <w:r w:rsidR="001A3860">
        <w:rPr>
          <w:rFonts w:ascii="Calibri" w:eastAsiaTheme="majorEastAsia" w:hAnsi="Calibri" w:cstheme="majorBidi"/>
          <w:bCs/>
        </w:rPr>
        <w:t xml:space="preserve"> to increase</w:t>
      </w:r>
      <w:r w:rsidR="00CB5A8F">
        <w:rPr>
          <w:rFonts w:ascii="Calibri" w:eastAsiaTheme="majorEastAsia" w:hAnsi="Calibri" w:cstheme="majorBidi"/>
          <w:bCs/>
        </w:rPr>
        <w:t xml:space="preserve"> </w:t>
      </w:r>
      <w:r w:rsidR="001A3860">
        <w:rPr>
          <w:rFonts w:ascii="Calibri" w:eastAsiaTheme="majorEastAsia" w:hAnsi="Calibri" w:cstheme="majorBidi"/>
          <w:bCs/>
        </w:rPr>
        <w:t>staff numbers</w:t>
      </w:r>
      <w:r w:rsidR="00CB5A8F">
        <w:rPr>
          <w:rFonts w:ascii="Calibri" w:eastAsiaTheme="majorEastAsia" w:hAnsi="Calibri" w:cstheme="majorBidi"/>
          <w:bCs/>
        </w:rPr>
        <w:t>.</w:t>
      </w:r>
      <w:r w:rsidR="001B1F4C" w:rsidRPr="001B1F4C">
        <w:rPr>
          <w:noProof/>
          <w:lang w:eastAsia="en-AU"/>
        </w:rPr>
        <w:t xml:space="preserve"> </w:t>
      </w:r>
    </w:p>
    <w:p w:rsidR="00267902" w:rsidRPr="00C60E7E" w:rsidRDefault="001E2AA5" w:rsidP="00700CFB">
      <w:pPr>
        <w:spacing w:before="120" w:after="0" w:line="264" w:lineRule="auto"/>
        <w:contextualSpacing/>
        <w:jc w:val="both"/>
        <w:rPr>
          <w:rFonts w:ascii="Calibri" w:eastAsiaTheme="majorEastAsia" w:hAnsi="Calibri" w:cstheme="majorBidi"/>
          <w:b/>
          <w:bCs/>
          <w:color w:val="4F6228" w:themeColor="accent3" w:themeShade="80"/>
          <w:sz w:val="28"/>
          <w:szCs w:val="30"/>
        </w:rPr>
      </w:pPr>
      <w:r w:rsidRPr="00C60E7E">
        <w:rPr>
          <w:rFonts w:ascii="Calibri" w:eastAsiaTheme="majorEastAsia" w:hAnsi="Calibri" w:cstheme="majorBidi"/>
          <w:b/>
          <w:bCs/>
          <w:color w:val="4F6228" w:themeColor="accent3" w:themeShade="80"/>
          <w:sz w:val="28"/>
          <w:szCs w:val="30"/>
        </w:rPr>
        <w:t>Where are the opportunities?</w:t>
      </w:r>
    </w:p>
    <w:p w:rsidR="00BC5774" w:rsidRPr="00D637C0" w:rsidRDefault="00E85F1B" w:rsidP="00700CFB">
      <w:pPr>
        <w:pStyle w:val="ListBullet2"/>
        <w:numPr>
          <w:ilvl w:val="0"/>
          <w:numId w:val="0"/>
        </w:numPr>
        <w:spacing w:after="0" w:line="264" w:lineRule="auto"/>
      </w:pPr>
      <w:r>
        <w:t>Staff turnover</w:t>
      </w:r>
      <w:r w:rsidR="00BB49B0">
        <w:t xml:space="preserve"> and therefore r</w:t>
      </w:r>
      <w:r w:rsidR="0076630F">
        <w:t xml:space="preserve">ecruitment activity in the Accommodation and Food Services industry was high, with employers expecting to recruit for occupations such as Waiters, Bar Attendants and Baristas, Chefs </w:t>
      </w:r>
      <w:r w:rsidR="00C60E7E">
        <w:t>and Kitchenhands.</w:t>
      </w:r>
      <w:bookmarkStart w:id="0" w:name="_GoBack"/>
      <w:bookmarkEnd w:id="0"/>
      <w:r w:rsidR="00C60E7E">
        <w:t xml:space="preserve"> E</w:t>
      </w:r>
      <w:r w:rsidR="00100AF4">
        <w:t>mployers</w:t>
      </w:r>
      <w:r w:rsidR="00C60E7E">
        <w:t xml:space="preserve"> also</w:t>
      </w:r>
      <w:r w:rsidR="00100AF4">
        <w:t xml:space="preserve"> reported difficulty filling vacancies for</w:t>
      </w:r>
      <w:r w:rsidR="0076630F">
        <w:t xml:space="preserve"> Early Childhood (Pre-primary School) Teachers, Motor Mechanics</w:t>
      </w:r>
      <w:r w:rsidR="0092042E">
        <w:t xml:space="preserve">, </w:t>
      </w:r>
      <w:proofErr w:type="spellStart"/>
      <w:r w:rsidR="009F1945">
        <w:t>Aircon</w:t>
      </w:r>
      <w:r w:rsidR="0092042E">
        <w:t>ditioning</w:t>
      </w:r>
      <w:proofErr w:type="spellEnd"/>
      <w:r w:rsidR="0092042E">
        <w:t xml:space="preserve"> and Refrigeration Mechanics and Structural Steel and Welding Trades Workers</w:t>
      </w:r>
      <w:r w:rsidR="0076630F">
        <w:t>.</w:t>
      </w:r>
      <w:r w:rsidR="00CD4515">
        <w:t xml:space="preserve"> </w:t>
      </w:r>
    </w:p>
    <w:sectPr w:rsidR="00BC5774" w:rsidRPr="00D637C0" w:rsidSect="00BB49B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567" w:right="720" w:bottom="567" w:left="72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C8" w:rsidRDefault="007349C8" w:rsidP="007349C8">
      <w:pPr>
        <w:spacing w:after="0" w:line="240" w:lineRule="auto"/>
      </w:pPr>
      <w:r>
        <w:separator/>
      </w:r>
    </w:p>
  </w:endnote>
  <w:endnote w:type="continuationSeparator" w:id="0">
    <w:p w:rsidR="007349C8" w:rsidRDefault="007349C8" w:rsidP="0073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FA" w:rsidRDefault="00DF5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EF" w:rsidRDefault="00B409EF" w:rsidP="00DF54FA">
    <w:pPr>
      <w:pStyle w:val="ListBullet"/>
      <w:numPr>
        <w:ilvl w:val="0"/>
        <w:numId w:val="0"/>
      </w:numPr>
      <w:spacing w:after="0" w:line="240" w:lineRule="auto"/>
      <w:ind w:right="35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FA" w:rsidRDefault="00DF54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C8" w:rsidRDefault="007349C8" w:rsidP="007349C8">
      <w:pPr>
        <w:spacing w:after="0" w:line="240" w:lineRule="auto"/>
      </w:pPr>
      <w:r>
        <w:separator/>
      </w:r>
    </w:p>
  </w:footnote>
  <w:footnote w:type="continuationSeparator" w:id="0">
    <w:p w:rsidR="007349C8" w:rsidRDefault="007349C8" w:rsidP="007349C8">
      <w:pPr>
        <w:spacing w:after="0" w:line="240" w:lineRule="auto"/>
      </w:pPr>
      <w:r>
        <w:continuationSeparator/>
      </w:r>
    </w:p>
  </w:footnote>
  <w:footnote w:id="1">
    <w:p w:rsidR="00DF54FA" w:rsidRDefault="00DF54FA">
      <w:pPr>
        <w:pStyle w:val="FootnoteText"/>
      </w:pPr>
      <w:r w:rsidRPr="00DF54FA">
        <w:rPr>
          <w:rStyle w:val="FootnoteReference"/>
          <w:rFonts w:asciiTheme="minorHAnsi" w:hAnsiTheme="minorHAnsi" w:cstheme="minorHAnsi"/>
          <w:sz w:val="16"/>
          <w:szCs w:val="16"/>
        </w:rPr>
        <w:footnoteRef/>
      </w:r>
      <w:r w:rsidRPr="00DF54FA">
        <w:rPr>
          <w:rStyle w:val="FootnoteReference"/>
          <w:rFonts w:asciiTheme="minorHAnsi" w:hAnsiTheme="minorHAnsi" w:cstheme="minorHAnsi"/>
          <w:sz w:val="16"/>
          <w:szCs w:val="16"/>
        </w:rPr>
        <w:t xml:space="preserve"> </w:t>
      </w:r>
      <w:r w:rsidRPr="00DF54FA">
        <w:rPr>
          <w:rFonts w:asciiTheme="minorHAnsi" w:hAnsiTheme="minorHAnsi" w:cstheme="minorHAnsi"/>
          <w:sz w:val="16"/>
          <w:szCs w:val="16"/>
        </w:rPr>
        <w:t>Department of Employment, Small Area Labour Markets, June quarter 2013.</w:t>
      </w:r>
    </w:p>
  </w:footnote>
  <w:footnote w:id="2">
    <w:p w:rsidR="00DF54FA" w:rsidRDefault="00DF54FA">
      <w:pPr>
        <w:pStyle w:val="FootnoteText"/>
      </w:pPr>
      <w:r w:rsidRPr="00DF54FA">
        <w:rPr>
          <w:rStyle w:val="FootnoteReference"/>
          <w:rFonts w:asciiTheme="minorHAnsi" w:hAnsiTheme="minorHAnsi" w:cstheme="minorHAnsi"/>
          <w:sz w:val="16"/>
          <w:szCs w:val="16"/>
        </w:rPr>
        <w:footnoteRef/>
      </w:r>
      <w:r w:rsidRPr="00DF54FA">
        <w:rPr>
          <w:rStyle w:val="FootnoteReference"/>
          <w:rFonts w:asciiTheme="minorHAnsi" w:hAnsiTheme="minorHAnsi" w:cstheme="minorHAnsi"/>
          <w:sz w:val="16"/>
          <w:szCs w:val="16"/>
        </w:rPr>
        <w:t xml:space="preserve"> </w:t>
      </w:r>
      <w:proofErr w:type="gramStart"/>
      <w:r>
        <w:rPr>
          <w:rFonts w:asciiTheme="minorHAnsi" w:hAnsiTheme="minorHAnsi" w:cstheme="minorHAnsi"/>
          <w:sz w:val="16"/>
          <w:szCs w:val="16"/>
        </w:rPr>
        <w:t>ABS Labour Force Survey, September 2013, Far North Queensland Labour Force Region (</w:t>
      </w:r>
      <w:proofErr w:type="spellStart"/>
      <w:r>
        <w:rPr>
          <w:rFonts w:asciiTheme="minorHAnsi" w:hAnsiTheme="minorHAnsi" w:cstheme="minorHAnsi"/>
          <w:sz w:val="16"/>
          <w:szCs w:val="16"/>
        </w:rPr>
        <w:t>LFR</w:t>
      </w:r>
      <w:proofErr w:type="spellEnd"/>
      <w:r>
        <w:rPr>
          <w:rFonts w:asciiTheme="minorHAnsi" w:hAnsiTheme="minorHAnsi" w:cstheme="minorHAnsi"/>
          <w:sz w:val="16"/>
          <w:szCs w:val="16"/>
        </w:rPr>
        <w:t>).</w:t>
      </w:r>
      <w:proofErr w:type="gramEnd"/>
      <w:r>
        <w:rPr>
          <w:rFonts w:asciiTheme="minorHAnsi" w:hAnsiTheme="minorHAnsi" w:cstheme="minorHAnsi"/>
          <w:sz w:val="16"/>
          <w:szCs w:val="16"/>
        </w:rPr>
        <w:t xml:space="preserve"> Long-term unemployed are those who have been unemployed for 52 weeks or more, expressed as a proportion of all unemployed. The Cairns PEA makes up 91 per cent of the working age population of the </w:t>
      </w:r>
      <w:proofErr w:type="spellStart"/>
      <w:r>
        <w:rPr>
          <w:rFonts w:asciiTheme="minorHAnsi" w:hAnsiTheme="minorHAnsi" w:cstheme="minorHAnsi"/>
          <w:sz w:val="16"/>
          <w:szCs w:val="16"/>
        </w:rPr>
        <w:t>LFR</w:t>
      </w:r>
      <w:proofErr w:type="spellEnd"/>
      <w:r>
        <w:rPr>
          <w:rFonts w:asciiTheme="minorHAnsi" w:hAnsiTheme="minorHAnsi" w:cstheme="minorHAnsi"/>
          <w:sz w:val="16"/>
          <w:szCs w:val="16"/>
        </w:rPr>
        <w:t>.</w:t>
      </w:r>
    </w:p>
  </w:footnote>
  <w:footnote w:id="3">
    <w:p w:rsidR="00DF54FA" w:rsidRDefault="00DF54FA">
      <w:pPr>
        <w:pStyle w:val="FootnoteText"/>
      </w:pPr>
      <w:r w:rsidRPr="00DF54FA">
        <w:rPr>
          <w:rStyle w:val="FootnoteReference"/>
          <w:rFonts w:asciiTheme="minorHAnsi" w:hAnsiTheme="minorHAnsi" w:cstheme="minorHAnsi"/>
          <w:sz w:val="16"/>
          <w:szCs w:val="16"/>
        </w:rPr>
        <w:footnoteRef/>
      </w:r>
      <w:r w:rsidRPr="00DF54FA">
        <w:rPr>
          <w:rStyle w:val="FootnoteReference"/>
          <w:rFonts w:asciiTheme="minorHAnsi" w:hAnsiTheme="minorHAnsi" w:cstheme="minorHAnsi"/>
          <w:sz w:val="16"/>
          <w:szCs w:val="16"/>
        </w:rPr>
        <w:t xml:space="preserve"> </w:t>
      </w:r>
      <w:proofErr w:type="gramStart"/>
      <w:r w:rsidRPr="00DF54FA">
        <w:rPr>
          <w:rFonts w:asciiTheme="minorHAnsi" w:hAnsiTheme="minorHAnsi" w:cstheme="minorHAnsi"/>
          <w:sz w:val="16"/>
          <w:szCs w:val="16"/>
        </w:rPr>
        <w:t>ABS Census of Population and Housing, 2011</w:t>
      </w:r>
      <w:r>
        <w:rPr>
          <w:rFonts w:asciiTheme="minorHAnsi" w:hAnsiTheme="minorHAnsi" w:cstheme="minorHAnsi"/>
          <w:sz w:val="16"/>
          <w:szCs w:val="16"/>
        </w:rPr>
        <w:t>.</w:t>
      </w:r>
      <w:proofErr w:type="gramEnd"/>
    </w:p>
  </w:footnote>
  <w:footnote w:id="4">
    <w:p w:rsidR="00A05736" w:rsidRPr="00AF6E85" w:rsidRDefault="00A05736" w:rsidP="00A05736">
      <w:pPr>
        <w:pStyle w:val="FootnoteText"/>
        <w:rPr>
          <w:rFonts w:asciiTheme="minorHAnsi" w:hAnsiTheme="minorHAnsi" w:cstheme="minorHAnsi"/>
          <w:sz w:val="16"/>
          <w:szCs w:val="16"/>
        </w:rPr>
      </w:pPr>
      <w:r w:rsidRPr="00AF6E85">
        <w:rPr>
          <w:rStyle w:val="FootnoteReference"/>
          <w:rFonts w:asciiTheme="minorHAnsi" w:hAnsiTheme="minorHAnsi" w:cstheme="minorHAnsi"/>
          <w:sz w:val="16"/>
          <w:szCs w:val="16"/>
        </w:rPr>
        <w:footnoteRef/>
      </w:r>
      <w:r w:rsidR="0081769A">
        <w:rPr>
          <w:rFonts w:asciiTheme="minorHAnsi" w:hAnsiTheme="minorHAnsi" w:cstheme="minorHAnsi"/>
          <w:sz w:val="16"/>
          <w:szCs w:val="16"/>
        </w:rPr>
        <w:t xml:space="preserve"> ABS Labour F</w:t>
      </w:r>
      <w:r w:rsidR="0031071F">
        <w:rPr>
          <w:rFonts w:asciiTheme="minorHAnsi" w:hAnsiTheme="minorHAnsi" w:cstheme="minorHAnsi"/>
          <w:sz w:val="16"/>
          <w:szCs w:val="16"/>
        </w:rPr>
        <w:t>or</w:t>
      </w:r>
      <w:r w:rsidR="000B4767">
        <w:rPr>
          <w:rFonts w:asciiTheme="minorHAnsi" w:hAnsiTheme="minorHAnsi" w:cstheme="minorHAnsi"/>
          <w:sz w:val="16"/>
          <w:szCs w:val="16"/>
        </w:rPr>
        <w:t>ce (Seasonally Adjusted), September</w:t>
      </w:r>
      <w:r w:rsidRPr="00AF6E85">
        <w:rPr>
          <w:rFonts w:asciiTheme="minorHAnsi" w:hAnsiTheme="minorHAnsi" w:cstheme="minorHAnsi"/>
          <w:sz w:val="16"/>
          <w:szCs w:val="16"/>
        </w:rPr>
        <w:t xml:space="preserve"> 2013.</w:t>
      </w:r>
    </w:p>
  </w:footnote>
  <w:footnote w:id="5">
    <w:p w:rsidR="001E2AA5" w:rsidRDefault="001E2AA5">
      <w:pPr>
        <w:pStyle w:val="FootnoteText"/>
      </w:pPr>
      <w:r w:rsidRPr="00AF6E85">
        <w:rPr>
          <w:rStyle w:val="FootnoteReference"/>
          <w:rFonts w:asciiTheme="minorHAnsi" w:hAnsiTheme="minorHAnsi" w:cstheme="minorHAnsi"/>
          <w:sz w:val="16"/>
          <w:szCs w:val="16"/>
        </w:rPr>
        <w:footnoteRef/>
      </w:r>
      <w:r w:rsidRPr="00AF6E85">
        <w:rPr>
          <w:rStyle w:val="FootnoteReference"/>
          <w:rFonts w:asciiTheme="minorHAnsi" w:hAnsiTheme="minorHAnsi" w:cstheme="minorHAnsi"/>
          <w:sz w:val="16"/>
          <w:szCs w:val="16"/>
        </w:rPr>
        <w:t xml:space="preserve"> </w:t>
      </w:r>
      <w:proofErr w:type="gramStart"/>
      <w:r w:rsidRPr="00AF6E85">
        <w:rPr>
          <w:rFonts w:asciiTheme="minorHAnsi" w:hAnsiTheme="minorHAnsi" w:cstheme="minorHAnsi"/>
          <w:sz w:val="16"/>
          <w:szCs w:val="16"/>
        </w:rPr>
        <w:t>Based on a Survey of Employers’ Recruitment Experiences</w:t>
      </w:r>
      <w:r w:rsidR="00491EFD">
        <w:rPr>
          <w:rFonts w:asciiTheme="minorHAnsi" w:hAnsiTheme="minorHAnsi" w:cstheme="minorHAnsi"/>
          <w:sz w:val="16"/>
          <w:szCs w:val="16"/>
        </w:rPr>
        <w:t xml:space="preserve"> of 387</w:t>
      </w:r>
      <w:r w:rsidR="00100AF4" w:rsidRPr="00AF6E85">
        <w:rPr>
          <w:rFonts w:asciiTheme="minorHAnsi" w:hAnsiTheme="minorHAnsi" w:cstheme="minorHAnsi"/>
          <w:sz w:val="16"/>
          <w:szCs w:val="16"/>
        </w:rPr>
        <w:t xml:space="preserve"> employers </w:t>
      </w:r>
      <w:r w:rsidR="0031071F">
        <w:rPr>
          <w:rFonts w:asciiTheme="minorHAnsi" w:hAnsiTheme="minorHAnsi" w:cstheme="minorHAnsi"/>
          <w:sz w:val="16"/>
          <w:szCs w:val="16"/>
        </w:rPr>
        <w:t>undertaken by the Department of Employment</w:t>
      </w:r>
      <w:r w:rsidRPr="00AF6E85">
        <w:rPr>
          <w:rFonts w:asciiTheme="minorHAnsi" w:hAnsiTheme="minorHAnsi" w:cstheme="minorHAnsi"/>
          <w:sz w:val="16"/>
          <w:szCs w:val="16"/>
        </w:rPr>
        <w:t xml:space="preserve"> in </w:t>
      </w:r>
      <w:r w:rsidR="00491EFD">
        <w:rPr>
          <w:rFonts w:asciiTheme="minorHAnsi" w:hAnsiTheme="minorHAnsi" w:cstheme="minorHAnsi"/>
          <w:sz w:val="16"/>
          <w:szCs w:val="16"/>
        </w:rPr>
        <w:t>July</w:t>
      </w:r>
      <w:r w:rsidRPr="00AF6E85">
        <w:rPr>
          <w:rFonts w:asciiTheme="minorHAnsi" w:hAnsiTheme="minorHAnsi" w:cstheme="minorHAnsi"/>
          <w:sz w:val="16"/>
          <w:szCs w:val="16"/>
        </w:rPr>
        <w:t xml:space="preserve"> 2013.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FA" w:rsidRDefault="00DF5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FA" w:rsidRDefault="00DF54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FA" w:rsidRDefault="00DF54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5C21B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6F649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9D80A2AA"/>
    <w:lvl w:ilvl="0">
      <w:start w:val="1"/>
      <w:numFmt w:val="bullet"/>
      <w:lvlText w:val=""/>
      <w:lvlJc w:val="left"/>
      <w:pPr>
        <w:tabs>
          <w:tab w:val="num" w:pos="360"/>
        </w:tabs>
        <w:ind w:left="360" w:hanging="360"/>
      </w:pPr>
      <w:rPr>
        <w:rFonts w:ascii="Symbol" w:hAnsi="Symbol" w:hint="default"/>
      </w:r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FDF1F70"/>
    <w:multiLevelType w:val="hybridMultilevel"/>
    <w:tmpl w:val="4D644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3776B20"/>
    <w:multiLevelType w:val="hybridMultilevel"/>
    <w:tmpl w:val="C9A8CAF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5133AB5"/>
    <w:multiLevelType w:val="hybridMultilevel"/>
    <w:tmpl w:val="D64E21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9670B9"/>
    <w:multiLevelType w:val="hybridMultilevel"/>
    <w:tmpl w:val="8A127BE6"/>
    <w:lvl w:ilvl="0" w:tplc="BEC8911C">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23577BA0"/>
    <w:multiLevelType w:val="hybridMultilevel"/>
    <w:tmpl w:val="CC16E77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46544D"/>
    <w:multiLevelType w:val="hybridMultilevel"/>
    <w:tmpl w:val="DB60A010"/>
    <w:lvl w:ilvl="0" w:tplc="0394902E">
      <w:start w:val="7"/>
      <w:numFmt w:val="bullet"/>
      <w:lvlText w:val="-"/>
      <w:lvlJc w:val="left"/>
      <w:pPr>
        <w:ind w:left="360" w:hanging="360"/>
      </w:pPr>
      <w:rPr>
        <w:rFonts w:ascii="Calibri" w:eastAsiaTheme="minorEastAsia"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90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61B7F1F"/>
    <w:multiLevelType w:val="hybridMultilevel"/>
    <w:tmpl w:val="480C87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13"/>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9"/>
  </w:num>
  <w:num w:numId="20">
    <w:abstractNumId w:val="12"/>
  </w:num>
  <w:num w:numId="21">
    <w:abstractNumId w:val="17"/>
  </w:num>
  <w:num w:numId="22">
    <w:abstractNumId w:val="14"/>
  </w:num>
  <w:num w:numId="23">
    <w:abstractNumId w:val="19"/>
  </w:num>
  <w:num w:numId="24">
    <w:abstractNumId w:val="9"/>
  </w:num>
  <w:num w:numId="25">
    <w:abstractNumId w:val="15"/>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10FE2"/>
    <w:rsid w:val="00023DBF"/>
    <w:rsid w:val="00024E24"/>
    <w:rsid w:val="000254ED"/>
    <w:rsid w:val="000861A6"/>
    <w:rsid w:val="000B3E4A"/>
    <w:rsid w:val="000B4767"/>
    <w:rsid w:val="000D4EE6"/>
    <w:rsid w:val="000F1108"/>
    <w:rsid w:val="000F3BA2"/>
    <w:rsid w:val="00100AF4"/>
    <w:rsid w:val="001111BE"/>
    <w:rsid w:val="001175BF"/>
    <w:rsid w:val="00125E63"/>
    <w:rsid w:val="0013485F"/>
    <w:rsid w:val="00143FCD"/>
    <w:rsid w:val="00160384"/>
    <w:rsid w:val="001811D2"/>
    <w:rsid w:val="001A3860"/>
    <w:rsid w:val="001A685C"/>
    <w:rsid w:val="001B1F4C"/>
    <w:rsid w:val="001B42E5"/>
    <w:rsid w:val="001B6467"/>
    <w:rsid w:val="001C0A62"/>
    <w:rsid w:val="001D4FA7"/>
    <w:rsid w:val="001E0E07"/>
    <w:rsid w:val="001E2AA5"/>
    <w:rsid w:val="002005D3"/>
    <w:rsid w:val="002035B6"/>
    <w:rsid w:val="002052C6"/>
    <w:rsid w:val="00222186"/>
    <w:rsid w:val="00223EB1"/>
    <w:rsid w:val="00236917"/>
    <w:rsid w:val="00241D88"/>
    <w:rsid w:val="0025069C"/>
    <w:rsid w:val="0025319C"/>
    <w:rsid w:val="00255568"/>
    <w:rsid w:val="00267902"/>
    <w:rsid w:val="00272D7B"/>
    <w:rsid w:val="00295F43"/>
    <w:rsid w:val="002B06E6"/>
    <w:rsid w:val="002B1671"/>
    <w:rsid w:val="002C19E3"/>
    <w:rsid w:val="002C1A1A"/>
    <w:rsid w:val="002D271F"/>
    <w:rsid w:val="002D6386"/>
    <w:rsid w:val="00305B35"/>
    <w:rsid w:val="0031071F"/>
    <w:rsid w:val="003201A6"/>
    <w:rsid w:val="00377F31"/>
    <w:rsid w:val="003803BD"/>
    <w:rsid w:val="00380E63"/>
    <w:rsid w:val="003925E5"/>
    <w:rsid w:val="003A1E1A"/>
    <w:rsid w:val="003B10A0"/>
    <w:rsid w:val="003C3739"/>
    <w:rsid w:val="003D69EA"/>
    <w:rsid w:val="003F060E"/>
    <w:rsid w:val="00406E5A"/>
    <w:rsid w:val="00410738"/>
    <w:rsid w:val="00413C64"/>
    <w:rsid w:val="00430726"/>
    <w:rsid w:val="00445359"/>
    <w:rsid w:val="00447A3A"/>
    <w:rsid w:val="00455B34"/>
    <w:rsid w:val="0046093F"/>
    <w:rsid w:val="00481201"/>
    <w:rsid w:val="00485C22"/>
    <w:rsid w:val="00491EFD"/>
    <w:rsid w:val="004A49A8"/>
    <w:rsid w:val="004A7CE3"/>
    <w:rsid w:val="004B256F"/>
    <w:rsid w:val="004E1087"/>
    <w:rsid w:val="004E7BB5"/>
    <w:rsid w:val="00510FE9"/>
    <w:rsid w:val="00531817"/>
    <w:rsid w:val="00531CE8"/>
    <w:rsid w:val="00541383"/>
    <w:rsid w:val="005433BB"/>
    <w:rsid w:val="00546036"/>
    <w:rsid w:val="00547470"/>
    <w:rsid w:val="00557199"/>
    <w:rsid w:val="005624F3"/>
    <w:rsid w:val="0056501A"/>
    <w:rsid w:val="005811EF"/>
    <w:rsid w:val="00597CBC"/>
    <w:rsid w:val="005B0878"/>
    <w:rsid w:val="005B3728"/>
    <w:rsid w:val="005C4D74"/>
    <w:rsid w:val="005D004F"/>
    <w:rsid w:val="005D3936"/>
    <w:rsid w:val="005D5AE8"/>
    <w:rsid w:val="005E18AE"/>
    <w:rsid w:val="00610654"/>
    <w:rsid w:val="006155EA"/>
    <w:rsid w:val="00633210"/>
    <w:rsid w:val="006420BF"/>
    <w:rsid w:val="006463BA"/>
    <w:rsid w:val="00660AA4"/>
    <w:rsid w:val="0068048B"/>
    <w:rsid w:val="006864C3"/>
    <w:rsid w:val="0069559C"/>
    <w:rsid w:val="00696584"/>
    <w:rsid w:val="006B3178"/>
    <w:rsid w:val="006C28D3"/>
    <w:rsid w:val="006F2DB2"/>
    <w:rsid w:val="006F3BB9"/>
    <w:rsid w:val="00700CFB"/>
    <w:rsid w:val="00710F73"/>
    <w:rsid w:val="007253AB"/>
    <w:rsid w:val="007349C8"/>
    <w:rsid w:val="00742886"/>
    <w:rsid w:val="0076630F"/>
    <w:rsid w:val="00780860"/>
    <w:rsid w:val="00791DE2"/>
    <w:rsid w:val="00792CA3"/>
    <w:rsid w:val="007A5F7C"/>
    <w:rsid w:val="007B0AF3"/>
    <w:rsid w:val="007B2C34"/>
    <w:rsid w:val="007B2FDD"/>
    <w:rsid w:val="007C65FC"/>
    <w:rsid w:val="007D05AC"/>
    <w:rsid w:val="007E1944"/>
    <w:rsid w:val="007E6286"/>
    <w:rsid w:val="007F194F"/>
    <w:rsid w:val="00807832"/>
    <w:rsid w:val="008163CE"/>
    <w:rsid w:val="0081769A"/>
    <w:rsid w:val="008264B8"/>
    <w:rsid w:val="0083468A"/>
    <w:rsid w:val="00842D43"/>
    <w:rsid w:val="00875A56"/>
    <w:rsid w:val="0088408C"/>
    <w:rsid w:val="0088642E"/>
    <w:rsid w:val="008A1CCE"/>
    <w:rsid w:val="008D0CF6"/>
    <w:rsid w:val="008E45E7"/>
    <w:rsid w:val="008F7563"/>
    <w:rsid w:val="009010C4"/>
    <w:rsid w:val="00905FD1"/>
    <w:rsid w:val="009116EA"/>
    <w:rsid w:val="0092042E"/>
    <w:rsid w:val="00927FA6"/>
    <w:rsid w:val="00933671"/>
    <w:rsid w:val="0095638C"/>
    <w:rsid w:val="00984879"/>
    <w:rsid w:val="00985632"/>
    <w:rsid w:val="00991B63"/>
    <w:rsid w:val="0099681C"/>
    <w:rsid w:val="009A6BDC"/>
    <w:rsid w:val="009B2428"/>
    <w:rsid w:val="009B5CB7"/>
    <w:rsid w:val="009C1810"/>
    <w:rsid w:val="009C3B12"/>
    <w:rsid w:val="009E28F2"/>
    <w:rsid w:val="009E5F23"/>
    <w:rsid w:val="009F1945"/>
    <w:rsid w:val="00A05736"/>
    <w:rsid w:val="00A23842"/>
    <w:rsid w:val="00A2425D"/>
    <w:rsid w:val="00A2766A"/>
    <w:rsid w:val="00A31242"/>
    <w:rsid w:val="00A4001A"/>
    <w:rsid w:val="00A52530"/>
    <w:rsid w:val="00A54B46"/>
    <w:rsid w:val="00A66E4D"/>
    <w:rsid w:val="00A7619F"/>
    <w:rsid w:val="00AA7269"/>
    <w:rsid w:val="00AB7FB8"/>
    <w:rsid w:val="00AC65DA"/>
    <w:rsid w:val="00AD548C"/>
    <w:rsid w:val="00AE08A7"/>
    <w:rsid w:val="00AE585B"/>
    <w:rsid w:val="00AF6E85"/>
    <w:rsid w:val="00B005CC"/>
    <w:rsid w:val="00B074A6"/>
    <w:rsid w:val="00B10BD1"/>
    <w:rsid w:val="00B24D1A"/>
    <w:rsid w:val="00B300CE"/>
    <w:rsid w:val="00B3674C"/>
    <w:rsid w:val="00B372CD"/>
    <w:rsid w:val="00B409EF"/>
    <w:rsid w:val="00B40E45"/>
    <w:rsid w:val="00B45116"/>
    <w:rsid w:val="00B626A5"/>
    <w:rsid w:val="00B7034E"/>
    <w:rsid w:val="00B77A09"/>
    <w:rsid w:val="00B9628B"/>
    <w:rsid w:val="00BB49B0"/>
    <w:rsid w:val="00BB717A"/>
    <w:rsid w:val="00BC0908"/>
    <w:rsid w:val="00BC5774"/>
    <w:rsid w:val="00BD5F90"/>
    <w:rsid w:val="00C04021"/>
    <w:rsid w:val="00C05E74"/>
    <w:rsid w:val="00C10C19"/>
    <w:rsid w:val="00C11108"/>
    <w:rsid w:val="00C17D9D"/>
    <w:rsid w:val="00C247AD"/>
    <w:rsid w:val="00C43F3E"/>
    <w:rsid w:val="00C5649C"/>
    <w:rsid w:val="00C60E7E"/>
    <w:rsid w:val="00C65C6F"/>
    <w:rsid w:val="00C72D27"/>
    <w:rsid w:val="00C8202C"/>
    <w:rsid w:val="00C82311"/>
    <w:rsid w:val="00C92A5B"/>
    <w:rsid w:val="00CA46EC"/>
    <w:rsid w:val="00CB5A8F"/>
    <w:rsid w:val="00CC60B0"/>
    <w:rsid w:val="00CD3C11"/>
    <w:rsid w:val="00CD4515"/>
    <w:rsid w:val="00CD73CB"/>
    <w:rsid w:val="00D0261F"/>
    <w:rsid w:val="00D04991"/>
    <w:rsid w:val="00D0598F"/>
    <w:rsid w:val="00D078F5"/>
    <w:rsid w:val="00D1394D"/>
    <w:rsid w:val="00D17848"/>
    <w:rsid w:val="00D45209"/>
    <w:rsid w:val="00D637C0"/>
    <w:rsid w:val="00D75777"/>
    <w:rsid w:val="00D805A9"/>
    <w:rsid w:val="00D814D0"/>
    <w:rsid w:val="00D83FBC"/>
    <w:rsid w:val="00D878AE"/>
    <w:rsid w:val="00D90241"/>
    <w:rsid w:val="00D903FD"/>
    <w:rsid w:val="00D9622A"/>
    <w:rsid w:val="00D96C08"/>
    <w:rsid w:val="00DA6F94"/>
    <w:rsid w:val="00DB2553"/>
    <w:rsid w:val="00DB38AF"/>
    <w:rsid w:val="00DD445B"/>
    <w:rsid w:val="00DD5BE4"/>
    <w:rsid w:val="00DE2651"/>
    <w:rsid w:val="00DF4CBD"/>
    <w:rsid w:val="00DF54FA"/>
    <w:rsid w:val="00E05BF2"/>
    <w:rsid w:val="00E11BEA"/>
    <w:rsid w:val="00E13CFE"/>
    <w:rsid w:val="00E20EAB"/>
    <w:rsid w:val="00E32601"/>
    <w:rsid w:val="00E527B2"/>
    <w:rsid w:val="00E5500D"/>
    <w:rsid w:val="00E7032C"/>
    <w:rsid w:val="00E84A53"/>
    <w:rsid w:val="00E84C5F"/>
    <w:rsid w:val="00E856A0"/>
    <w:rsid w:val="00E85F1B"/>
    <w:rsid w:val="00E90FDD"/>
    <w:rsid w:val="00EA6DAD"/>
    <w:rsid w:val="00EA7DEF"/>
    <w:rsid w:val="00EB7FD3"/>
    <w:rsid w:val="00EC30C5"/>
    <w:rsid w:val="00ED3CCF"/>
    <w:rsid w:val="00ED43D2"/>
    <w:rsid w:val="00ED714D"/>
    <w:rsid w:val="00ED7550"/>
    <w:rsid w:val="00EE3B8C"/>
    <w:rsid w:val="00EF052C"/>
    <w:rsid w:val="00EF1717"/>
    <w:rsid w:val="00F16965"/>
    <w:rsid w:val="00F27076"/>
    <w:rsid w:val="00F27AFF"/>
    <w:rsid w:val="00F34B97"/>
    <w:rsid w:val="00F52A6E"/>
    <w:rsid w:val="00F54811"/>
    <w:rsid w:val="00F77A61"/>
    <w:rsid w:val="00F877BC"/>
    <w:rsid w:val="00FB10CB"/>
    <w:rsid w:val="00FB2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contextualSpacing/>
    </w:pPr>
  </w:style>
  <w:style w:type="paragraph" w:styleId="ListBullet4">
    <w:name w:val="List Bullet 4"/>
    <w:basedOn w:val="Normal"/>
    <w:uiPriority w:val="99"/>
    <w:unhideWhenUsed/>
    <w:rsid w:val="00CA46EC"/>
    <w:pPr>
      <w:numPr>
        <w:ilvl w:val="3"/>
        <w:numId w:val="16"/>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F060E"/>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F060E"/>
    <w:rPr>
      <w:rFonts w:ascii="Arial" w:eastAsia="Times New Roman" w:hAnsi="Arial" w:cs="Times New Roman"/>
      <w:sz w:val="20"/>
      <w:szCs w:val="20"/>
    </w:rPr>
  </w:style>
  <w:style w:type="character" w:styleId="FootnoteReference">
    <w:name w:val="footnote reference"/>
    <w:basedOn w:val="DefaultParagraphFont"/>
    <w:uiPriority w:val="99"/>
    <w:unhideWhenUsed/>
    <w:rsid w:val="003F060E"/>
    <w:rPr>
      <w:vertAlign w:val="superscript"/>
    </w:rPr>
  </w:style>
  <w:style w:type="table" w:styleId="LightShading-Accent1">
    <w:name w:val="Light Shading Accent 1"/>
    <w:basedOn w:val="TableNormal"/>
    <w:uiPriority w:val="60"/>
    <w:rsid w:val="003F060E"/>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074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5D"/>
  </w:style>
  <w:style w:type="paragraph" w:styleId="Heading1">
    <w:name w:val="heading 1"/>
    <w:basedOn w:val="Normal"/>
    <w:next w:val="Normal"/>
    <w:link w:val="Heading1Char"/>
    <w:uiPriority w:val="9"/>
    <w:qFormat/>
    <w:rsid w:val="00E90FDD"/>
    <w:pPr>
      <w:pBdr>
        <w:bottom w:val="single" w:sz="4" w:space="1" w:color="427730"/>
      </w:pBdr>
      <w:spacing w:before="360" w:after="240" w:line="240" w:lineRule="auto"/>
      <w:contextualSpacing/>
      <w:outlineLvl w:val="0"/>
    </w:pPr>
    <w:rPr>
      <w:rFonts w:ascii="Calibri" w:eastAsiaTheme="majorEastAsia" w:hAnsi="Calibri" w:cstheme="majorBidi"/>
      <w:b/>
      <w:bCs/>
      <w:color w:val="427730"/>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0000FF"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E90FDD"/>
    <w:rPr>
      <w:rFonts w:ascii="Calibri" w:eastAsiaTheme="majorEastAsia" w:hAnsi="Calibri" w:cstheme="majorBidi"/>
      <w:b/>
      <w:bCs/>
      <w:color w:val="427730"/>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861A6"/>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0861A6"/>
    <w:rPr>
      <w:rFonts w:ascii="Calibri" w:eastAsiaTheme="majorEastAsia" w:hAnsi="Calibri" w:cstheme="majorBidi"/>
      <w:b/>
      <w:spacing w:val="5"/>
      <w:sz w:val="56"/>
      <w:szCs w:val="52"/>
    </w:rPr>
  </w:style>
  <w:style w:type="paragraph" w:styleId="Subtitle">
    <w:name w:val="Subtitle"/>
    <w:basedOn w:val="Normal"/>
    <w:next w:val="Normal"/>
    <w:link w:val="SubtitleChar"/>
    <w:uiPriority w:val="11"/>
    <w:qFormat/>
    <w:rsid w:val="00A2425D"/>
    <w:pPr>
      <w:spacing w:after="240"/>
    </w:pPr>
    <w:rPr>
      <w:rFonts w:ascii="Calibri" w:eastAsiaTheme="majorEastAsia" w:hAnsi="Calibri" w:cstheme="majorBidi"/>
      <w:b/>
      <w:iCs/>
      <w:color w:val="427730"/>
      <w:spacing w:val="13"/>
      <w:sz w:val="40"/>
      <w:szCs w:val="24"/>
    </w:rPr>
  </w:style>
  <w:style w:type="character" w:customStyle="1" w:styleId="SubtitleChar">
    <w:name w:val="Subtitle Char"/>
    <w:basedOn w:val="DefaultParagraphFont"/>
    <w:link w:val="Subtitle"/>
    <w:uiPriority w:val="11"/>
    <w:rsid w:val="00A2425D"/>
    <w:rPr>
      <w:rFonts w:ascii="Calibri" w:eastAsiaTheme="majorEastAsia" w:hAnsi="Calibri" w:cstheme="majorBidi"/>
      <w:b/>
      <w:iCs/>
      <w:color w:val="427730"/>
      <w:spacing w:val="13"/>
      <w:sz w:val="40"/>
      <w:szCs w:val="24"/>
    </w:rPr>
  </w:style>
  <w:style w:type="paragraph" w:styleId="NoSpacing">
    <w:name w:val="No Spacing"/>
    <w:basedOn w:val="Normal"/>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contextualSpacing/>
    </w:pPr>
  </w:style>
  <w:style w:type="paragraph" w:styleId="ListBullet4">
    <w:name w:val="List Bullet 4"/>
    <w:basedOn w:val="Normal"/>
    <w:uiPriority w:val="99"/>
    <w:unhideWhenUsed/>
    <w:rsid w:val="00CA46EC"/>
    <w:pPr>
      <w:numPr>
        <w:ilvl w:val="3"/>
        <w:numId w:val="16"/>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ED3CCF"/>
    <w:pPr>
      <w:spacing w:after="0" w:line="240" w:lineRule="auto"/>
    </w:pPr>
    <w:rPr>
      <w:sz w:val="20"/>
    </w:rPr>
    <w:tblPr>
      <w:tblStyleRowBandSize w:val="1"/>
      <w:tblInd w:w="0" w:type="dxa"/>
      <w:tblCellMar>
        <w:top w:w="0" w:type="dxa"/>
        <w:left w:w="108" w:type="dxa"/>
        <w:bottom w:w="0" w:type="dxa"/>
        <w:right w:w="108" w:type="dxa"/>
      </w:tblCellMar>
    </w:tblPr>
    <w:tblStylePr w:type="firstRow">
      <w:pPr>
        <w:wordWrap/>
        <w:ind w:leftChars="0" w:left="0" w:rightChars="0" w:right="0"/>
        <w:jc w:val="left"/>
      </w:pPr>
      <w:rPr>
        <w:rFonts w:asciiTheme="minorHAnsi" w:hAnsiTheme="minorHAnsi"/>
        <w:b/>
        <w:color w:val="FFFFFF" w:themeColor="background1"/>
        <w:sz w:val="20"/>
      </w:rPr>
      <w:tblPr/>
      <w:tcPr>
        <w:shd w:val="clear" w:color="auto" w:fill="427730"/>
      </w:tcPr>
    </w:tblStylePr>
    <w:tblStylePr w:type="band2Horz">
      <w:tblPr/>
      <w:tcPr>
        <w:shd w:val="clear" w:color="auto" w:fill="D9E6DA"/>
      </w:tcPr>
    </w:tblStylePr>
  </w:style>
  <w:style w:type="paragraph" w:styleId="Header">
    <w:name w:val="header"/>
    <w:basedOn w:val="Normal"/>
    <w:link w:val="HeaderChar"/>
    <w:uiPriority w:val="99"/>
    <w:unhideWhenUsed/>
    <w:rsid w:val="00734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9C8"/>
  </w:style>
  <w:style w:type="paragraph" w:styleId="Footer">
    <w:name w:val="footer"/>
    <w:basedOn w:val="Normal"/>
    <w:link w:val="FooterChar"/>
    <w:uiPriority w:val="99"/>
    <w:unhideWhenUsed/>
    <w:rsid w:val="00734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9C8"/>
  </w:style>
  <w:style w:type="paragraph" w:styleId="BalloonText">
    <w:name w:val="Balloon Text"/>
    <w:basedOn w:val="Normal"/>
    <w:link w:val="BalloonTextChar"/>
    <w:uiPriority w:val="99"/>
    <w:semiHidden/>
    <w:unhideWhenUsed/>
    <w:rsid w:val="0073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C8"/>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3F060E"/>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3F060E"/>
    <w:rPr>
      <w:rFonts w:ascii="Arial" w:eastAsia="Times New Roman" w:hAnsi="Arial" w:cs="Times New Roman"/>
      <w:sz w:val="20"/>
      <w:szCs w:val="20"/>
    </w:rPr>
  </w:style>
  <w:style w:type="character" w:styleId="FootnoteReference">
    <w:name w:val="footnote reference"/>
    <w:basedOn w:val="DefaultParagraphFont"/>
    <w:uiPriority w:val="99"/>
    <w:unhideWhenUsed/>
    <w:rsid w:val="003F060E"/>
    <w:rPr>
      <w:vertAlign w:val="superscript"/>
    </w:rPr>
  </w:style>
  <w:style w:type="table" w:styleId="LightShading-Accent1">
    <w:name w:val="Light Shading Accent 1"/>
    <w:basedOn w:val="TableNormal"/>
    <w:uiPriority w:val="60"/>
    <w:rsid w:val="003F060E"/>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B074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DBYU\DAS\13%2013-14%20Regional%20Survey%20files%20(by%20survey%20no.)\179.%20Cairns%20PEA\04.%20Data%20output%20and%20admin\b.%20Survey%20Output\Cairns%20July%202013%20-%20output%20-%20v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DBYU\DAS\13%2013-14%20Regional%20Survey%20files%20(by%20survey%20no.)\179.%20Cairns%20PEA\04.%20Data%20output%20and%20admin\b.%20Survey%20Output\Cairns%20July%202013%20-%20output%20-%20v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200"/>
          </a:pPr>
          <a:endParaRPr lang="en-US"/>
        </a:p>
      </c:txPr>
    </c:title>
    <c:autoTitleDeleted val="0"/>
    <c:plotArea>
      <c:layout/>
      <c:barChart>
        <c:barDir val="col"/>
        <c:grouping val="clustered"/>
        <c:varyColors val="0"/>
        <c:ser>
          <c:idx val="0"/>
          <c:order val="0"/>
          <c:tx>
            <c:strRef>
              <c:f>Sheet1!$C$8</c:f>
              <c:strCache>
                <c:ptCount val="1"/>
                <c:pt idx="0">
                  <c:v>Unfilled vacancies</c:v>
                </c:pt>
              </c:strCache>
            </c:strRef>
          </c:tx>
          <c:spPr>
            <a:solidFill>
              <a:schemeClr val="tx2">
                <a:lumMod val="40000"/>
                <a:lumOff val="60000"/>
              </a:schemeClr>
            </a:solidFill>
            <a:ln>
              <a:solidFill>
                <a:schemeClr val="tx1"/>
              </a:solidFill>
            </a:ln>
          </c:spPr>
          <c:invertIfNegative val="0"/>
          <c:dLbls>
            <c:txPr>
              <a:bodyPr/>
              <a:lstStyle/>
              <a:p>
                <a:pPr>
                  <a:defRPr sz="800"/>
                </a:pPr>
                <a:endParaRPr lang="en-US"/>
              </a:p>
            </c:txPr>
            <c:showLegendKey val="0"/>
            <c:showVal val="1"/>
            <c:showCatName val="0"/>
            <c:showSerName val="0"/>
            <c:showPercent val="0"/>
            <c:showBubbleSize val="0"/>
            <c:showLeaderLines val="0"/>
          </c:dLbls>
          <c:cat>
            <c:strRef>
              <c:f>Sheet1!$B$9:$B$11</c:f>
              <c:strCache>
                <c:ptCount val="3"/>
                <c:pt idx="0">
                  <c:v>Cairns PEA 2013</c:v>
                </c:pt>
                <c:pt idx="1">
                  <c:v>Cairns PEA 2012</c:v>
                </c:pt>
                <c:pt idx="2">
                  <c:v>All regions surveyed, 12 months to March 2013</c:v>
                </c:pt>
              </c:strCache>
            </c:strRef>
          </c:cat>
          <c:val>
            <c:numRef>
              <c:f>Sheet1!$C$9:$C$11</c:f>
              <c:numCache>
                <c:formatCode>0.0%</c:formatCode>
                <c:ptCount val="3"/>
                <c:pt idx="0">
                  <c:v>1.8050541516245487E-2</c:v>
                </c:pt>
                <c:pt idx="1">
                  <c:v>4.632152588555858E-2</c:v>
                </c:pt>
                <c:pt idx="2">
                  <c:v>4.2635206167503797E-2</c:v>
                </c:pt>
              </c:numCache>
            </c:numRef>
          </c:val>
        </c:ser>
        <c:dLbls>
          <c:showLegendKey val="0"/>
          <c:showVal val="0"/>
          <c:showCatName val="0"/>
          <c:showSerName val="0"/>
          <c:showPercent val="0"/>
          <c:showBubbleSize val="0"/>
        </c:dLbls>
        <c:gapWidth val="150"/>
        <c:axId val="212807680"/>
        <c:axId val="212809216"/>
      </c:barChart>
      <c:catAx>
        <c:axId val="212807680"/>
        <c:scaling>
          <c:orientation val="minMax"/>
        </c:scaling>
        <c:delete val="0"/>
        <c:axPos val="b"/>
        <c:majorTickMark val="out"/>
        <c:minorTickMark val="none"/>
        <c:tickLblPos val="nextTo"/>
        <c:txPr>
          <a:bodyPr/>
          <a:lstStyle/>
          <a:p>
            <a:pPr>
              <a:defRPr sz="800"/>
            </a:pPr>
            <a:endParaRPr lang="en-US"/>
          </a:p>
        </c:txPr>
        <c:crossAx val="212809216"/>
        <c:crosses val="autoZero"/>
        <c:auto val="1"/>
        <c:lblAlgn val="ctr"/>
        <c:lblOffset val="100"/>
        <c:noMultiLvlLbl val="0"/>
      </c:catAx>
      <c:valAx>
        <c:axId val="212809216"/>
        <c:scaling>
          <c:orientation val="minMax"/>
        </c:scaling>
        <c:delete val="0"/>
        <c:axPos val="l"/>
        <c:numFmt formatCode="0.0%" sourceLinked="1"/>
        <c:majorTickMark val="out"/>
        <c:minorTickMark val="none"/>
        <c:tickLblPos val="nextTo"/>
        <c:txPr>
          <a:bodyPr/>
          <a:lstStyle/>
          <a:p>
            <a:pPr>
              <a:defRPr sz="800"/>
            </a:pPr>
            <a:endParaRPr lang="en-US"/>
          </a:p>
        </c:txPr>
        <c:crossAx val="212807680"/>
        <c:crosses val="autoZero"/>
        <c:crossBetween val="between"/>
        <c:majorUnit val="2.0000000000000004E-2"/>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Competition</a:t>
            </a:r>
            <a:r>
              <a:rPr lang="en-AU" sz="1200" baseline="0"/>
              <a:t> for vacancies</a:t>
            </a:r>
            <a:endParaRPr lang="en-AU" sz="1200"/>
          </a:p>
        </c:rich>
      </c:tx>
      <c:layout>
        <c:manualLayout>
          <c:xMode val="edge"/>
          <c:yMode val="edge"/>
          <c:x val="0.2344895690122068"/>
          <c:y val="2.2288261515601784E-2"/>
        </c:manualLayout>
      </c:layout>
      <c:overlay val="0"/>
    </c:title>
    <c:autoTitleDeleted val="0"/>
    <c:plotArea>
      <c:layout>
        <c:manualLayout>
          <c:layoutTarget val="inner"/>
          <c:xMode val="edge"/>
          <c:yMode val="edge"/>
          <c:x val="0.42294055973981515"/>
          <c:y val="0.18322195626509546"/>
          <c:w val="0.48972419548099966"/>
          <c:h val="0.49049859116875094"/>
        </c:manualLayout>
      </c:layout>
      <c:barChart>
        <c:barDir val="bar"/>
        <c:grouping val="clustered"/>
        <c:varyColors val="0"/>
        <c:ser>
          <c:idx val="0"/>
          <c:order val="0"/>
          <c:tx>
            <c:strRef>
              <c:f>Sheet1!$C$14</c:f>
              <c:strCache>
                <c:ptCount val="1"/>
                <c:pt idx="0">
                  <c:v>Avg suitable applicants/vacancy</c:v>
                </c:pt>
              </c:strCache>
            </c:strRef>
          </c:tx>
          <c:spPr>
            <a:solidFill>
              <a:schemeClr val="tx2">
                <a:lumMod val="40000"/>
                <a:lumOff val="60000"/>
              </a:schemeClr>
            </a:solidFill>
            <a:ln>
              <a:solidFill>
                <a:schemeClr val="tx1"/>
              </a:solidFill>
            </a:ln>
          </c:spPr>
          <c:invertIfNegative val="0"/>
          <c:dLbls>
            <c:txPr>
              <a:bodyPr/>
              <a:lstStyle/>
              <a:p>
                <a:pPr>
                  <a:defRPr sz="800"/>
                </a:pPr>
                <a:endParaRPr lang="en-US"/>
              </a:p>
            </c:txPr>
            <c:showLegendKey val="0"/>
            <c:showVal val="1"/>
            <c:showCatName val="0"/>
            <c:showSerName val="0"/>
            <c:showPercent val="0"/>
            <c:showBubbleSize val="0"/>
            <c:showLeaderLines val="0"/>
          </c:dLbls>
          <c:cat>
            <c:strRef>
              <c:f>Sheet1!$B$15:$B$17</c:f>
              <c:strCache>
                <c:ptCount val="3"/>
                <c:pt idx="0">
                  <c:v>All regions surveyed, 12 months to March 2013</c:v>
                </c:pt>
                <c:pt idx="1">
                  <c:v>Cairns PEA 2012</c:v>
                </c:pt>
                <c:pt idx="2">
                  <c:v>Cairns PEA 2013</c:v>
                </c:pt>
              </c:strCache>
            </c:strRef>
          </c:cat>
          <c:val>
            <c:numRef>
              <c:f>Sheet1!$C$15:$C$17</c:f>
              <c:numCache>
                <c:formatCode>0.0</c:formatCode>
                <c:ptCount val="3"/>
                <c:pt idx="0">
                  <c:v>2.4322981366459628</c:v>
                </c:pt>
                <c:pt idx="1">
                  <c:v>3.7307692307692308</c:v>
                </c:pt>
                <c:pt idx="2">
                  <c:v>1.4368932038834954</c:v>
                </c:pt>
              </c:numCache>
            </c:numRef>
          </c:val>
        </c:ser>
        <c:ser>
          <c:idx val="1"/>
          <c:order val="1"/>
          <c:tx>
            <c:strRef>
              <c:f>Sheet1!$D$14</c:f>
              <c:strCache>
                <c:ptCount val="1"/>
                <c:pt idx="0">
                  <c:v>Avg applicants/vacancy</c:v>
                </c:pt>
              </c:strCache>
            </c:strRef>
          </c:tx>
          <c:spPr>
            <a:solidFill>
              <a:schemeClr val="accent2">
                <a:lumMod val="60000"/>
                <a:lumOff val="40000"/>
              </a:schemeClr>
            </a:solidFill>
            <a:ln>
              <a:solidFill>
                <a:schemeClr val="tx1"/>
              </a:solidFill>
            </a:ln>
          </c:spPr>
          <c:invertIfNegative val="0"/>
          <c:dLbls>
            <c:txPr>
              <a:bodyPr/>
              <a:lstStyle/>
              <a:p>
                <a:pPr>
                  <a:defRPr sz="800"/>
                </a:pPr>
                <a:endParaRPr lang="en-US"/>
              </a:p>
            </c:txPr>
            <c:showLegendKey val="0"/>
            <c:showVal val="1"/>
            <c:showCatName val="0"/>
            <c:showSerName val="0"/>
            <c:showPercent val="0"/>
            <c:showBubbleSize val="0"/>
            <c:showLeaderLines val="0"/>
          </c:dLbls>
          <c:cat>
            <c:strRef>
              <c:f>Sheet1!$B$15:$B$17</c:f>
              <c:strCache>
                <c:ptCount val="3"/>
                <c:pt idx="0">
                  <c:v>All regions surveyed, 12 months to March 2013</c:v>
                </c:pt>
                <c:pt idx="1">
                  <c:v>Cairns PEA 2012</c:v>
                </c:pt>
                <c:pt idx="2">
                  <c:v>Cairns PEA 2013</c:v>
                </c:pt>
              </c:strCache>
            </c:strRef>
          </c:cat>
          <c:val>
            <c:numRef>
              <c:f>Sheet1!$D$15:$D$17</c:f>
              <c:numCache>
                <c:formatCode>0.0</c:formatCode>
                <c:ptCount val="3"/>
                <c:pt idx="0">
                  <c:v>8.8473429951690825</c:v>
                </c:pt>
                <c:pt idx="1">
                  <c:v>10.85576923076923</c:v>
                </c:pt>
                <c:pt idx="2">
                  <c:v>9.9546925566343045</c:v>
                </c:pt>
              </c:numCache>
            </c:numRef>
          </c:val>
        </c:ser>
        <c:dLbls>
          <c:showLegendKey val="0"/>
          <c:showVal val="0"/>
          <c:showCatName val="0"/>
          <c:showSerName val="0"/>
          <c:showPercent val="0"/>
          <c:showBubbleSize val="0"/>
        </c:dLbls>
        <c:gapWidth val="150"/>
        <c:axId val="104233984"/>
        <c:axId val="104235776"/>
      </c:barChart>
      <c:catAx>
        <c:axId val="104233984"/>
        <c:scaling>
          <c:orientation val="minMax"/>
        </c:scaling>
        <c:delete val="0"/>
        <c:axPos val="l"/>
        <c:majorTickMark val="out"/>
        <c:minorTickMark val="none"/>
        <c:tickLblPos val="nextTo"/>
        <c:txPr>
          <a:bodyPr/>
          <a:lstStyle/>
          <a:p>
            <a:pPr>
              <a:defRPr sz="800"/>
            </a:pPr>
            <a:endParaRPr lang="en-US"/>
          </a:p>
        </c:txPr>
        <c:crossAx val="104235776"/>
        <c:crosses val="autoZero"/>
        <c:auto val="1"/>
        <c:lblAlgn val="ctr"/>
        <c:lblOffset val="100"/>
        <c:noMultiLvlLbl val="0"/>
      </c:catAx>
      <c:valAx>
        <c:axId val="104235776"/>
        <c:scaling>
          <c:orientation val="minMax"/>
        </c:scaling>
        <c:delete val="0"/>
        <c:axPos val="b"/>
        <c:numFmt formatCode="0.0" sourceLinked="1"/>
        <c:majorTickMark val="out"/>
        <c:minorTickMark val="none"/>
        <c:tickLblPos val="nextTo"/>
        <c:txPr>
          <a:bodyPr/>
          <a:lstStyle/>
          <a:p>
            <a:pPr>
              <a:defRPr sz="800"/>
            </a:pPr>
            <a:endParaRPr lang="en-US"/>
          </a:p>
        </c:txPr>
        <c:crossAx val="104233984"/>
        <c:crosses val="autoZero"/>
        <c:crossBetween val="between"/>
        <c:majorUnit val="5"/>
      </c:valAx>
    </c:plotArea>
    <c:legend>
      <c:legendPos val="b"/>
      <c:layout>
        <c:manualLayout>
          <c:xMode val="edge"/>
          <c:yMode val="edge"/>
          <c:x val="8.328684524190573E-2"/>
          <c:y val="0.80096824913460407"/>
          <c:w val="0.85291663237217297"/>
          <c:h val="0.15778540821601844"/>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CB51C2-D006-4D8F-86E7-B8D128255108}"/>
</file>

<file path=customXml/itemProps2.xml><?xml version="1.0" encoding="utf-8"?>
<ds:datastoreItem xmlns:ds="http://schemas.openxmlformats.org/officeDocument/2006/customXml" ds:itemID="{264C0591-5D5D-4EAA-B51A-810CEAFEEC2A}"/>
</file>

<file path=customXml/itemProps3.xml><?xml version="1.0" encoding="utf-8"?>
<ds:datastoreItem xmlns:ds="http://schemas.openxmlformats.org/officeDocument/2006/customXml" ds:itemID="{7067BF5B-EFF8-4A71-845B-030F01273ABA}"/>
</file>

<file path=customXml/itemProps4.xml><?xml version="1.0" encoding="utf-8"?>
<ds:datastoreItem xmlns:ds="http://schemas.openxmlformats.org/officeDocument/2006/customXml" ds:itemID="{F86554BC-FCE3-4E01-90E5-BE5DB5DD4790}"/>
</file>

<file path=docProps/app.xml><?xml version="1.0" encoding="utf-8"?>
<Properties xmlns="http://schemas.openxmlformats.org/officeDocument/2006/extended-properties" xmlns:vt="http://schemas.openxmlformats.org/officeDocument/2006/docPropsVTypes">
  <Template>B379F3B5.dotm</Template>
  <TotalTime>114</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Thomas</dc:creator>
  <cp:lastModifiedBy>Sebastian Lavers</cp:lastModifiedBy>
  <cp:revision>9</cp:revision>
  <cp:lastPrinted>2013-10-22T22:56:00Z</cp:lastPrinted>
  <dcterms:created xsi:type="dcterms:W3CDTF">2013-10-21T22:33:00Z</dcterms:created>
  <dcterms:modified xsi:type="dcterms:W3CDTF">2013-11-05T03:26:00Z</dcterms:modified>
</cp:coreProperties>
</file>