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t>Slide 1</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8.8pt;height:202.5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57932602" r:id="rId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val="en-US" w:eastAsia="en-AU"/>
        </w:rPr>
      </w:pPr>
      <w:r w:rsidRPr="00430243">
        <w:rPr>
          <w:rFonts w:asciiTheme="minorHAnsi" w:hAnsiTheme="minorHAnsi" w:cstheme="minorHAnsi"/>
          <w:b/>
          <w:bCs/>
          <w:kern w:val="24"/>
          <w:sz w:val="24"/>
          <w:szCs w:val="24"/>
          <w:u w:val="single"/>
          <w:lang w:eastAsia="en-AU"/>
        </w:rPr>
        <w:t>Overview of the South Eastern Melbourne Priority Employment Area</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val="en-US" w:eastAsia="en-AU"/>
        </w:rPr>
        <w:t>Presenter: Ivan Neville, Branch Manager, Labour Market Research and Analysis Branch</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30" type="#_x0000_t75" style="width:268.8pt;height:202.5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57932603" r:id="rId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u w:val="single"/>
          <w:lang w:eastAsia="en-AU"/>
        </w:rPr>
      </w:pPr>
      <w:r w:rsidRPr="00430243">
        <w:rPr>
          <w:rFonts w:asciiTheme="minorHAnsi" w:hAnsiTheme="minorHAnsi" w:cstheme="minorHAnsi"/>
          <w:b/>
          <w:bCs/>
          <w:kern w:val="24"/>
          <w:sz w:val="24"/>
          <w:szCs w:val="24"/>
          <w:u w:val="single"/>
          <w:lang w:eastAsia="en-AU"/>
        </w:rPr>
        <w:t xml:space="preserve">Map of South Eastern Melbourne </w:t>
      </w:r>
      <w:r w:rsidRPr="00430243">
        <w:rPr>
          <w:rFonts w:asciiTheme="minorHAnsi" w:hAnsiTheme="minorHAnsi" w:cstheme="minorHAnsi"/>
          <w:b/>
          <w:bCs/>
          <w:kern w:val="24"/>
          <w:sz w:val="24"/>
          <w:szCs w:val="24"/>
          <w:u w:val="single"/>
          <w:lang w:val="en-US" w:eastAsia="en-AU"/>
        </w:rPr>
        <w:t>Priority Employment Area</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val="en-US" w:eastAsia="en-AU"/>
        </w:rPr>
        <w:t>A survey of Employers’ Recruitment Experiences</w:t>
      </w:r>
      <w:r w:rsidRPr="00430243">
        <w:rPr>
          <w:rFonts w:asciiTheme="minorHAnsi" w:hAnsiTheme="minorHAnsi" w:cstheme="minorHAnsi"/>
          <w:kern w:val="24"/>
          <w:sz w:val="24"/>
          <w:szCs w:val="24"/>
          <w:lang w:eastAsia="en-AU"/>
        </w:rPr>
        <w:t xml:space="preserve"> in the South Eastern Melbourne </w:t>
      </w:r>
      <w:r w:rsidRPr="00430243">
        <w:rPr>
          <w:rFonts w:asciiTheme="minorHAnsi" w:hAnsiTheme="minorHAnsi" w:cstheme="minorHAnsi"/>
          <w:kern w:val="24"/>
          <w:sz w:val="24"/>
          <w:szCs w:val="24"/>
          <w:lang w:val="en-US" w:eastAsia="en-AU"/>
        </w:rPr>
        <w:t xml:space="preserve">Priority Employment Area (PEA) </w:t>
      </w:r>
      <w:r w:rsidRPr="00430243">
        <w:rPr>
          <w:rFonts w:asciiTheme="minorHAnsi" w:hAnsiTheme="minorHAnsi" w:cstheme="minorHAnsi"/>
          <w:kern w:val="24"/>
          <w:sz w:val="24"/>
          <w:szCs w:val="24"/>
          <w:lang w:eastAsia="en-AU"/>
        </w:rPr>
        <w:t xml:space="preserve">was conducted in August 2013. </w:t>
      </w:r>
      <w:r w:rsidRPr="00430243">
        <w:rPr>
          <w:rFonts w:asciiTheme="minorHAnsi" w:hAnsiTheme="minorHAnsi" w:cstheme="minorHAnsi"/>
          <w:kern w:val="24"/>
          <w:sz w:val="24"/>
          <w:szCs w:val="24"/>
          <w:lang w:eastAsia="en-AU"/>
        </w:rPr>
        <w:br/>
        <w:t>  </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Local Government Areas (LGAs)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South Eastern Melbourne PEA comprises the five LGAs of Cardinia, Casey, Greater Dandenong, Frankston and Kingston.</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Labour Force Regions (</w:t>
      </w:r>
      <w:proofErr w:type="spellStart"/>
      <w:r w:rsidRPr="00430243">
        <w:rPr>
          <w:rFonts w:asciiTheme="minorHAnsi" w:hAnsiTheme="minorHAnsi" w:cstheme="minorHAnsi"/>
          <w:b/>
          <w:bCs/>
          <w:kern w:val="24"/>
          <w:sz w:val="24"/>
          <w:szCs w:val="24"/>
          <w:lang w:eastAsia="en-AU"/>
        </w:rPr>
        <w:t>LFRs</w:t>
      </w:r>
      <w:proofErr w:type="spellEnd"/>
      <w:r w:rsidRPr="00430243">
        <w:rPr>
          <w:rFonts w:asciiTheme="minorHAnsi" w:hAnsiTheme="minorHAnsi" w:cstheme="minorHAnsi"/>
          <w:b/>
          <w:bCs/>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PEA comprises:</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100</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the South Eastern Melbourne LFR</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48</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the Mornington Peninsula</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35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the Southern Melbourne LFR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3</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35" type="#_x0000_t75" style="width:268.8pt;height:202.5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57932604" r:id="rId1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Snapshot of the South Eastern Melbourne PEA</w:t>
      </w:r>
    </w:p>
    <w:p w:rsidR="00430243" w:rsidRPr="00430243" w:rsidRDefault="00430243" w:rsidP="00430243">
      <w:pPr>
        <w:autoSpaceDE w:val="0"/>
        <w:autoSpaceDN w:val="0"/>
        <w:adjustRightInd w:val="0"/>
        <w:jc w:val="both"/>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ABS, Census of Population and Housing, 2011; ABS Labour Force, February 2014; Department of Employment, Small Area Labour Markets, December Quarter 2013; Department of Human Services administrative data (Department of Social Services Extract), December 2013; ABS, Estimated Resident Population, 2012</w:t>
      </w:r>
    </w:p>
    <w:p w:rsidR="00430243" w:rsidRPr="00430243" w:rsidRDefault="00430243" w:rsidP="00430243">
      <w:pPr>
        <w:autoSpaceDE w:val="0"/>
        <w:autoSpaceDN w:val="0"/>
        <w:adjustRightInd w:val="0"/>
        <w:jc w:val="both"/>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jc w:val="both"/>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Labour market conditions in the South Eastern Melbourne PEA are subdued, as indicated by a high unemployment rate (7.0</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compared with Victoria (6.4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A number of characteristics of the </w:t>
      </w:r>
      <w:proofErr w:type="spellStart"/>
      <w:r w:rsidRPr="00430243">
        <w:rPr>
          <w:rFonts w:asciiTheme="minorHAnsi" w:hAnsiTheme="minorHAnsi" w:cstheme="minorHAnsi"/>
          <w:kern w:val="24"/>
          <w:sz w:val="24"/>
          <w:szCs w:val="24"/>
          <w:lang w:eastAsia="en-AU"/>
        </w:rPr>
        <w:t>PEA’s</w:t>
      </w:r>
      <w:proofErr w:type="spellEnd"/>
      <w:r w:rsidRPr="00430243">
        <w:rPr>
          <w:rFonts w:asciiTheme="minorHAnsi" w:hAnsiTheme="minorHAnsi" w:cstheme="minorHAnsi"/>
          <w:kern w:val="24"/>
          <w:sz w:val="24"/>
          <w:szCs w:val="24"/>
          <w:lang w:eastAsia="en-AU"/>
        </w:rPr>
        <w:t xml:space="preserve"> Working Age Population suggest its population is more disadvantaged in the labour market compared with Victoria overall. </w:t>
      </w:r>
    </w:p>
    <w:p w:rsidR="00430243" w:rsidRPr="00430243" w:rsidRDefault="00430243" w:rsidP="00430243">
      <w:pPr>
        <w:autoSpaceDE w:val="0"/>
        <w:autoSpaceDN w:val="0"/>
        <w:adjustRightInd w:val="0"/>
        <w:ind w:left="270" w:hanging="270"/>
        <w:jc w:val="both"/>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ind w:left="270" w:hanging="270"/>
        <w:jc w:val="both"/>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ind w:left="270" w:hanging="270"/>
        <w:jc w:val="both"/>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4</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40" type="#_x0000_t75" style="width:268.8pt;height:202.5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57932605" r:id="rId13"/>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u w:val="single"/>
          <w:lang w:eastAsia="en-AU"/>
        </w:rPr>
      </w:pPr>
      <w:r w:rsidRPr="00430243">
        <w:rPr>
          <w:rFonts w:asciiTheme="minorHAnsi" w:hAnsiTheme="minorHAnsi" w:cstheme="minorHAnsi"/>
          <w:b/>
          <w:bCs/>
          <w:kern w:val="24"/>
          <w:sz w:val="24"/>
          <w:szCs w:val="24"/>
          <w:u w:val="single"/>
          <w:lang w:eastAsia="en-AU"/>
        </w:rPr>
        <w:t xml:space="preserve">Profile of the South Eastern Melbourne </w:t>
      </w:r>
      <w:r w:rsidRPr="00430243">
        <w:rPr>
          <w:rFonts w:asciiTheme="minorHAnsi" w:hAnsiTheme="minorHAnsi" w:cstheme="minorHAnsi"/>
          <w:b/>
          <w:bCs/>
          <w:kern w:val="24"/>
          <w:sz w:val="24"/>
          <w:szCs w:val="24"/>
          <w:u w:val="single"/>
          <w:lang w:val="en-US" w:eastAsia="en-AU"/>
        </w:rPr>
        <w:t>PEA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ABS, Census of Population and Housing, 2006 and 2011</w:t>
      </w:r>
    </w:p>
    <w:p w:rsidR="00430243" w:rsidRPr="00430243" w:rsidRDefault="00430243" w:rsidP="00430243">
      <w:pPr>
        <w:autoSpaceDE w:val="0"/>
        <w:autoSpaceDN w:val="0"/>
        <w:adjustRightInd w:val="0"/>
        <w:rPr>
          <w:rFonts w:asciiTheme="minorHAnsi" w:hAnsiTheme="minorHAnsi" w:cstheme="minorHAnsi"/>
          <w:kern w:val="24"/>
          <w:sz w:val="24"/>
          <w:szCs w:val="24"/>
          <w:lang w:val="en-US" w:eastAsia="en-AU"/>
        </w:rPr>
      </w:pPr>
      <w:r w:rsidRPr="00430243">
        <w:rPr>
          <w:rFonts w:asciiTheme="minorHAnsi" w:hAnsiTheme="minorHAnsi" w:cstheme="minorHAnsi"/>
          <w:kern w:val="24"/>
          <w:sz w:val="24"/>
          <w:szCs w:val="24"/>
          <w:lang w:val="en-US" w:eastAsia="en-AU"/>
        </w:rPr>
        <w:t> </w:t>
      </w:r>
    </w:p>
    <w:p w:rsidR="00430243" w:rsidRPr="00430243" w:rsidRDefault="00430243" w:rsidP="00430243">
      <w:pPr>
        <w:autoSpaceDE w:val="0"/>
        <w:autoSpaceDN w:val="0"/>
        <w:adjustRightInd w:val="0"/>
        <w:rPr>
          <w:rFonts w:asciiTheme="minorHAnsi" w:hAnsiTheme="minorHAnsi" w:cstheme="minorHAnsi"/>
          <w:kern w:val="24"/>
          <w:sz w:val="24"/>
          <w:szCs w:val="24"/>
          <w:lang w:val="en-US" w:eastAsia="en-AU"/>
        </w:rPr>
      </w:pPr>
      <w:r w:rsidRPr="00430243">
        <w:rPr>
          <w:rFonts w:asciiTheme="minorHAnsi" w:hAnsiTheme="minorHAnsi" w:cstheme="minorHAnsi"/>
          <w:kern w:val="24"/>
          <w:sz w:val="24"/>
          <w:szCs w:val="24"/>
          <w:lang w:val="en-US" w:eastAsia="en-AU"/>
        </w:rPr>
        <w:t xml:space="preserve">The adult population (15+ years) in the South Eastern Melbourne PEA has grown by a greater proportion from 2006 to 2011 compared with Victoria and Australia. The </w:t>
      </w:r>
      <w:proofErr w:type="spellStart"/>
      <w:r w:rsidRPr="00430243">
        <w:rPr>
          <w:rFonts w:asciiTheme="minorHAnsi" w:hAnsiTheme="minorHAnsi" w:cstheme="minorHAnsi"/>
          <w:kern w:val="24"/>
          <w:sz w:val="24"/>
          <w:szCs w:val="24"/>
          <w:lang w:val="en-US" w:eastAsia="en-AU"/>
        </w:rPr>
        <w:t>Cardinia</w:t>
      </w:r>
      <w:proofErr w:type="spellEnd"/>
      <w:r w:rsidRPr="00430243">
        <w:rPr>
          <w:rFonts w:asciiTheme="minorHAnsi" w:hAnsiTheme="minorHAnsi" w:cstheme="minorHAnsi"/>
          <w:kern w:val="24"/>
          <w:sz w:val="24"/>
          <w:szCs w:val="24"/>
          <w:lang w:val="en-US" w:eastAsia="en-AU"/>
        </w:rPr>
        <w:t xml:space="preserve"> LGA grew the most (32</w:t>
      </w:r>
      <w:r>
        <w:rPr>
          <w:rFonts w:asciiTheme="minorHAnsi" w:hAnsiTheme="minorHAnsi" w:cstheme="minorHAnsi"/>
          <w:kern w:val="24"/>
          <w:sz w:val="24"/>
          <w:szCs w:val="24"/>
          <w:lang w:val="en-US" w:eastAsia="en-AU"/>
        </w:rPr>
        <w:t> per cent</w:t>
      </w:r>
      <w:r w:rsidRPr="00430243">
        <w:rPr>
          <w:rFonts w:asciiTheme="minorHAnsi" w:hAnsiTheme="minorHAnsi" w:cstheme="minorHAnsi"/>
          <w:kern w:val="24"/>
          <w:sz w:val="24"/>
          <w:szCs w:val="24"/>
          <w:lang w:val="en-US" w:eastAsia="en-AU"/>
        </w:rPr>
        <w:t>), followed by the Casey LGA (19</w:t>
      </w:r>
      <w:r>
        <w:rPr>
          <w:rFonts w:asciiTheme="minorHAnsi" w:hAnsiTheme="minorHAnsi" w:cstheme="minorHAnsi"/>
          <w:kern w:val="24"/>
          <w:sz w:val="24"/>
          <w:szCs w:val="24"/>
          <w:lang w:val="en-US" w:eastAsia="en-AU"/>
        </w:rPr>
        <w:t> per cent</w:t>
      </w:r>
      <w:r w:rsidRPr="00430243">
        <w:rPr>
          <w:rFonts w:asciiTheme="minorHAnsi" w:hAnsiTheme="minorHAnsi" w:cstheme="minorHAnsi"/>
          <w:kern w:val="24"/>
          <w:sz w:val="24"/>
          <w:szCs w:val="24"/>
          <w:lang w:val="en-US" w:eastAsia="en-AU"/>
        </w:rPr>
        <w:t>).</w:t>
      </w:r>
    </w:p>
    <w:p w:rsidR="00430243" w:rsidRPr="00430243" w:rsidRDefault="00430243" w:rsidP="00430243">
      <w:pPr>
        <w:autoSpaceDE w:val="0"/>
        <w:autoSpaceDN w:val="0"/>
        <w:adjustRightInd w:val="0"/>
        <w:rPr>
          <w:rFonts w:asciiTheme="minorHAnsi" w:hAnsiTheme="minorHAnsi" w:cstheme="minorHAnsi"/>
          <w:kern w:val="24"/>
          <w:sz w:val="24"/>
          <w:szCs w:val="24"/>
          <w:lang w:val="en-US"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val="en-US" w:eastAsia="en-AU"/>
        </w:rPr>
      </w:pPr>
      <w:r w:rsidRPr="00430243">
        <w:rPr>
          <w:rFonts w:asciiTheme="minorHAnsi" w:hAnsiTheme="minorHAnsi" w:cstheme="minorHAnsi"/>
          <w:kern w:val="24"/>
          <w:sz w:val="24"/>
          <w:szCs w:val="24"/>
          <w:lang w:val="en-US" w:eastAsia="en-AU"/>
        </w:rPr>
        <w:t xml:space="preserve">Within the PEA, the Greater </w:t>
      </w:r>
      <w:proofErr w:type="spellStart"/>
      <w:r w:rsidRPr="00430243">
        <w:rPr>
          <w:rFonts w:asciiTheme="minorHAnsi" w:hAnsiTheme="minorHAnsi" w:cstheme="minorHAnsi"/>
          <w:kern w:val="24"/>
          <w:sz w:val="24"/>
          <w:szCs w:val="24"/>
          <w:lang w:val="en-US" w:eastAsia="en-AU"/>
        </w:rPr>
        <w:t>Dandenong</w:t>
      </w:r>
      <w:proofErr w:type="spellEnd"/>
      <w:r w:rsidRPr="00430243">
        <w:rPr>
          <w:rFonts w:asciiTheme="minorHAnsi" w:hAnsiTheme="minorHAnsi" w:cstheme="minorHAnsi"/>
          <w:kern w:val="24"/>
          <w:sz w:val="24"/>
          <w:szCs w:val="24"/>
          <w:lang w:val="en-US" w:eastAsia="en-AU"/>
        </w:rPr>
        <w:t xml:space="preserve"> LGA had the largest proportion of its Working Age Population born in an Other Than Main English Speaking Country (OTMESC) (64</w:t>
      </w:r>
      <w:r>
        <w:rPr>
          <w:rFonts w:asciiTheme="minorHAnsi" w:hAnsiTheme="minorHAnsi" w:cstheme="minorHAnsi"/>
          <w:kern w:val="24"/>
          <w:sz w:val="24"/>
          <w:szCs w:val="24"/>
          <w:lang w:val="en-US" w:eastAsia="en-AU"/>
        </w:rPr>
        <w:t> per cent</w:t>
      </w:r>
      <w:r w:rsidRPr="00430243">
        <w:rPr>
          <w:rFonts w:asciiTheme="minorHAnsi" w:hAnsiTheme="minorHAnsi" w:cstheme="minorHAnsi"/>
          <w:kern w:val="24"/>
          <w:sz w:val="24"/>
          <w:szCs w:val="24"/>
          <w:lang w:val="en-US" w:eastAsia="en-AU"/>
        </w:rPr>
        <w:t>), followed by the Casey LGA (33</w:t>
      </w:r>
      <w:r>
        <w:rPr>
          <w:rFonts w:asciiTheme="minorHAnsi" w:hAnsiTheme="minorHAnsi" w:cstheme="minorHAnsi"/>
          <w:kern w:val="24"/>
          <w:sz w:val="24"/>
          <w:szCs w:val="24"/>
          <w:lang w:val="en-US" w:eastAsia="en-AU"/>
        </w:rPr>
        <w:t> per cent</w:t>
      </w:r>
      <w:r w:rsidRPr="00430243">
        <w:rPr>
          <w:rFonts w:asciiTheme="minorHAnsi" w:hAnsiTheme="minorHAnsi" w:cstheme="minorHAnsi"/>
          <w:kern w:val="24"/>
          <w:sz w:val="24"/>
          <w:szCs w:val="24"/>
          <w:lang w:val="en-US" w:eastAsia="en-AU"/>
        </w:rPr>
        <w:t>). Both these proportions were well above the state and national proportions (23</w:t>
      </w:r>
      <w:r>
        <w:rPr>
          <w:rFonts w:asciiTheme="minorHAnsi" w:hAnsiTheme="minorHAnsi" w:cstheme="minorHAnsi"/>
          <w:kern w:val="24"/>
          <w:sz w:val="24"/>
          <w:szCs w:val="24"/>
          <w:lang w:val="en-US" w:eastAsia="en-AU"/>
        </w:rPr>
        <w:t> per cent</w:t>
      </w:r>
      <w:r w:rsidRPr="00430243">
        <w:rPr>
          <w:rFonts w:asciiTheme="minorHAnsi" w:hAnsiTheme="minorHAnsi" w:cstheme="minorHAnsi"/>
          <w:kern w:val="24"/>
          <w:sz w:val="24"/>
          <w:szCs w:val="24"/>
          <w:lang w:val="en-US" w:eastAsia="en-AU"/>
        </w:rPr>
        <w:t xml:space="preserve"> and 19</w:t>
      </w:r>
      <w:r>
        <w:rPr>
          <w:rFonts w:asciiTheme="minorHAnsi" w:hAnsiTheme="minorHAnsi" w:cstheme="minorHAnsi"/>
          <w:kern w:val="24"/>
          <w:sz w:val="24"/>
          <w:szCs w:val="24"/>
          <w:lang w:val="en-US" w:eastAsia="en-AU"/>
        </w:rPr>
        <w:t> per cent</w:t>
      </w:r>
      <w:r w:rsidRPr="00430243">
        <w:rPr>
          <w:rFonts w:asciiTheme="minorHAnsi" w:hAnsiTheme="minorHAnsi" w:cstheme="minorHAnsi"/>
          <w:kern w:val="24"/>
          <w:sz w:val="24"/>
          <w:szCs w:val="24"/>
          <w:lang w:val="en-US" w:eastAsia="en-AU"/>
        </w:rPr>
        <w:t xml:space="preserve"> respectively). </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5</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45" type="#_x0000_t75" style="width:268.8pt;height:202.5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57932606" r:id="rId15"/>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Variable labour market conditions across the PEA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w:t>
      </w:r>
      <w:r w:rsidRPr="00430243">
        <w:rPr>
          <w:rFonts w:asciiTheme="minorHAnsi" w:hAnsiTheme="minorHAnsi" w:cstheme="minorHAnsi"/>
          <w:kern w:val="24"/>
          <w:sz w:val="24"/>
          <w:szCs w:val="24"/>
          <w:lang w:eastAsia="en-AU"/>
        </w:rPr>
        <w:t xml:space="preserve"> </w:t>
      </w:r>
      <w:r w:rsidRPr="00430243">
        <w:rPr>
          <w:rFonts w:asciiTheme="minorHAnsi" w:hAnsiTheme="minorHAnsi" w:cstheme="minorHAnsi"/>
          <w:i/>
          <w:iCs/>
          <w:kern w:val="24"/>
          <w:sz w:val="24"/>
          <w:szCs w:val="24"/>
          <w:lang w:eastAsia="en-AU"/>
        </w:rPr>
        <w:t xml:space="preserve">Department of Employment Small Area Labour Markets, December 2013 (smoothed); ABS Labour Force, February 2014 (seasonally adjusted); ABS, Census of Population and Housing, 2011 </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South Eastern Melbourne PEA unemployment rate has increased by 0.3 percentage points, lower compared with Victoria (0.9 percentage points).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Within the PEA, high unemployment rates were experienced by the Greater Dandenong (9.1</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Kingston (7.4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and Frankston (7.3</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LGAs. From December 2012 to December 2013, the Frankston LGA experienced the largest percentage point increase in unemployment rate (0.7</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6</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50" type="#_x0000_t75" style="width:268.8pt;height:202.5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57932607" r:id="rId1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Decrease in male full-time employment (2008-2013) – South Eastern Melbourne LFR</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w:t>
      </w:r>
      <w:r w:rsidRPr="00430243">
        <w:rPr>
          <w:rFonts w:asciiTheme="minorHAnsi" w:hAnsiTheme="minorHAnsi" w:cstheme="minorHAnsi"/>
          <w:kern w:val="24"/>
          <w:sz w:val="24"/>
          <w:szCs w:val="24"/>
          <w:lang w:eastAsia="en-AU"/>
        </w:rPr>
        <w:t xml:space="preserve"> </w:t>
      </w:r>
      <w:r w:rsidRPr="00430243">
        <w:rPr>
          <w:rFonts w:asciiTheme="minorHAnsi" w:hAnsiTheme="minorHAnsi" w:cstheme="minorHAnsi"/>
          <w:i/>
          <w:iCs/>
          <w:kern w:val="24"/>
          <w:sz w:val="24"/>
          <w:szCs w:val="24"/>
          <w:lang w:eastAsia="en-AU"/>
        </w:rPr>
        <w:t>ABS, Labour Force Survey, December 2013, 12 month averages of original data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In the South Eastern Melbourne LFR, the number of males employed full-time decreased by 770 from 2008 to 2013. However, the number employed part-time increased by 2490.</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The change in the total number of females employed increased by 9060, much higher compared with the increase in the number of employed males (1720).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7</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55" type="#_x0000_t75" style="width:268.8pt;height:202.5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57932608" r:id="rId1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Increase in male full-time unemployment (2008-2013) – South Eastern Melbourne LFR</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w:t>
      </w:r>
      <w:r w:rsidRPr="00430243">
        <w:rPr>
          <w:rFonts w:asciiTheme="minorHAnsi" w:hAnsiTheme="minorHAnsi" w:cstheme="minorHAnsi"/>
          <w:kern w:val="24"/>
          <w:sz w:val="24"/>
          <w:szCs w:val="24"/>
          <w:lang w:eastAsia="en-AU"/>
        </w:rPr>
        <w:t xml:space="preserve"> </w:t>
      </w:r>
      <w:r w:rsidRPr="00430243">
        <w:rPr>
          <w:rFonts w:asciiTheme="minorHAnsi" w:hAnsiTheme="minorHAnsi" w:cstheme="minorHAnsi"/>
          <w:i/>
          <w:iCs/>
          <w:kern w:val="24"/>
          <w:sz w:val="24"/>
          <w:szCs w:val="24"/>
          <w:lang w:eastAsia="en-AU"/>
        </w:rPr>
        <w:t>ABS, Labour Force Survey, December 2013, 12 month averages of original data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The number of </w:t>
      </w:r>
      <w:proofErr w:type="gramStart"/>
      <w:r w:rsidRPr="00430243">
        <w:rPr>
          <w:rFonts w:asciiTheme="minorHAnsi" w:hAnsiTheme="minorHAnsi" w:cstheme="minorHAnsi"/>
          <w:kern w:val="24"/>
          <w:sz w:val="24"/>
          <w:szCs w:val="24"/>
          <w:lang w:eastAsia="en-AU"/>
        </w:rPr>
        <w:t>males</w:t>
      </w:r>
      <w:proofErr w:type="gramEnd"/>
      <w:r w:rsidRPr="00430243">
        <w:rPr>
          <w:rFonts w:asciiTheme="minorHAnsi" w:hAnsiTheme="minorHAnsi" w:cstheme="minorHAnsi"/>
          <w:kern w:val="24"/>
          <w:sz w:val="24"/>
          <w:szCs w:val="24"/>
          <w:lang w:eastAsia="en-AU"/>
        </w:rPr>
        <w:t xml:space="preserve"> unemployed increased by 3,300 from 2008 to 2013 in the South Eastern Melbourne LFR. The number of women unemployed decreased by 80 from 2008 to 2013. </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8</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60" type="#_x0000_t75" style="width:268.8pt;height:202.5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57932609" r:id="rId2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Duration of unemployment by age group - Victoria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w:t>
      </w:r>
      <w:r w:rsidRPr="00430243">
        <w:rPr>
          <w:rFonts w:asciiTheme="minorHAnsi" w:hAnsiTheme="minorHAnsi" w:cstheme="minorHAnsi"/>
          <w:kern w:val="24"/>
          <w:sz w:val="24"/>
          <w:szCs w:val="24"/>
          <w:lang w:eastAsia="en-AU"/>
        </w:rPr>
        <w:t xml:space="preserve"> </w:t>
      </w:r>
      <w:r w:rsidRPr="00430243">
        <w:rPr>
          <w:rFonts w:asciiTheme="minorHAnsi" w:hAnsiTheme="minorHAnsi" w:cstheme="minorHAnsi"/>
          <w:i/>
          <w:iCs/>
          <w:kern w:val="24"/>
          <w:sz w:val="24"/>
          <w:szCs w:val="24"/>
          <w:lang w:eastAsia="en-AU"/>
        </w:rPr>
        <w:t>ABS, Labour Force Survey, February 2014, 12 month averages of original data</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While the unemployment rate for persons aged 45 years and over is lower compared with 15 to 44 year olds, the average duration of unemployment is far greater. This highlights the difficulty that mature age job seekers have re-entering the workforce.</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9</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65" type="#_x0000_t75" style="width:268.8pt;height:202.5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57932610" r:id="rId23"/>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Proportion of employed persons aged 45 and over, 1991 and 2011</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w:t>
      </w:r>
      <w:r w:rsidRPr="00430243">
        <w:rPr>
          <w:rFonts w:asciiTheme="minorHAnsi" w:hAnsiTheme="minorHAnsi" w:cstheme="minorHAnsi"/>
          <w:kern w:val="24"/>
          <w:sz w:val="24"/>
          <w:szCs w:val="24"/>
          <w:lang w:eastAsia="en-AU"/>
        </w:rPr>
        <w:t xml:space="preserve"> </w:t>
      </w:r>
      <w:r w:rsidRPr="00430243">
        <w:rPr>
          <w:rFonts w:asciiTheme="minorHAnsi" w:hAnsiTheme="minorHAnsi" w:cstheme="minorHAnsi"/>
          <w:i/>
          <w:iCs/>
          <w:kern w:val="24"/>
          <w:sz w:val="24"/>
          <w:szCs w:val="24"/>
          <w:lang w:eastAsia="en-AU"/>
        </w:rPr>
        <w:t>ABS, Census of Population and Housing, 1991 and 2011</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From 1991 to 2011, the proportion of workers aged 45 years and over increased dramatically.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In 1991, 25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workers were aged 45 years and over in the South Eastern Melbourne PEA. Twenty years later in 2011, 37</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workers in the region were mature age.</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10</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70" type="#_x0000_t75" style="width:268.8pt;height:202.5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57932611" r:id="rId25"/>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b/>
          <w:bCs/>
          <w:kern w:val="24"/>
          <w:sz w:val="24"/>
          <w:szCs w:val="24"/>
          <w:u w:val="single"/>
          <w:lang w:eastAsia="en-AU"/>
        </w:rPr>
        <w:t xml:space="preserve">Participation rate rising for mature aged - </w:t>
      </w:r>
      <w:r w:rsidRPr="00430243">
        <w:rPr>
          <w:rFonts w:asciiTheme="minorHAnsi" w:hAnsiTheme="minorHAnsi" w:cstheme="minorHAnsi"/>
          <w:b/>
          <w:bCs/>
          <w:sz w:val="24"/>
          <w:szCs w:val="24"/>
          <w:u w:val="single"/>
          <w:lang w:eastAsia="en-AU"/>
        </w:rPr>
        <w:t>South Eastern Melbourne PEA, 1991 and 2011</w:t>
      </w:r>
      <w:r w:rsidRPr="00430243">
        <w:rPr>
          <w:rFonts w:asciiTheme="minorHAnsi" w:hAnsiTheme="minorHAnsi" w:cstheme="minorHAnsi"/>
          <w:b/>
          <w:bCs/>
          <w:sz w:val="24"/>
          <w:szCs w:val="24"/>
          <w:u w:val="single"/>
          <w:lang w:eastAsia="en-AU"/>
        </w:rPr>
        <w:br/>
      </w:r>
      <w:r w:rsidRPr="00430243">
        <w:rPr>
          <w:rFonts w:asciiTheme="minorHAnsi" w:hAnsiTheme="minorHAnsi" w:cstheme="minorHAnsi"/>
          <w:i/>
          <w:iCs/>
          <w:kern w:val="24"/>
          <w:sz w:val="24"/>
          <w:szCs w:val="24"/>
          <w:lang w:eastAsia="en-AU"/>
        </w:rPr>
        <w:t>Source: ABS, Census o</w:t>
      </w:r>
      <w:r>
        <w:rPr>
          <w:rFonts w:asciiTheme="minorHAnsi" w:hAnsiTheme="minorHAnsi" w:cstheme="minorHAnsi"/>
          <w:i/>
          <w:iCs/>
          <w:kern w:val="24"/>
          <w:sz w:val="24"/>
          <w:szCs w:val="24"/>
          <w:lang w:eastAsia="en-AU"/>
        </w:rPr>
        <w:t xml:space="preserve">f Population and Housing, 1991 </w:t>
      </w:r>
      <w:bookmarkStart w:id="0" w:name="_GoBack"/>
      <w:bookmarkEnd w:id="0"/>
      <w:r w:rsidRPr="00430243">
        <w:rPr>
          <w:rFonts w:asciiTheme="minorHAnsi" w:hAnsiTheme="minorHAnsi" w:cstheme="minorHAnsi"/>
          <w:i/>
          <w:iCs/>
          <w:kern w:val="24"/>
          <w:sz w:val="24"/>
          <w:szCs w:val="24"/>
          <w:lang w:eastAsia="en-AU"/>
        </w:rPr>
        <w:t>and 2011</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From 1991 to 2011, labour market participation increased the most for workers aged 55 years and over.</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11</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75" type="#_x0000_t75" style="width:268.8pt;height:202.5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57932612" r:id="rId2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b/>
          <w:bCs/>
          <w:kern w:val="24"/>
          <w:sz w:val="24"/>
          <w:szCs w:val="24"/>
          <w:u w:val="single"/>
          <w:lang w:eastAsia="en-AU"/>
        </w:rPr>
        <w:t xml:space="preserve">Proportion of mature workers by industry - </w:t>
      </w:r>
      <w:r w:rsidRPr="00430243">
        <w:rPr>
          <w:rFonts w:asciiTheme="minorHAnsi" w:hAnsiTheme="minorHAnsi" w:cstheme="minorHAnsi"/>
          <w:b/>
          <w:bCs/>
          <w:sz w:val="24"/>
          <w:szCs w:val="24"/>
          <w:u w:val="single"/>
          <w:lang w:eastAsia="en-AU"/>
        </w:rPr>
        <w:t>South Eastern Melbourne PEA</w:t>
      </w:r>
      <w:r w:rsidRPr="00430243">
        <w:rPr>
          <w:rFonts w:asciiTheme="minorHAnsi" w:hAnsiTheme="minorHAnsi" w:cstheme="minorHAnsi"/>
          <w:b/>
          <w:bCs/>
          <w:sz w:val="24"/>
          <w:szCs w:val="24"/>
          <w:u w:val="single"/>
          <w:lang w:eastAsia="en-AU"/>
        </w:rPr>
        <w:br/>
      </w:r>
      <w:r w:rsidRPr="00430243">
        <w:rPr>
          <w:rFonts w:asciiTheme="minorHAnsi" w:hAnsiTheme="minorHAnsi" w:cstheme="minorHAnsi"/>
          <w:i/>
          <w:iCs/>
          <w:kern w:val="24"/>
          <w:sz w:val="24"/>
          <w:szCs w:val="24"/>
          <w:lang w:eastAsia="en-AU"/>
        </w:rPr>
        <w:t>Source: ABS, Census of Population and Housing, 2011</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Of the largest employing industries in the South Eastern Melbourne PEA, those with the largest proportions of mature aged workers included the Education and Training</w:t>
      </w:r>
      <w:proofErr w:type="gramStart"/>
      <w:r w:rsidRPr="00430243">
        <w:rPr>
          <w:rFonts w:asciiTheme="minorHAnsi" w:hAnsiTheme="minorHAnsi" w:cstheme="minorHAnsi"/>
          <w:kern w:val="24"/>
          <w:sz w:val="24"/>
          <w:szCs w:val="24"/>
          <w:lang w:eastAsia="en-AU"/>
        </w:rPr>
        <w:t>,  Health</w:t>
      </w:r>
      <w:proofErr w:type="gramEnd"/>
      <w:r w:rsidRPr="00430243">
        <w:rPr>
          <w:rFonts w:asciiTheme="minorHAnsi" w:hAnsiTheme="minorHAnsi" w:cstheme="minorHAnsi"/>
          <w:kern w:val="24"/>
          <w:sz w:val="24"/>
          <w:szCs w:val="24"/>
          <w:lang w:eastAsia="en-AU"/>
        </w:rPr>
        <w:t xml:space="preserve"> Care and Social Assistance and Manufacturing industries.</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12</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80" type="#_x0000_t75" style="width:268.8pt;height:202.5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57932613" r:id="rId2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Higher rates of income support in the Greater Dandenong and Frankston LGAs</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 xml:space="preserve">Source: </w:t>
      </w:r>
      <w:proofErr w:type="gramStart"/>
      <w:r w:rsidRPr="00430243">
        <w:rPr>
          <w:rFonts w:asciiTheme="minorHAnsi" w:hAnsiTheme="minorHAnsi" w:cstheme="minorHAnsi"/>
          <w:i/>
          <w:iCs/>
          <w:kern w:val="24"/>
          <w:sz w:val="24"/>
          <w:szCs w:val="24"/>
          <w:lang w:eastAsia="en-AU"/>
        </w:rPr>
        <w:t>Department of Human Services</w:t>
      </w:r>
      <w:proofErr w:type="gramEnd"/>
      <w:r w:rsidRPr="00430243">
        <w:rPr>
          <w:rFonts w:asciiTheme="minorHAnsi" w:hAnsiTheme="minorHAnsi" w:cstheme="minorHAnsi"/>
          <w:i/>
          <w:iCs/>
          <w:kern w:val="24"/>
          <w:sz w:val="24"/>
          <w:szCs w:val="24"/>
          <w:lang w:eastAsia="en-AU"/>
        </w:rPr>
        <w:t xml:space="preserve"> administrative data (Department of Social Services Extract), December 2013; ABS, Estimated Residential Population, 2012</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While the proportion of people on income support in the South Eastern Melbourne PEA was similar to the proportion in Victoria, the Frankston and Greater Dandenong LGAs had particularly large proportions of people on income support (20</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and 25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respectively).</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13</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85" type="#_x0000_t75" style="width:268.8pt;height:202.5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57932614" r:id="rId3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b/>
          <w:bCs/>
          <w:kern w:val="24"/>
          <w:sz w:val="24"/>
          <w:szCs w:val="24"/>
          <w:u w:val="single"/>
          <w:lang w:eastAsia="en-AU"/>
        </w:rPr>
        <w:t>Many children are in families where neither parent is employed – children aged less than 15 years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i/>
          <w:iCs/>
          <w:kern w:val="24"/>
          <w:sz w:val="24"/>
          <w:szCs w:val="24"/>
          <w:lang w:eastAsia="en-AU"/>
        </w:rPr>
        <w:t>Source: ABS Census of Population and Housing, 2011</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Jobless families are families where parents are not employed or in the labour force with children under 15 years of age (</w:t>
      </w:r>
      <w:r w:rsidRPr="00430243">
        <w:rPr>
          <w:rFonts w:asciiTheme="minorHAnsi" w:hAnsiTheme="minorHAnsi" w:cstheme="minorHAnsi"/>
          <w:i/>
          <w:iCs/>
          <w:kern w:val="24"/>
          <w:sz w:val="24"/>
          <w:szCs w:val="24"/>
          <w:lang w:eastAsia="en-AU"/>
        </w:rPr>
        <w:t>ABS 2006 Census of Population and Housing</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Some 15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children under the age of 15 in the South Eastern Melbourne PEA did not have an employed parent, similar to the figure for Victoria (13</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ab/>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14</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90" type="#_x0000_t75" style="width:268.8pt;height:202.5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57932615" r:id="rId33"/>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b/>
          <w:bCs/>
          <w:kern w:val="24"/>
          <w:sz w:val="24"/>
          <w:szCs w:val="24"/>
          <w:u w:val="single"/>
          <w:lang w:eastAsia="en-AU"/>
        </w:rPr>
        <w:t>Increase in Year 12 completion - persons aged 25-34 years</w:t>
      </w:r>
      <w:r w:rsidRPr="00430243">
        <w:rPr>
          <w:rFonts w:asciiTheme="minorHAnsi" w:hAnsiTheme="minorHAnsi" w:cstheme="minorHAnsi"/>
          <w:b/>
          <w:bCs/>
          <w:kern w:val="24"/>
          <w:sz w:val="24"/>
          <w:szCs w:val="24"/>
          <w:lang w:eastAsia="en-AU"/>
        </w:rPr>
        <w:br/>
      </w:r>
      <w:r w:rsidRPr="00430243">
        <w:rPr>
          <w:rFonts w:asciiTheme="minorHAnsi" w:hAnsiTheme="minorHAnsi" w:cstheme="minorHAnsi"/>
          <w:i/>
          <w:iCs/>
          <w:kern w:val="24"/>
          <w:sz w:val="24"/>
          <w:szCs w:val="24"/>
          <w:lang w:eastAsia="en-AU"/>
        </w:rPr>
        <w:t>Source: ABS, Census of Population and Housing, 2011 and 2006</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proportion of Year 12 completion for the South Eastern Melbourne PEA (74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was lower than the state proportion (79</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but about the same as the national rate (75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However, there was an increase since the 2006 census (65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Cardinia LGA had a particularly low proportion of Year 12 completion (64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whereas the Kingston LGA had the highest rate in the PEA (84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15</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095" type="#_x0000_t75" style="width:268.8pt;height:202.5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57932616" r:id="rId35"/>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b/>
          <w:bCs/>
          <w:kern w:val="24"/>
          <w:sz w:val="24"/>
          <w:szCs w:val="24"/>
          <w:u w:val="single"/>
          <w:lang w:eastAsia="en-AU"/>
        </w:rPr>
        <w:t>Education and labour market outcomes – South Eastern Melbourne PEA - persons aged 25-34 years</w:t>
      </w:r>
      <w:r w:rsidRPr="00430243">
        <w:rPr>
          <w:rFonts w:asciiTheme="minorHAnsi" w:hAnsiTheme="minorHAnsi" w:cstheme="minorHAnsi"/>
          <w:kern w:val="24"/>
          <w:sz w:val="24"/>
          <w:szCs w:val="24"/>
          <w:lang w:eastAsia="en-AU"/>
        </w:rPr>
        <w:br/>
      </w:r>
      <w:r w:rsidRPr="00430243">
        <w:rPr>
          <w:rFonts w:asciiTheme="minorHAnsi" w:hAnsiTheme="minorHAnsi" w:cstheme="minorHAnsi"/>
          <w:i/>
          <w:iCs/>
          <w:kern w:val="24"/>
          <w:sz w:val="24"/>
          <w:szCs w:val="24"/>
          <w:lang w:eastAsia="en-AU"/>
        </w:rPr>
        <w:t>Source: ABS, Census of Population and Housing, 2011</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There is a strong relationship between educational attainment and employment outcomes. For those aged 25 to 34 years in the South Eastern Melbourne PEA, there were high unemployment rates for those who had completed Certificate I and II but not Year 12 (16.1</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and those who had not completed Year 12 and had no further post school qualification (10.6</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16</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00" type="#_x0000_t75" style="width:268.8pt;height:202.5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57932617" r:id="rId3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Large proportion of family and humanitarian migrants (settlers aged 18 – 64 years)</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kern w:val="24"/>
          <w:sz w:val="24"/>
          <w:szCs w:val="24"/>
          <w:lang w:eastAsia="en-AU"/>
        </w:rPr>
        <w:t xml:space="preserve">Source: </w:t>
      </w:r>
      <w:r w:rsidRPr="00430243">
        <w:rPr>
          <w:rFonts w:asciiTheme="minorHAnsi" w:hAnsiTheme="minorHAnsi" w:cstheme="minorHAnsi"/>
          <w:i/>
          <w:iCs/>
          <w:kern w:val="24"/>
          <w:sz w:val="24"/>
          <w:szCs w:val="24"/>
          <w:lang w:eastAsia="en-AU"/>
        </w:rPr>
        <w:t>Department of Immigration and Citizenship. Settlement reporting: http://www.immi.gov.au/settlement, January 2009 to January 2014</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The proportion of skilled migrants aged 18 to 64 who have migrated to the PEA over the past five years is much lower compared with the proportion of skilled migrants who migrated to Australia.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South Eastern Melbourne PEA has a greater proportion of migrants arriving for family and humanitarian reasons compared with Australia.</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17</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05" type="#_x0000_t75" style="width:268.8pt;height:202.5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57932618" r:id="rId3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English proficiency and labour market outcomes – South Eastern Melbourne PEA - for persons 15-64 years</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ABS, Census of Population and Housing</w:t>
      </w:r>
      <w:r w:rsidRPr="00430243">
        <w:rPr>
          <w:rFonts w:asciiTheme="minorHAnsi" w:hAnsiTheme="minorHAnsi" w:cstheme="minorHAnsi"/>
          <w:kern w:val="24"/>
          <w:sz w:val="24"/>
          <w:szCs w:val="24"/>
          <w:lang w:eastAsia="en-AU"/>
        </w:rPr>
        <w:t xml:space="preserve">, </w:t>
      </w:r>
      <w:r w:rsidRPr="00430243">
        <w:rPr>
          <w:rFonts w:asciiTheme="minorHAnsi" w:hAnsiTheme="minorHAnsi" w:cstheme="minorHAnsi"/>
          <w:i/>
          <w:iCs/>
          <w:kern w:val="24"/>
          <w:sz w:val="24"/>
          <w:szCs w:val="24"/>
          <w:lang w:eastAsia="en-AU"/>
        </w:rPr>
        <w:t>2011</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At the time of the 2011 Census, people in the South Eastern Melbourne PEA with lower levels of English proficiency were less likely to be successful in the labour market.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unemployment rate for people who did not speak English well was 13.6</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while those who did not speak English at all had an unemployment rate of 18.2</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18</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10" type="#_x0000_t75" style="width:268.8pt;height:202.5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57932619" r:id="rId4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English Proficiency by Time since Arrival – South Eastern Melbourne PEA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 xml:space="preserve">Source: ABS, Census of Population and Housing, 2011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At the time of the 2011 Census, migrants who had been in Australia less than 18 months were more likely to not speak English well or at all, compared with migrants who had been in Australia more than 18 months. </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19</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15" type="#_x0000_t75" style="width:268.8pt;height:202.5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57932620" r:id="rId43"/>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b/>
          <w:bCs/>
          <w:kern w:val="24"/>
          <w:sz w:val="24"/>
          <w:szCs w:val="24"/>
          <w:u w:val="single"/>
          <w:lang w:eastAsia="en-AU"/>
        </w:rPr>
        <w:t>OTMESC migrants have worse labour market outcomes – working age population (15 – 64 years old)</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i/>
          <w:iCs/>
          <w:kern w:val="24"/>
          <w:sz w:val="24"/>
          <w:szCs w:val="24"/>
          <w:lang w:eastAsia="en-AU"/>
        </w:rPr>
        <w:t>Source: ABS, Census of Population and Housing, 2011</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At the time of the 2011 census, the participation rate for recently arrived OTMESC migrants was low (51.3</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but much higher for OTMESC migrants who had been in Australia for a few years (70.1</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Comparatively, the participation rate for MESC migrants was high for both recent arrivals and those who had been in Australia for a few years, suggesting that MESC migrants enter the workforce sooner than OTMESC migrants.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20</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20" type="#_x0000_t75" style="width:268.8pt;height:202.5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57932621" r:id="rId45"/>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OTMESC underutilisation- for persons with a Bachelor Degree or higher</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ABS, Census of Population and Housing, 2011</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kern w:val="24"/>
          <w:sz w:val="24"/>
          <w:szCs w:val="24"/>
          <w:lang w:eastAsia="en-AU"/>
        </w:rPr>
        <w:t>Overall, a quarter of the working age population in the South Eastern Melbourne PEA born in an OTMESC had obtained a Bachelor Degree or higher qualification according to the 2011 Census. This compared with 14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for the MESC population.  </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Of the people with a Bachelor Degree or higher, those born in an OTMESC were more likely to be unemployed, not in the labour force (</w:t>
      </w:r>
      <w:proofErr w:type="spellStart"/>
      <w:r w:rsidRPr="00430243">
        <w:rPr>
          <w:rFonts w:asciiTheme="minorHAnsi" w:hAnsiTheme="minorHAnsi" w:cstheme="minorHAnsi"/>
          <w:kern w:val="24"/>
          <w:sz w:val="24"/>
          <w:szCs w:val="24"/>
          <w:lang w:eastAsia="en-AU"/>
        </w:rPr>
        <w:t>NILF</w:t>
      </w:r>
      <w:proofErr w:type="spellEnd"/>
      <w:r w:rsidRPr="00430243">
        <w:rPr>
          <w:rFonts w:asciiTheme="minorHAnsi" w:hAnsiTheme="minorHAnsi" w:cstheme="minorHAnsi"/>
          <w:kern w:val="24"/>
          <w:sz w:val="24"/>
          <w:szCs w:val="24"/>
          <w:lang w:eastAsia="en-AU"/>
        </w:rPr>
        <w:t>) or employed in a lower skilled occupation than those born in a MESC. This was true of both males and females.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21</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25" type="#_x0000_t75" style="width:268.8pt;height:202.5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57932622" r:id="rId4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u w:val="single"/>
          <w:lang w:eastAsia="en-AU"/>
        </w:rPr>
      </w:pPr>
      <w:r w:rsidRPr="00430243">
        <w:rPr>
          <w:rFonts w:asciiTheme="minorHAnsi" w:hAnsiTheme="minorHAnsi" w:cstheme="minorHAnsi"/>
          <w:b/>
          <w:bCs/>
          <w:kern w:val="24"/>
          <w:sz w:val="24"/>
          <w:szCs w:val="24"/>
          <w:u w:val="single"/>
          <w:lang w:eastAsia="en-AU"/>
        </w:rPr>
        <w:t>Industry structure – South Eastern Melbourne PEA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ABS, Census of Population and Housing, 2011 (place of enumeration)</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Between the 1996 Census and the 2011 Census, the manufacturing industry, as a proportion of all industries, decreased from 24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in 1996 to 17</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in 2011.</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Health Care and Social Assistance industry increased from 7</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to 11</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and Construction increased from 7</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to 10</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22</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30" type="#_x0000_t75" style="width:268.8pt;height:202.5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57932623" r:id="rId4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What are employers telling us?</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Many applicants for vacancies</w:t>
      </w:r>
    </w:p>
    <w:p w:rsidR="00430243" w:rsidRPr="00430243" w:rsidRDefault="00430243" w:rsidP="00430243">
      <w:pPr>
        <w:autoSpaceDE w:val="0"/>
        <w:autoSpaceDN w:val="0"/>
        <w:adjustRightInd w:val="0"/>
        <w:ind w:left="450" w:hanging="45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Most applicants don’t get an interview</w:t>
      </w:r>
    </w:p>
    <w:p w:rsidR="00430243" w:rsidRPr="00430243" w:rsidRDefault="00430243" w:rsidP="00430243">
      <w:pPr>
        <w:autoSpaceDE w:val="0"/>
        <w:autoSpaceDN w:val="0"/>
        <w:adjustRightInd w:val="0"/>
        <w:ind w:left="450" w:hanging="45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Experience is important</w:t>
      </w:r>
    </w:p>
    <w:p w:rsidR="00430243" w:rsidRPr="00430243" w:rsidRDefault="00430243" w:rsidP="00430243">
      <w:pPr>
        <w:autoSpaceDE w:val="0"/>
        <w:autoSpaceDN w:val="0"/>
        <w:adjustRightInd w:val="0"/>
        <w:ind w:left="450" w:hanging="45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Employability skills also vital</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23</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35" type="#_x0000_t75" style="width:268.8pt;height:202.5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57932624" r:id="rId5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High competition for vacancies</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 &amp; all regions, November 2013</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Competition for vacancies was very high across most occupations in the South Eastern Melbourne PEA. Competition was particularly high for Managers and Professionals (18.4 applicants per vacancy), Labourers (17.2), Clerical and Administrative Workers (15.7), Sales Workers (14.8) and Technicians and Trades Workers (14.7).</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24</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40" type="#_x0000_t75" style="width:268.8pt;height:202.5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0" DrawAspect="Content" ObjectID="_1457932625" r:id="rId53"/>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78</w:t>
      </w:r>
      <w:r>
        <w:rPr>
          <w:rFonts w:asciiTheme="minorHAnsi" w:hAnsiTheme="minorHAnsi" w:cstheme="minorHAnsi"/>
          <w:b/>
          <w:bCs/>
          <w:kern w:val="24"/>
          <w:sz w:val="24"/>
          <w:szCs w:val="24"/>
          <w:u w:val="single"/>
          <w:lang w:eastAsia="en-AU"/>
        </w:rPr>
        <w:t> per cent</w:t>
      </w:r>
      <w:r w:rsidRPr="00430243">
        <w:rPr>
          <w:rFonts w:asciiTheme="minorHAnsi" w:hAnsiTheme="minorHAnsi" w:cstheme="minorHAnsi"/>
          <w:b/>
          <w:bCs/>
          <w:kern w:val="24"/>
          <w:sz w:val="24"/>
          <w:szCs w:val="24"/>
          <w:u w:val="single"/>
          <w:lang w:eastAsia="en-AU"/>
        </w:rPr>
        <w:t xml:space="preserve"> of applicants did not get an interview - most common reasons why</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The majority of applicants (78</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were regarded by employers as unsuitable in the South Eastern Melbourne PEA.</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ind w:left="540" w:hanging="540"/>
        <w:rPr>
          <w:rFonts w:asciiTheme="minorHAnsi" w:hAnsiTheme="minorHAnsi" w:cstheme="minorHAnsi"/>
          <w:sz w:val="24"/>
          <w:szCs w:val="24"/>
          <w:lang w:eastAsia="en-AU"/>
        </w:rPr>
      </w:pPr>
      <w:r w:rsidRPr="00430243">
        <w:rPr>
          <w:rFonts w:asciiTheme="minorHAnsi" w:hAnsiTheme="minorHAnsi" w:cstheme="minorHAnsi"/>
          <w:sz w:val="24"/>
          <w:szCs w:val="24"/>
          <w:lang w:eastAsia="en-AU"/>
        </w:rPr>
        <w:t>Reasons applicants were considered unsuitable included:</w:t>
      </w:r>
    </w:p>
    <w:p w:rsidR="00430243" w:rsidRPr="00430243" w:rsidRDefault="00430243" w:rsidP="00430243">
      <w:pPr>
        <w:autoSpaceDE w:val="0"/>
        <w:autoSpaceDN w:val="0"/>
        <w:adjustRightInd w:val="0"/>
        <w:ind w:left="540" w:hanging="540"/>
        <w:rPr>
          <w:rFonts w:asciiTheme="minorHAnsi" w:hAnsiTheme="minorHAnsi" w:cstheme="minorHAnsi"/>
          <w:sz w:val="24"/>
          <w:szCs w:val="24"/>
          <w:lang w:eastAsia="en-AU"/>
        </w:rPr>
      </w:pPr>
    </w:p>
    <w:p w:rsidR="00430243" w:rsidRPr="00430243" w:rsidRDefault="00430243" w:rsidP="00430243">
      <w:pPr>
        <w:numPr>
          <w:ilvl w:val="0"/>
          <w:numId w:val="2"/>
        </w:numPr>
        <w:autoSpaceDE w:val="0"/>
        <w:autoSpaceDN w:val="0"/>
        <w:adjustRightInd w:val="0"/>
        <w:ind w:left="1170" w:hanging="450"/>
        <w:rPr>
          <w:rFonts w:asciiTheme="minorHAnsi" w:hAnsiTheme="minorHAnsi" w:cstheme="minorHAnsi"/>
          <w:sz w:val="24"/>
          <w:szCs w:val="24"/>
          <w:lang w:eastAsia="en-AU"/>
        </w:rPr>
      </w:pPr>
      <w:r w:rsidRPr="00430243">
        <w:rPr>
          <w:rFonts w:asciiTheme="minorHAnsi" w:hAnsiTheme="minorHAnsi" w:cstheme="minorHAnsi"/>
          <w:sz w:val="24"/>
          <w:szCs w:val="24"/>
          <w:lang w:eastAsia="en-AU"/>
        </w:rPr>
        <w:t>Lack of relevant experience (61</w:t>
      </w:r>
      <w:r>
        <w:rPr>
          <w:rFonts w:asciiTheme="minorHAnsi" w:hAnsiTheme="minorHAnsi" w:cstheme="minorHAnsi"/>
          <w:sz w:val="24"/>
          <w:szCs w:val="24"/>
          <w:lang w:eastAsia="en-AU"/>
        </w:rPr>
        <w:t> per cent</w:t>
      </w:r>
      <w:r w:rsidRPr="00430243">
        <w:rPr>
          <w:rFonts w:asciiTheme="minorHAnsi" w:hAnsiTheme="minorHAnsi" w:cstheme="minorHAnsi"/>
          <w:sz w:val="24"/>
          <w:szCs w:val="24"/>
          <w:lang w:eastAsia="en-AU"/>
        </w:rPr>
        <w:t>)</w:t>
      </w:r>
    </w:p>
    <w:p w:rsidR="00430243" w:rsidRPr="00430243" w:rsidRDefault="00430243" w:rsidP="00430243">
      <w:pPr>
        <w:numPr>
          <w:ilvl w:val="0"/>
          <w:numId w:val="2"/>
        </w:numPr>
        <w:autoSpaceDE w:val="0"/>
        <w:autoSpaceDN w:val="0"/>
        <w:adjustRightInd w:val="0"/>
        <w:ind w:left="1170" w:hanging="450"/>
        <w:rPr>
          <w:rFonts w:asciiTheme="minorHAnsi" w:hAnsiTheme="minorHAnsi" w:cstheme="minorHAnsi"/>
          <w:sz w:val="24"/>
          <w:szCs w:val="24"/>
          <w:lang w:eastAsia="en-AU"/>
        </w:rPr>
      </w:pPr>
      <w:r w:rsidRPr="00430243">
        <w:rPr>
          <w:rFonts w:asciiTheme="minorHAnsi" w:hAnsiTheme="minorHAnsi" w:cstheme="minorHAnsi"/>
          <w:sz w:val="24"/>
          <w:szCs w:val="24"/>
          <w:lang w:eastAsia="en-AU"/>
        </w:rPr>
        <w:t>Insufficient qualifications or training (24</w:t>
      </w:r>
      <w:r>
        <w:rPr>
          <w:rFonts w:asciiTheme="minorHAnsi" w:hAnsiTheme="minorHAnsi" w:cstheme="minorHAnsi"/>
          <w:sz w:val="24"/>
          <w:szCs w:val="24"/>
          <w:lang w:eastAsia="en-AU"/>
        </w:rPr>
        <w:t> per cent</w:t>
      </w:r>
      <w:r w:rsidRPr="00430243">
        <w:rPr>
          <w:rFonts w:asciiTheme="minorHAnsi" w:hAnsiTheme="minorHAnsi" w:cstheme="minorHAnsi"/>
          <w:sz w:val="24"/>
          <w:szCs w:val="24"/>
          <w:lang w:eastAsia="en-AU"/>
        </w:rPr>
        <w:t>)</w:t>
      </w:r>
    </w:p>
    <w:p w:rsidR="00430243" w:rsidRPr="00430243" w:rsidRDefault="00430243" w:rsidP="00430243">
      <w:pPr>
        <w:numPr>
          <w:ilvl w:val="0"/>
          <w:numId w:val="2"/>
        </w:numPr>
        <w:autoSpaceDE w:val="0"/>
        <w:autoSpaceDN w:val="0"/>
        <w:adjustRightInd w:val="0"/>
        <w:ind w:left="1170" w:hanging="450"/>
        <w:rPr>
          <w:rFonts w:asciiTheme="minorHAnsi" w:hAnsiTheme="minorHAnsi" w:cstheme="minorHAnsi"/>
          <w:sz w:val="24"/>
          <w:szCs w:val="24"/>
          <w:lang w:eastAsia="en-AU"/>
        </w:rPr>
      </w:pPr>
      <w:r w:rsidRPr="00430243">
        <w:rPr>
          <w:rFonts w:asciiTheme="minorHAnsi" w:hAnsiTheme="minorHAnsi" w:cstheme="minorHAnsi"/>
          <w:sz w:val="24"/>
          <w:szCs w:val="24"/>
          <w:lang w:eastAsia="en-AU"/>
        </w:rPr>
        <w:t>Applicant located overseas/interstate/out of area (20</w:t>
      </w:r>
      <w:r>
        <w:rPr>
          <w:rFonts w:asciiTheme="minorHAnsi" w:hAnsiTheme="minorHAnsi" w:cstheme="minorHAnsi"/>
          <w:sz w:val="24"/>
          <w:szCs w:val="24"/>
          <w:lang w:eastAsia="en-AU"/>
        </w:rPr>
        <w:t> per cent</w:t>
      </w:r>
      <w:r w:rsidRPr="00430243">
        <w:rPr>
          <w:rFonts w:asciiTheme="minorHAnsi" w:hAnsiTheme="minorHAnsi" w:cstheme="minorHAnsi"/>
          <w:sz w:val="24"/>
          <w:szCs w:val="24"/>
          <w:lang w:eastAsia="en-AU"/>
        </w:rPr>
        <w:t>)</w:t>
      </w:r>
    </w:p>
    <w:p w:rsidR="00430243" w:rsidRPr="00430243" w:rsidRDefault="00430243" w:rsidP="00430243">
      <w:pPr>
        <w:numPr>
          <w:ilvl w:val="0"/>
          <w:numId w:val="2"/>
        </w:numPr>
        <w:autoSpaceDE w:val="0"/>
        <w:autoSpaceDN w:val="0"/>
        <w:adjustRightInd w:val="0"/>
        <w:ind w:left="1170" w:hanging="450"/>
        <w:rPr>
          <w:rFonts w:asciiTheme="minorHAnsi" w:hAnsiTheme="minorHAnsi" w:cstheme="minorHAnsi"/>
          <w:sz w:val="24"/>
          <w:szCs w:val="24"/>
          <w:lang w:eastAsia="en-AU"/>
        </w:rPr>
      </w:pPr>
      <w:r w:rsidRPr="00430243">
        <w:rPr>
          <w:rFonts w:asciiTheme="minorHAnsi" w:hAnsiTheme="minorHAnsi" w:cstheme="minorHAnsi"/>
          <w:sz w:val="24"/>
          <w:szCs w:val="24"/>
          <w:lang w:eastAsia="en-AU"/>
        </w:rPr>
        <w:t>Poorly written/presented application (19</w:t>
      </w:r>
      <w:r>
        <w:rPr>
          <w:rFonts w:asciiTheme="minorHAnsi" w:hAnsiTheme="minorHAnsi" w:cstheme="minorHAnsi"/>
          <w:sz w:val="24"/>
          <w:szCs w:val="24"/>
          <w:lang w:eastAsia="en-AU"/>
        </w:rPr>
        <w:t> per cent</w:t>
      </w:r>
      <w:r w:rsidRPr="00430243">
        <w:rPr>
          <w:rFonts w:asciiTheme="minorHAnsi" w:hAnsiTheme="minorHAnsi" w:cstheme="minorHAnsi"/>
          <w:sz w:val="24"/>
          <w:szCs w:val="24"/>
          <w:lang w:eastAsia="en-AU"/>
        </w:rPr>
        <w:t>)</w:t>
      </w:r>
    </w:p>
    <w:p w:rsidR="00430243" w:rsidRPr="00430243" w:rsidRDefault="00430243" w:rsidP="00430243">
      <w:pPr>
        <w:numPr>
          <w:ilvl w:val="0"/>
          <w:numId w:val="2"/>
        </w:numPr>
        <w:autoSpaceDE w:val="0"/>
        <w:autoSpaceDN w:val="0"/>
        <w:adjustRightInd w:val="0"/>
        <w:ind w:left="1170" w:hanging="450"/>
        <w:rPr>
          <w:rFonts w:asciiTheme="minorHAnsi" w:hAnsiTheme="minorHAnsi" w:cstheme="minorHAnsi"/>
          <w:sz w:val="24"/>
          <w:szCs w:val="24"/>
          <w:lang w:eastAsia="en-AU"/>
        </w:rPr>
      </w:pPr>
      <w:r w:rsidRPr="00430243">
        <w:rPr>
          <w:rFonts w:asciiTheme="minorHAnsi" w:hAnsiTheme="minorHAnsi" w:cstheme="minorHAnsi"/>
          <w:sz w:val="24"/>
          <w:szCs w:val="24"/>
          <w:lang w:eastAsia="en-AU"/>
        </w:rPr>
        <w:t>Lack of soft skills (18</w:t>
      </w:r>
      <w:r>
        <w:rPr>
          <w:rFonts w:asciiTheme="minorHAnsi" w:hAnsiTheme="minorHAnsi" w:cstheme="minorHAnsi"/>
          <w:sz w:val="24"/>
          <w:szCs w:val="24"/>
          <w:lang w:eastAsia="en-AU"/>
        </w:rPr>
        <w:t> per cent</w:t>
      </w:r>
      <w:r w:rsidRPr="00430243">
        <w:rPr>
          <w:rFonts w:asciiTheme="minorHAnsi" w:hAnsiTheme="minorHAnsi" w:cstheme="minorHAnsi"/>
          <w:sz w:val="24"/>
          <w:szCs w:val="24"/>
          <w:lang w:eastAsia="en-AU"/>
        </w:rPr>
        <w:t>)</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25</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45" type="#_x0000_t75" style="width:268.8pt;height:202.5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45" DrawAspect="Content" ObjectID="_1457932626" r:id="rId55"/>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Informal recruitment popular</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 xml:space="preserve">Source: Department of Employment, Survey of Employers’ Recruitment Experiences, South Eastern Melbourne PEA, August 2013 </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A large proportion of businesses in the South Eastern Melbourne PEA opted to only use informal methods of recruitment, such as word of mouth, to fill their vacancies. On average, informally advertised jobs have significantly less applicants than formally advertised jobs. </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26</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50" type="#_x0000_t75" style="width:268.8pt;height:202.5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0" DrawAspect="Content" ObjectID="_1457932627" r:id="rId5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What employers consider most important in a worker</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Combined survey results from the South Eastern Melbourne PEA in August 2013 showed that employers most commonly considered essential in a worker:</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Employability skills (56</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Experience (41</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Qualifications/Tickets/Licences (23</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Skills (Technical/Job Specific) (13</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Customer Service skills (9</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w:t>
      </w:r>
    </w:p>
    <w:p w:rsidR="00430243" w:rsidRPr="00430243" w:rsidRDefault="00430243" w:rsidP="00430243">
      <w:pPr>
        <w:autoSpaceDE w:val="0"/>
        <w:autoSpaceDN w:val="0"/>
        <w:adjustRightInd w:val="0"/>
        <w:ind w:left="270" w:hanging="27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Most commonly mentioned employability skills were:</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Communication</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Teamwork</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Positive attitude</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Motivation</w:t>
      </w:r>
    </w:p>
    <w:p w:rsidR="00430243" w:rsidRPr="00430243" w:rsidRDefault="00430243" w:rsidP="00430243">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Well presented</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27</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55" type="#_x0000_t75" style="width:268.8pt;height:202.5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55" DrawAspect="Content" ObjectID="_1457932628" r:id="rId5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Recruitment expectations (in the 12 months following the survey) – South Eastern Melbourne PEA</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Recruitment expectations for the 12 months following the survey have softened since the PEA was last surveyed in April 2012:</w:t>
      </w:r>
    </w:p>
    <w:p w:rsidR="00430243" w:rsidRPr="00430243" w:rsidRDefault="00430243" w:rsidP="00430243">
      <w:pPr>
        <w:autoSpaceDE w:val="0"/>
        <w:autoSpaceDN w:val="0"/>
        <w:adjustRightInd w:val="0"/>
        <w:ind w:left="450" w:hanging="45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31</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employers expected to recruit, down from 46</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in the previous survey.</w:t>
      </w:r>
    </w:p>
    <w:p w:rsidR="00430243" w:rsidRPr="00430243" w:rsidRDefault="00430243" w:rsidP="00430243">
      <w:pPr>
        <w:autoSpaceDE w:val="0"/>
        <w:autoSpaceDN w:val="0"/>
        <w:adjustRightInd w:val="0"/>
        <w:ind w:left="450" w:hanging="45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18</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employers expected to increase staff numbers, down from 25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in the previous survey.</w:t>
      </w:r>
    </w:p>
    <w:p w:rsidR="00430243" w:rsidRPr="00430243" w:rsidRDefault="00430243" w:rsidP="00430243">
      <w:pPr>
        <w:autoSpaceDE w:val="0"/>
        <w:autoSpaceDN w:val="0"/>
        <w:adjustRightInd w:val="0"/>
        <w:ind w:left="450" w:hanging="450"/>
        <w:rPr>
          <w:rFonts w:asciiTheme="minorHAnsi" w:hAnsiTheme="minorHAnsi" w:cstheme="minorHAnsi"/>
          <w:kern w:val="24"/>
          <w:sz w:val="24"/>
          <w:szCs w:val="24"/>
          <w:lang w:eastAsia="en-AU"/>
        </w:rPr>
      </w:pPr>
    </w:p>
    <w:p w:rsidR="00430243" w:rsidRPr="00430243" w:rsidRDefault="00430243" w:rsidP="00430243">
      <w:pPr>
        <w:numPr>
          <w:ilvl w:val="0"/>
          <w:numId w:val="1"/>
        </w:numPr>
        <w:autoSpaceDE w:val="0"/>
        <w:autoSpaceDN w:val="0"/>
        <w:adjustRightInd w:val="0"/>
        <w:ind w:left="45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8</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employers expected to reduce staff numbers, compared with 7</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in the previous survey.</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28</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60" type="#_x0000_t75" style="width:268.8pt;height:202.5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60" DrawAspect="Content" ObjectID="_1457932629" r:id="rId6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Occupations employers commonly expect to recruit (in the 12 months following the survey)</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This slide shows the vacancies that employers most commonly expected to recruit for in the South Eastern Melbourne PEA in the 12 months following the survey. </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Sales Assistants (General)</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General Clerks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Waiters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Sales Representatives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Child Carers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Checkout Operators and Office Cashiers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Registered Nurses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Metal Fitters and Machinists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Cooks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Storepersons</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29</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65" type="#_x0000_t75" style="width:268.8pt;height:202.5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65" DrawAspect="Content" ObjectID="_1457932630" r:id="rId63"/>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b/>
          <w:bCs/>
          <w:kern w:val="24"/>
          <w:sz w:val="24"/>
          <w:szCs w:val="24"/>
          <w:u w:val="single"/>
          <w:lang w:eastAsia="en-AU"/>
        </w:rPr>
        <w:t>Greatest concerns for the future (in the 12 months following the survey)</w:t>
      </w:r>
    </w:p>
    <w:p w:rsidR="00430243" w:rsidRPr="00430243" w:rsidRDefault="00430243" w:rsidP="00430243">
      <w:pPr>
        <w:autoSpaceDE w:val="0"/>
        <w:autoSpaceDN w:val="0"/>
        <w:adjustRightInd w:val="0"/>
        <w:rPr>
          <w:rFonts w:asciiTheme="minorHAnsi" w:hAnsiTheme="minorHAnsi" w:cstheme="minorHAnsi"/>
          <w:i/>
          <w:iCs/>
          <w:kern w:val="24"/>
          <w:sz w:val="24"/>
          <w:szCs w:val="24"/>
          <w:lang w:eastAsia="en-AU"/>
        </w:rPr>
      </w:pPr>
      <w:r w:rsidRPr="00430243">
        <w:rPr>
          <w:rFonts w:asciiTheme="minorHAnsi" w:hAnsiTheme="minorHAnsi" w:cstheme="minorHAnsi"/>
          <w:i/>
          <w:iCs/>
          <w:kern w:val="24"/>
          <w:sz w:val="24"/>
          <w:szCs w:val="24"/>
          <w:lang w:eastAsia="en-AU"/>
        </w:rPr>
        <w:t>Source: Department of Employment, Survey of Employers’ Recruitment Experiences, South Eastern Melbourne PEA, August 2013</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Over half of responding employers (54</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reported that Demand or the Economy was their greatest future concern. This was followed by Recruitment or Retention Difficulty (6</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Some 15</w:t>
      </w:r>
      <w:r>
        <w:rPr>
          <w:rFonts w:asciiTheme="minorHAnsi" w:hAnsiTheme="minorHAnsi" w:cstheme="minorHAnsi"/>
          <w:kern w:val="24"/>
          <w:sz w:val="24"/>
          <w:szCs w:val="24"/>
          <w:lang w:eastAsia="en-AU"/>
        </w:rPr>
        <w:t> per cent</w:t>
      </w:r>
      <w:r w:rsidRPr="00430243">
        <w:rPr>
          <w:rFonts w:asciiTheme="minorHAnsi" w:hAnsiTheme="minorHAnsi" w:cstheme="minorHAnsi"/>
          <w:kern w:val="24"/>
          <w:sz w:val="24"/>
          <w:szCs w:val="24"/>
          <w:lang w:eastAsia="en-AU"/>
        </w:rPr>
        <w:t xml:space="preserve"> of employers reported no greatest future concern.</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30</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70" type="#_x0000_t75" style="width:268.8pt;height:202.5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170" DrawAspect="Content" ObjectID="_1457932631" r:id="rId65"/>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Conclusion</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val="en-US" w:eastAsia="en-AU"/>
        </w:rPr>
      </w:pPr>
    </w:p>
    <w:p w:rsidR="00430243" w:rsidRPr="00430243" w:rsidRDefault="00430243" w:rsidP="00430243">
      <w:pPr>
        <w:autoSpaceDE w:val="0"/>
        <w:autoSpaceDN w:val="0"/>
        <w:adjustRightInd w:val="0"/>
        <w:rPr>
          <w:rFonts w:asciiTheme="minorHAnsi" w:hAnsiTheme="minorHAnsi" w:cstheme="minorHAnsi"/>
          <w:b/>
          <w:bCs/>
          <w:kern w:val="24"/>
          <w:sz w:val="24"/>
          <w:szCs w:val="24"/>
          <w:lang w:val="en-US" w:eastAsia="en-AU"/>
        </w:rPr>
      </w:pPr>
      <w:r w:rsidRPr="00430243">
        <w:rPr>
          <w:rFonts w:asciiTheme="minorHAnsi" w:hAnsiTheme="minorHAnsi" w:cstheme="minorHAnsi"/>
          <w:b/>
          <w:bCs/>
          <w:kern w:val="24"/>
          <w:sz w:val="24"/>
          <w:szCs w:val="24"/>
          <w:lang w:val="en-US" w:eastAsia="en-AU"/>
        </w:rPr>
        <w:t>Labour market conditions in the South Eastern Melbourne PEA are subdued</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Unemployment rate above state and national rates</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Male full-time employment declining</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Job applicant numbers increasing</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Challenges for the region</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Disengaged groups: jobless families, less educated, recently arrived migrants, people with low levels of English proficiency</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Underutilisation of migrants</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Transition from Manufacturing to the services sector</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 xml:space="preserve">Opportunities </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val="en-US" w:eastAsia="en-AU"/>
        </w:rPr>
      </w:pPr>
      <w:r w:rsidRPr="00430243">
        <w:rPr>
          <w:rFonts w:asciiTheme="minorHAnsi" w:hAnsiTheme="minorHAnsi" w:cstheme="minorHAnsi"/>
          <w:kern w:val="24"/>
          <w:sz w:val="24"/>
          <w:szCs w:val="24"/>
          <w:lang w:val="en-US" w:eastAsia="en-AU"/>
        </w:rPr>
        <w:t>Growth industries (Health Care and Social Assistance)</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val="en-US" w:eastAsia="en-AU"/>
        </w:rPr>
      </w:pPr>
      <w:r w:rsidRPr="00430243">
        <w:rPr>
          <w:rFonts w:asciiTheme="minorHAnsi" w:hAnsiTheme="minorHAnsi" w:cstheme="minorHAnsi"/>
          <w:kern w:val="24"/>
          <w:sz w:val="24"/>
          <w:szCs w:val="24"/>
          <w:lang w:val="en-US" w:eastAsia="en-AU"/>
        </w:rPr>
        <w:t>Improved opportunities for job seekers who tap into informal labour market</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val="en-US" w:eastAsia="en-AU"/>
        </w:rPr>
      </w:pPr>
      <w:r w:rsidRPr="00430243">
        <w:rPr>
          <w:rFonts w:asciiTheme="minorHAnsi" w:hAnsiTheme="minorHAnsi" w:cstheme="minorHAnsi"/>
          <w:kern w:val="24"/>
          <w:sz w:val="24"/>
          <w:szCs w:val="24"/>
          <w:lang w:val="en-US" w:eastAsia="en-AU"/>
        </w:rPr>
        <w:t xml:space="preserve">Employers expect to recruit for a range of occupations </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Job seekers need to be job ready</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Work experience / training / </w:t>
      </w:r>
      <w:proofErr w:type="spellStart"/>
      <w:r w:rsidRPr="00430243">
        <w:rPr>
          <w:rFonts w:asciiTheme="minorHAnsi" w:hAnsiTheme="minorHAnsi" w:cstheme="minorHAnsi"/>
          <w:kern w:val="24"/>
          <w:sz w:val="24"/>
          <w:szCs w:val="24"/>
          <w:lang w:eastAsia="en-AU"/>
        </w:rPr>
        <w:t>well presented</w:t>
      </w:r>
      <w:proofErr w:type="spellEnd"/>
      <w:r w:rsidRPr="00430243">
        <w:rPr>
          <w:rFonts w:asciiTheme="minorHAnsi" w:hAnsiTheme="minorHAnsi" w:cstheme="minorHAnsi"/>
          <w:kern w:val="24"/>
          <w:sz w:val="24"/>
          <w:szCs w:val="24"/>
          <w:lang w:eastAsia="en-AU"/>
        </w:rPr>
        <w:t xml:space="preserve"> application</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val="en-US" w:eastAsia="en-AU"/>
        </w:rPr>
        <w:t>English proficiency</w:t>
      </w:r>
    </w:p>
    <w:p w:rsidR="00430243" w:rsidRPr="00430243" w:rsidRDefault="00430243" w:rsidP="00430243">
      <w:pPr>
        <w:numPr>
          <w:ilvl w:val="0"/>
          <w:numId w:val="3"/>
        </w:numPr>
        <w:autoSpaceDE w:val="0"/>
        <w:autoSpaceDN w:val="0"/>
        <w:adjustRightInd w:val="0"/>
        <w:ind w:left="1170" w:hanging="45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 xml:space="preserve">Employability skills </w:t>
      </w:r>
    </w:p>
    <w:p w:rsidR="00430243" w:rsidRPr="00430243" w:rsidRDefault="00430243" w:rsidP="00430243">
      <w:pPr>
        <w:autoSpaceDE w:val="0"/>
        <w:autoSpaceDN w:val="0"/>
        <w:adjustRightInd w:val="0"/>
        <w:rPr>
          <w:rFonts w:asciiTheme="minorHAnsi" w:hAnsiTheme="minorHAnsi" w:cstheme="minorHAnsi"/>
          <w:b/>
          <w:bCs/>
          <w:kern w:val="24"/>
          <w:sz w:val="24"/>
          <w:szCs w:val="24"/>
          <w:lang w:eastAsia="en-AU"/>
        </w:rPr>
      </w:pPr>
      <w:r w:rsidRPr="00430243">
        <w:rPr>
          <w:rFonts w:asciiTheme="minorHAnsi" w:hAnsiTheme="minorHAnsi" w:cstheme="minorHAnsi"/>
          <w:b/>
          <w:bCs/>
          <w:kern w:val="24"/>
          <w:sz w:val="24"/>
          <w:szCs w:val="24"/>
          <w:lang w:eastAsia="en-AU"/>
        </w:rPr>
        <w:t>Collaborate with key stakeholders, employers and Local Employment Co-ordinator</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31</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75" type="#_x0000_t75" style="width:268.8pt;height:202.5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175" DrawAspect="Content" ObjectID="_1457932632" r:id="rId67"/>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r w:rsidRPr="00430243">
        <w:rPr>
          <w:rFonts w:asciiTheme="minorHAnsi" w:hAnsiTheme="minorHAnsi" w:cstheme="minorHAnsi"/>
          <w:b/>
          <w:bCs/>
          <w:kern w:val="24"/>
          <w:sz w:val="24"/>
          <w:szCs w:val="24"/>
          <w:u w:val="single"/>
          <w:lang w:eastAsia="en-AU"/>
        </w:rPr>
        <w:t>Further information</w:t>
      </w:r>
    </w:p>
    <w:p w:rsidR="00430243" w:rsidRPr="00430243" w:rsidRDefault="00430243" w:rsidP="00430243">
      <w:pPr>
        <w:autoSpaceDE w:val="0"/>
        <w:autoSpaceDN w:val="0"/>
        <w:adjustRightInd w:val="0"/>
        <w:rPr>
          <w:rFonts w:asciiTheme="minorHAnsi" w:hAnsiTheme="minorHAnsi" w:cstheme="minorHAnsi"/>
          <w:b/>
          <w:bCs/>
          <w:kern w:val="24"/>
          <w:sz w:val="24"/>
          <w:szCs w:val="24"/>
          <w:u w:val="single"/>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More information on labour market conditions and other research on small areas can be found on these web sites.</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A report on the survey findings for the South Eastern Melbourne PEA is available on the regional reports section of the Department of Employment web site.</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r w:rsidRPr="00430243">
        <w:rPr>
          <w:rFonts w:asciiTheme="minorHAnsi" w:hAnsiTheme="minorHAnsi" w:cstheme="minorHAnsi"/>
          <w:kern w:val="24"/>
          <w:sz w:val="24"/>
          <w:szCs w:val="24"/>
          <w:lang w:eastAsia="en-AU"/>
        </w:rPr>
        <w:t>Thank you.</w:t>
      </w: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32</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80" type="#_x0000_t75" style="width:268.8pt;height:202.5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180" DrawAspect="Content" ObjectID="_1457932633" r:id="rId69"/>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autoSpaceDE w:val="0"/>
        <w:autoSpaceDN w:val="0"/>
        <w:adjustRightInd w:val="0"/>
        <w:rPr>
          <w:rFonts w:asciiTheme="minorHAnsi" w:hAnsiTheme="minorHAnsi" w:cstheme="minorHAnsi"/>
          <w:kern w:val="24"/>
          <w:sz w:val="24"/>
          <w:szCs w:val="24"/>
          <w:u w:val="single"/>
          <w:lang w:eastAsia="en-AU"/>
        </w:rPr>
      </w:pPr>
      <w:r w:rsidRPr="00430243">
        <w:rPr>
          <w:rFonts w:asciiTheme="minorHAnsi" w:hAnsiTheme="minorHAnsi" w:cstheme="minorHAnsi"/>
          <w:kern w:val="24"/>
          <w:sz w:val="24"/>
          <w:szCs w:val="24"/>
          <w:lang w:eastAsia="en-AU"/>
        </w:rPr>
        <w:t xml:space="preserve">If you have any questions about the presentation please contact the Recruitment Analysis and Employer Surveys sections on </w:t>
      </w:r>
      <w:r w:rsidRPr="00430243">
        <w:rPr>
          <w:rFonts w:asciiTheme="minorHAnsi" w:hAnsiTheme="minorHAnsi" w:cstheme="minorHAnsi"/>
          <w:kern w:val="24"/>
          <w:sz w:val="24"/>
          <w:szCs w:val="24"/>
          <w:u w:val="single"/>
          <w:lang w:eastAsia="en-AU"/>
        </w:rPr>
        <w:t>1800 059 439</w:t>
      </w:r>
      <w:r w:rsidRPr="00430243">
        <w:rPr>
          <w:rFonts w:asciiTheme="minorHAnsi" w:hAnsiTheme="minorHAnsi" w:cstheme="minorHAnsi"/>
          <w:kern w:val="24"/>
          <w:sz w:val="24"/>
          <w:szCs w:val="24"/>
          <w:lang w:eastAsia="en-AU"/>
        </w:rPr>
        <w:t xml:space="preserve"> or email </w:t>
      </w:r>
      <w:r w:rsidRPr="00430243">
        <w:rPr>
          <w:rFonts w:asciiTheme="minorHAnsi" w:hAnsiTheme="minorHAnsi" w:cstheme="minorHAnsi"/>
          <w:kern w:val="24"/>
          <w:sz w:val="24"/>
          <w:szCs w:val="24"/>
          <w:u w:val="single"/>
          <w:lang w:eastAsia="en-AU"/>
        </w:rPr>
        <w:t>recruitmentsurveys@employment.gov.au</w:t>
      </w:r>
    </w:p>
    <w:p w:rsidR="00430243" w:rsidRPr="00430243" w:rsidRDefault="00430243" w:rsidP="00430243">
      <w:pPr>
        <w:autoSpaceDE w:val="0"/>
        <w:autoSpaceDN w:val="0"/>
        <w:adjustRightInd w:val="0"/>
        <w:rPr>
          <w:rFonts w:asciiTheme="minorHAnsi" w:hAnsiTheme="minorHAnsi" w:cstheme="minorHAnsi"/>
          <w:kern w:val="24"/>
          <w:sz w:val="24"/>
          <w:szCs w:val="24"/>
          <w:lang w:eastAsia="en-AU"/>
        </w:rPr>
      </w:pPr>
    </w:p>
    <w:p w:rsidR="00430243" w:rsidRPr="00430243" w:rsidRDefault="00430243" w:rsidP="00430243">
      <w:pPr>
        <w:autoSpaceDE w:val="0"/>
        <w:autoSpaceDN w:val="0"/>
        <w:adjustRightInd w:val="0"/>
        <w:rPr>
          <w:rFonts w:asciiTheme="minorHAnsi" w:hAnsiTheme="minorHAnsi" w:cstheme="minorHAnsi"/>
          <w:sz w:val="24"/>
          <w:szCs w:val="24"/>
          <w:lang w:eastAsia="en-AU"/>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pPr>
        <w:rPr>
          <w:rFonts w:asciiTheme="minorHAnsi" w:hAnsiTheme="minorHAnsi" w:cstheme="minorHAnsi"/>
          <w:sz w:val="24"/>
          <w:szCs w:val="24"/>
        </w:rPr>
      </w:pPr>
      <w:r w:rsidRPr="00430243">
        <w:rPr>
          <w:rFonts w:asciiTheme="minorHAnsi" w:hAnsiTheme="minorHAnsi" w:cstheme="minorHAnsi"/>
          <w:sz w:val="24"/>
          <w:szCs w:val="24"/>
        </w:rPr>
        <w:br w:type="page"/>
      </w:r>
    </w:p>
    <w:p w:rsidR="00430243" w:rsidRPr="00430243" w:rsidRDefault="00430243" w:rsidP="00430243">
      <w:pPr>
        <w:spacing w:line="360" w:lineRule="auto"/>
        <w:rPr>
          <w:rFonts w:asciiTheme="minorHAnsi" w:hAnsiTheme="minorHAnsi" w:cstheme="minorHAnsi"/>
          <w:sz w:val="24"/>
          <w:szCs w:val="24"/>
        </w:rPr>
      </w:pPr>
      <w:r w:rsidRPr="00430243">
        <w:rPr>
          <w:rFonts w:asciiTheme="minorHAnsi" w:hAnsiTheme="minorHAnsi" w:cstheme="minorHAnsi"/>
          <w:sz w:val="24"/>
          <w:szCs w:val="24"/>
        </w:rPr>
        <w:lastRenderedPageBreak/>
        <w:t>Slide 33</w:t>
      </w: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jc w:val="center"/>
        <w:rPr>
          <w:rFonts w:asciiTheme="minorHAnsi" w:hAnsiTheme="minorHAnsi" w:cstheme="minorHAnsi"/>
          <w:sz w:val="24"/>
          <w:szCs w:val="24"/>
        </w:rPr>
      </w:pPr>
      <w:r w:rsidRPr="00430243">
        <w:rPr>
          <w:rFonts w:asciiTheme="minorHAnsi" w:hAnsiTheme="minorHAnsi" w:cstheme="minorHAnsi"/>
          <w:sz w:val="24"/>
          <w:szCs w:val="24"/>
        </w:rPr>
        <w:object w:dxaOrig="7180" w:dyaOrig="5390">
          <v:shape id="_x0000_i1185" type="#_x0000_t75" style="width:268.8pt;height:202.5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185" DrawAspect="Content" ObjectID="_1457932634" r:id="rId71"/>
        </w:object>
      </w:r>
    </w:p>
    <w:p w:rsidR="00430243" w:rsidRPr="00430243" w:rsidRDefault="00430243" w:rsidP="00430243">
      <w:pPr>
        <w:spacing w:line="360" w:lineRule="auto"/>
        <w:jc w:val="center"/>
        <w:rPr>
          <w:rFonts w:asciiTheme="minorHAnsi" w:hAnsiTheme="minorHAnsi" w:cstheme="minorHAnsi"/>
          <w:sz w:val="24"/>
          <w:szCs w:val="24"/>
        </w:rPr>
      </w:pPr>
    </w:p>
    <w:p w:rsidR="00430243" w:rsidRPr="00430243" w:rsidRDefault="00430243" w:rsidP="00430243">
      <w:pPr>
        <w:spacing w:line="360" w:lineRule="auto"/>
        <w:rPr>
          <w:rFonts w:asciiTheme="minorHAnsi" w:hAnsiTheme="minorHAnsi" w:cstheme="minorHAnsi"/>
          <w:sz w:val="24"/>
          <w:szCs w:val="24"/>
        </w:rPr>
      </w:pPr>
    </w:p>
    <w:p w:rsidR="00430243" w:rsidRPr="00430243" w:rsidRDefault="00430243" w:rsidP="00430243">
      <w:pPr>
        <w:spacing w:line="360" w:lineRule="auto"/>
        <w:rPr>
          <w:rFonts w:asciiTheme="minorHAnsi" w:hAnsiTheme="minorHAnsi" w:cstheme="minorHAnsi"/>
          <w:sz w:val="24"/>
          <w:szCs w:val="24"/>
        </w:rPr>
      </w:pPr>
    </w:p>
    <w:sectPr w:rsidR="00430243" w:rsidRPr="00430243"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A520C36"/>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cs="Calibri" w:hint="default"/>
          <w:sz w:val="24"/>
        </w:rPr>
      </w:lvl>
    </w:lvlOverride>
  </w:num>
  <w:num w:numId="3">
    <w:abstractNumId w:val="0"/>
    <w:lvlOverride w:ilvl="0">
      <w:lvl w:ilvl="0">
        <w:numFmt w:val="bullet"/>
        <w:lvlText w:val="•"/>
        <w:legacy w:legacy="1" w:legacySpace="0" w:legacyIndent="0"/>
        <w:lvlJc w:val="left"/>
        <w:rPr>
          <w:rFonts w:ascii="Arial" w:hAnsi="Arial" w:cs="Arial" w:hint="default"/>
          <w:sz w:val="3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243"/>
    <w:rsid w:val="00430243"/>
    <w:rsid w:val="005D236C"/>
    <w:rsid w:val="00737AB0"/>
    <w:rsid w:val="00A35BAC"/>
    <w:rsid w:val="00B4410E"/>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8.sldx"/><Relationship Id="rId42" Type="http://schemas.openxmlformats.org/officeDocument/2006/relationships/image" Target="media/image19.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customXml" Target="../customXml/item1.xml"/><Relationship Id="rId5" Type="http://schemas.openxmlformats.org/officeDocument/2006/relationships/webSettings" Target="webSettings.xml"/><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PowerPoint_Slide32.sldx"/><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5.sldx"/><Relationship Id="rId76" Type="http://schemas.openxmlformats.org/officeDocument/2006/relationships/customXml" Target="../customXml/item3.xml"/><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7EE475D-577A-4FE5-809C-E8C802B56AF5}"/>
</file>

<file path=customXml/itemProps2.xml><?xml version="1.0" encoding="utf-8"?>
<ds:datastoreItem xmlns:ds="http://schemas.openxmlformats.org/officeDocument/2006/customXml" ds:itemID="{B4648F20-1F4B-4617-848E-BE3EA76E5FAB}"/>
</file>

<file path=customXml/itemProps3.xml><?xml version="1.0" encoding="utf-8"?>
<ds:datastoreItem xmlns:ds="http://schemas.openxmlformats.org/officeDocument/2006/customXml" ds:itemID="{DCD0EEA1-ED6F-4B51-A208-D8AA5FFF7B74}"/>
</file>

<file path=docProps/app.xml><?xml version="1.0" encoding="utf-8"?>
<Properties xmlns="http://schemas.openxmlformats.org/officeDocument/2006/extended-properties" xmlns:vt="http://schemas.openxmlformats.org/officeDocument/2006/docPropsVTypes">
  <Template>67C4B2C3.dotm</Template>
  <TotalTime>6</TotalTime>
  <Pages>33</Pages>
  <Words>2441</Words>
  <Characters>14645</Characters>
  <Application>Microsoft Office Word</Application>
  <DocSecurity>0</DocSecurity>
  <Lines>122</Lines>
  <Paragraphs>34</Paragraphs>
  <ScaleCrop>false</ScaleCrop>
  <Company>Australian Government</Company>
  <LinksUpToDate>false</LinksUpToDate>
  <CharactersWithSpaces>17052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Jacinta Geou</dc:creator>
  <cp:lastModifiedBy>Jacinta Geou</cp:lastModifiedBy>
  <cp:revision>1</cp:revision>
  <dcterms:created xsi:type="dcterms:W3CDTF">2014-04-01T21:21:00Z</dcterms:created>
  <dcterms:modified xsi:type="dcterms:W3CDTF">2014-04-01T21:27:00Z</dcterms:modified>
</cp:coreProperties>
</file>