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AF9" w:rsidRDefault="00DA0AF9" w:rsidP="00DA0AF9">
      <w:pPr>
        <w:pStyle w:val="Title"/>
        <w:jc w:val="center"/>
      </w:pPr>
      <w:r>
        <w:t>Shepparton Region</w:t>
      </w:r>
    </w:p>
    <w:p w:rsidR="00FD16BC" w:rsidRPr="007668AD" w:rsidRDefault="00F27513" w:rsidP="007668AD">
      <w:pPr>
        <w:pStyle w:val="Heading1"/>
      </w:pPr>
      <w:r w:rsidRPr="007668AD">
        <w:t>Slide 1</w:t>
      </w:r>
    </w:p>
    <w:tbl>
      <w:tblPr>
        <w:tblStyle w:val="TableGrid"/>
        <w:tblW w:w="0" w:type="auto"/>
        <w:tblLook w:val="04A0" w:firstRow="1" w:lastRow="0" w:firstColumn="1" w:lastColumn="0" w:noHBand="0" w:noVBand="1"/>
      </w:tblPr>
      <w:tblGrid>
        <w:gridCol w:w="9570"/>
      </w:tblGrid>
      <w:tr w:rsidR="008C371E" w:rsidTr="008C371E">
        <w:trPr>
          <w:trHeight w:val="7019"/>
        </w:trPr>
        <w:tc>
          <w:tcPr>
            <w:tcW w:w="9570" w:type="dxa"/>
          </w:tcPr>
          <w:p w:rsidR="008C371E" w:rsidRPr="008C371E" w:rsidRDefault="008C371E" w:rsidP="008C371E">
            <w:pPr>
              <w:spacing w:before="840"/>
              <w:jc w:val="center"/>
              <w:rPr>
                <w:rFonts w:asciiTheme="minorHAnsi" w:hAnsiTheme="minorHAnsi" w:cstheme="minorHAnsi"/>
                <w:sz w:val="40"/>
              </w:rPr>
            </w:pPr>
            <w:r w:rsidRPr="008C371E">
              <w:rPr>
                <w:rFonts w:asciiTheme="minorHAnsi" w:hAnsiTheme="minorHAnsi" w:cstheme="minorHAnsi"/>
                <w:sz w:val="40"/>
              </w:rPr>
              <w:t>Shepparton Region</w:t>
            </w:r>
          </w:p>
          <w:p w:rsidR="008C371E" w:rsidRPr="008C371E" w:rsidRDefault="008C371E" w:rsidP="008C371E">
            <w:pPr>
              <w:jc w:val="center"/>
              <w:rPr>
                <w:rFonts w:asciiTheme="minorHAnsi" w:hAnsiTheme="minorHAnsi" w:cstheme="minorHAnsi"/>
                <w:sz w:val="40"/>
              </w:rPr>
            </w:pPr>
            <w:r w:rsidRPr="008C371E">
              <w:rPr>
                <w:rFonts w:asciiTheme="minorHAnsi" w:hAnsiTheme="minorHAnsi" w:cstheme="minorHAnsi"/>
                <w:sz w:val="40"/>
              </w:rPr>
              <w:t>9 April 2014</w:t>
            </w:r>
          </w:p>
          <w:p w:rsidR="008C371E" w:rsidRPr="008C371E" w:rsidRDefault="008C371E" w:rsidP="008C371E">
            <w:pPr>
              <w:jc w:val="center"/>
              <w:rPr>
                <w:rFonts w:asciiTheme="minorHAnsi" w:hAnsiTheme="minorHAnsi" w:cstheme="minorHAnsi"/>
                <w:sz w:val="40"/>
              </w:rPr>
            </w:pPr>
          </w:p>
          <w:p w:rsidR="008C371E" w:rsidRPr="008C371E" w:rsidRDefault="008C371E" w:rsidP="008C371E">
            <w:pPr>
              <w:jc w:val="center"/>
              <w:rPr>
                <w:rFonts w:asciiTheme="minorHAnsi" w:hAnsiTheme="minorHAnsi" w:cstheme="minorHAnsi"/>
                <w:sz w:val="40"/>
              </w:rPr>
            </w:pPr>
            <w:r w:rsidRPr="008C371E">
              <w:rPr>
                <w:rFonts w:asciiTheme="minorHAnsi" w:hAnsiTheme="minorHAnsi" w:cstheme="minorHAnsi"/>
                <w:sz w:val="40"/>
              </w:rPr>
              <w:t>Presenter: Ivan Neville</w:t>
            </w:r>
          </w:p>
          <w:p w:rsidR="008C371E" w:rsidRPr="008C371E" w:rsidRDefault="008C371E" w:rsidP="008C371E">
            <w:pPr>
              <w:jc w:val="center"/>
              <w:rPr>
                <w:rFonts w:asciiTheme="minorHAnsi" w:hAnsiTheme="minorHAnsi" w:cstheme="minorHAnsi"/>
                <w:sz w:val="40"/>
              </w:rPr>
            </w:pPr>
            <w:r w:rsidRPr="008C371E">
              <w:rPr>
                <w:rFonts w:asciiTheme="minorHAnsi" w:hAnsiTheme="minorHAnsi" w:cstheme="minorHAnsi"/>
                <w:sz w:val="40"/>
              </w:rPr>
              <w:t>Branch Manager</w:t>
            </w:r>
          </w:p>
          <w:p w:rsidR="008C371E" w:rsidRDefault="008C371E" w:rsidP="008C371E">
            <w:pPr>
              <w:jc w:val="center"/>
            </w:pPr>
            <w:r w:rsidRPr="008C371E">
              <w:rPr>
                <w:rFonts w:asciiTheme="minorHAnsi" w:hAnsiTheme="minorHAnsi" w:cstheme="minorHAnsi"/>
                <w:sz w:val="40"/>
              </w:rPr>
              <w:t>Labour Market Research and Analysis Branch</w:t>
            </w:r>
          </w:p>
        </w:tc>
      </w:tr>
    </w:tbl>
    <w:p w:rsidR="008C371E" w:rsidRPr="00DA0AF9" w:rsidRDefault="00F27513" w:rsidP="008C371E">
      <w:pPr>
        <w:pBdr>
          <w:top w:val="single" w:sz="4" w:space="1" w:color="auto"/>
          <w:left w:val="single" w:sz="4" w:space="4" w:color="auto"/>
          <w:bottom w:val="single" w:sz="4" w:space="1" w:color="auto"/>
          <w:right w:val="single" w:sz="4" w:space="4" w:color="auto"/>
        </w:pBdr>
        <w:spacing w:line="360" w:lineRule="auto"/>
        <w:jc w:val="center"/>
        <w:rPr>
          <w:sz w:val="32"/>
          <w:szCs w:val="32"/>
        </w:rPr>
      </w:pPr>
      <w:r>
        <w:br w:type="page"/>
      </w:r>
    </w:p>
    <w:p w:rsidR="00F27513" w:rsidRPr="007668AD" w:rsidRDefault="00F27513" w:rsidP="007668AD">
      <w:pPr>
        <w:pStyle w:val="Heading1"/>
      </w:pPr>
      <w:r w:rsidRPr="007668AD">
        <w:lastRenderedPageBreak/>
        <w:t>Slide 2</w:t>
      </w:r>
    </w:p>
    <w:p w:rsidR="00F27513" w:rsidRPr="007668AD" w:rsidRDefault="007668AD" w:rsidP="007668AD">
      <w:pPr>
        <w:pStyle w:val="Heading2"/>
        <w:jc w:val="center"/>
      </w:pPr>
      <w:r w:rsidRPr="007668AD">
        <w:t>Shepparton Region</w:t>
      </w:r>
    </w:p>
    <w:p w:rsidR="00F27513" w:rsidRDefault="00DD319C" w:rsidP="00F27513">
      <w:pPr>
        <w:spacing w:line="360" w:lineRule="auto"/>
        <w:jc w:val="center"/>
      </w:pPr>
      <w:r>
        <w:rPr>
          <w:noProof/>
          <w:lang w:eastAsia="en-AU"/>
        </w:rPr>
        <w:drawing>
          <wp:inline distT="0" distB="0" distL="0" distR="0">
            <wp:extent cx="5939790" cy="4455160"/>
            <wp:effectExtent l="19050" t="19050" r="22860" b="21590"/>
            <wp:docPr id="1" name="Picture 1" descr="Map of the Shepparton Region with the Benalla, Campaspe, Greater Shepparton, Moira, Strathbogie and Wangaratta Local Government Area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CD7F7F" w:rsidRDefault="00F27513" w:rsidP="002E6F2D">
      <w:pPr>
        <w:pStyle w:val="Heading3"/>
        <w:rPr>
          <w:lang w:eastAsia="en-AU"/>
        </w:rPr>
      </w:pPr>
      <w:r w:rsidRPr="00CD7F7F">
        <w:rPr>
          <w:lang w:eastAsia="en-AU"/>
        </w:rPr>
        <w:t>The Shepparton Region</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Shepparton region and surrounding area is comprised of six </w:t>
      </w:r>
      <w:proofErr w:type="spellStart"/>
      <w:r>
        <w:rPr>
          <w:rFonts w:ascii="Calibri" w:hAnsi="Calibri" w:cs="Calibri"/>
          <w:color w:val="000000"/>
          <w:kern w:val="24"/>
          <w:sz w:val="24"/>
          <w:szCs w:val="24"/>
          <w:lang w:eastAsia="en-AU"/>
        </w:rPr>
        <w:t>LGAs</w:t>
      </w:r>
      <w:proofErr w:type="spellEnd"/>
      <w:r>
        <w:rPr>
          <w:rFonts w:ascii="Calibri" w:hAnsi="Calibri" w:cs="Calibri"/>
          <w:color w:val="000000"/>
          <w:kern w:val="24"/>
          <w:sz w:val="24"/>
          <w:szCs w:val="24"/>
          <w:lang w:eastAsia="en-AU"/>
        </w:rPr>
        <w: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Benalla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Campaspe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Greater Shepparton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Moira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Strathbogie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Wangaratta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Shepparton Region accounts for 97 per cent of the Shepparton </w:t>
      </w:r>
      <w:proofErr w:type="spellStart"/>
      <w:r>
        <w:rPr>
          <w:rFonts w:ascii="Calibri" w:hAnsi="Calibri"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and 63 per cent of the Hume </w:t>
      </w:r>
      <w:proofErr w:type="spellStart"/>
      <w:r>
        <w:rPr>
          <w:rFonts w:ascii="Calibri" w:hAnsi="Calibri" w:cs="Calibri"/>
          <w:color w:val="000000"/>
          <w:kern w:val="24"/>
          <w:sz w:val="24"/>
          <w:szCs w:val="24"/>
          <w:lang w:eastAsia="en-AU"/>
        </w:rPr>
        <w:t>SA4</w:t>
      </w:r>
      <w:proofErr w:type="spellEnd"/>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region is part of the broader North Eastern Victoria Priority Employment Area (PEA). The Shepparton Region accounts for 57 per cent of the Goulburn-Ovens-Murray LFR working age population (ABS, </w:t>
      </w:r>
      <w:r>
        <w:rPr>
          <w:rFonts w:ascii="Calibri" w:hAnsi="Calibri" w:cs="Calibri"/>
          <w:i/>
          <w:iCs/>
          <w:color w:val="000000"/>
          <w:kern w:val="24"/>
          <w:sz w:val="24"/>
          <w:szCs w:val="24"/>
          <w:lang w:eastAsia="en-AU"/>
        </w:rPr>
        <w:t>Estimated Residential Population, 2011)</w:t>
      </w:r>
      <w:r>
        <w:rPr>
          <w:rFonts w:ascii="Calibri" w:hAnsi="Calibri" w:cs="Calibri"/>
          <w:color w:val="000000"/>
          <w:kern w:val="24"/>
          <w:sz w:val="24"/>
          <w:szCs w:val="24"/>
          <w:lang w:eastAsia="en-AU"/>
        </w:rPr>
        <w:t xml:space="preserve">. </w:t>
      </w:r>
    </w:p>
    <w:p w:rsidR="00F27513" w:rsidRDefault="00F27513" w:rsidP="00F27513">
      <w:pPr>
        <w:autoSpaceDE w:val="0"/>
        <w:autoSpaceDN w:val="0"/>
        <w:adjustRightInd w:val="0"/>
        <w:rPr>
          <w:rFonts w:ascii="Calibri" w:hAnsi="Calibri" w:cs="Calibri"/>
          <w:color w:val="000000"/>
          <w:szCs w:val="22"/>
          <w:lang w:eastAsia="en-AU"/>
        </w:rPr>
      </w:pPr>
    </w:p>
    <w:p w:rsidR="00F27513" w:rsidRDefault="00F27513"/>
    <w:p w:rsidR="00F27513" w:rsidRDefault="00F27513" w:rsidP="007668AD">
      <w:pPr>
        <w:pStyle w:val="Heading1"/>
      </w:pPr>
      <w:r>
        <w:lastRenderedPageBreak/>
        <w:t>Slide 3</w:t>
      </w:r>
    </w:p>
    <w:p w:rsidR="007668AD" w:rsidRPr="007668AD" w:rsidRDefault="007668AD" w:rsidP="007668AD">
      <w:pPr>
        <w:pStyle w:val="Heading2"/>
        <w:jc w:val="center"/>
      </w:pPr>
      <w:r>
        <w:t>Population Profile</w:t>
      </w:r>
    </w:p>
    <w:tbl>
      <w:tblPr>
        <w:tblW w:w="9648" w:type="dxa"/>
        <w:tblCellMar>
          <w:left w:w="0" w:type="dxa"/>
          <w:right w:w="0" w:type="dxa"/>
        </w:tblCellMar>
        <w:tblLook w:val="0600" w:firstRow="0" w:lastRow="0" w:firstColumn="0" w:lastColumn="0" w:noHBand="1" w:noVBand="1"/>
      </w:tblPr>
      <w:tblGrid>
        <w:gridCol w:w="3417"/>
        <w:gridCol w:w="2127"/>
        <w:gridCol w:w="2273"/>
        <w:gridCol w:w="1831"/>
      </w:tblGrid>
      <w:tr w:rsidR="00DD319C" w:rsidRPr="00DD319C" w:rsidTr="00F167D9">
        <w:trPr>
          <w:trHeight w:val="689"/>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073AB7">
            <w:pPr>
              <w:pStyle w:val="Heading1"/>
              <w:jc w:val="center"/>
              <w:rPr>
                <w:lang w:eastAsia="en-AU"/>
              </w:rPr>
            </w:pPr>
            <w:r w:rsidRPr="00DD319C">
              <w:rPr>
                <w:lang w:eastAsia="en-AU"/>
              </w:rPr>
              <w:t>Region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073AB7">
            <w:pPr>
              <w:pStyle w:val="Heading1"/>
              <w:jc w:val="center"/>
              <w:rPr>
                <w:lang w:eastAsia="en-AU"/>
              </w:rPr>
            </w:pPr>
            <w:r w:rsidRPr="00DD319C">
              <w:rPr>
                <w:lang w:eastAsia="en-AU"/>
              </w:rPr>
              <w:t xml:space="preserve">Adult </w:t>
            </w:r>
            <w:r w:rsidRPr="00DD319C">
              <w:rPr>
                <w:lang w:eastAsia="en-AU"/>
              </w:rPr>
              <w:br/>
              <w:t>Population</w:t>
            </w:r>
          </w:p>
          <w:p w:rsidR="00DD319C" w:rsidRPr="00DD319C" w:rsidRDefault="00DD319C" w:rsidP="00073AB7">
            <w:pPr>
              <w:pStyle w:val="Heading1"/>
              <w:jc w:val="center"/>
              <w:rPr>
                <w:lang w:eastAsia="en-AU"/>
              </w:rPr>
            </w:pPr>
            <w:r w:rsidRPr="00DD319C">
              <w:rPr>
                <w:lang w:eastAsia="en-AU"/>
              </w:rPr>
              <w:t>(15 years+)</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073AB7">
            <w:pPr>
              <w:pStyle w:val="Heading1"/>
              <w:jc w:val="center"/>
              <w:rPr>
                <w:lang w:eastAsia="en-AU"/>
              </w:rPr>
            </w:pPr>
            <w:r w:rsidRPr="00DD319C">
              <w:rPr>
                <w:lang w:eastAsia="en-AU"/>
              </w:rPr>
              <w:t xml:space="preserve">Adult </w:t>
            </w:r>
            <w:r w:rsidRPr="00DD319C">
              <w:rPr>
                <w:lang w:eastAsia="en-AU"/>
              </w:rPr>
              <w:br/>
              <w:t xml:space="preserve">Population </w:t>
            </w:r>
            <w:r w:rsidRPr="00DD319C">
              <w:rPr>
                <w:lang w:eastAsia="en-AU"/>
              </w:rPr>
              <w:br/>
            </w:r>
            <w:proofErr w:type="gramStart"/>
            <w:r w:rsidRPr="00DD319C">
              <w:rPr>
                <w:lang w:eastAsia="en-AU"/>
              </w:rPr>
              <w:t>Growth</w:t>
            </w:r>
            <w:proofErr w:type="gramEnd"/>
            <w:r w:rsidRPr="00DD319C">
              <w:rPr>
                <w:lang w:eastAsia="en-AU"/>
              </w:rPr>
              <w:br/>
              <w:t>(2007 to 2012)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073AB7">
            <w:pPr>
              <w:pStyle w:val="Heading1"/>
              <w:jc w:val="center"/>
              <w:rPr>
                <w:lang w:eastAsia="en-AU"/>
              </w:rPr>
            </w:pPr>
            <w:r w:rsidRPr="00DD319C">
              <w:rPr>
                <w:lang w:eastAsia="en-AU"/>
              </w:rPr>
              <w:t>Median Age</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bCs/>
                <w:color w:val="000000"/>
                <w:kern w:val="24"/>
                <w:sz w:val="26"/>
                <w:szCs w:val="26"/>
                <w:lang w:eastAsia="en-AU"/>
              </w:rPr>
              <w:t>Greater Shepparton LGA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bCs/>
                <w:color w:val="000000"/>
                <w:kern w:val="24"/>
                <w:sz w:val="26"/>
                <w:szCs w:val="26"/>
                <w:lang w:eastAsia="en-AU"/>
              </w:rPr>
              <w:t>49,300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bCs/>
                <w:color w:val="000000"/>
                <w:kern w:val="24"/>
                <w:sz w:val="26"/>
                <w:szCs w:val="26"/>
                <w:lang w:eastAsia="en-AU"/>
              </w:rPr>
              <w:t>6%</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bCs/>
                <w:color w:val="000000"/>
                <w:kern w:val="24"/>
                <w:sz w:val="26"/>
                <w:szCs w:val="26"/>
                <w:lang w:eastAsia="en-AU"/>
              </w:rPr>
              <w:t>38</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Benalla LGA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11,400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46</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Campaspe LGA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29,700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42</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Moira LGA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23,200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5%</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44</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Strathbogie LGA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8,100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2%</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50</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Wangaratta LGA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22,200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3%</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43</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bCs/>
                <w:color w:val="000000"/>
                <w:kern w:val="24"/>
                <w:sz w:val="26"/>
                <w:szCs w:val="26"/>
                <w:lang w:eastAsia="en-AU"/>
              </w:rPr>
              <w:t>Shepparton Region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bCs/>
                <w:color w:val="000000"/>
                <w:kern w:val="24"/>
                <w:sz w:val="26"/>
                <w:szCs w:val="26"/>
                <w:lang w:eastAsia="en-AU"/>
              </w:rPr>
              <w:t>144,000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bCs/>
                <w:color w:val="000000"/>
                <w:kern w:val="24"/>
                <w:sz w:val="26"/>
                <w:szCs w:val="26"/>
                <w:lang w:eastAsia="en-AU"/>
              </w:rPr>
              <w:t>4%</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bCs/>
                <w:color w:val="000000"/>
                <w:kern w:val="24"/>
                <w:sz w:val="26"/>
                <w:szCs w:val="26"/>
                <w:lang w:eastAsia="en-AU"/>
              </w:rPr>
              <w:t>42</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Victoria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4,599,100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10%</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37</w:t>
            </w:r>
          </w:p>
        </w:tc>
      </w:tr>
      <w:tr w:rsidR="00DD319C" w:rsidRPr="00DD319C" w:rsidTr="00F167D9">
        <w:trPr>
          <w:trHeight w:val="230"/>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ind w:left="58"/>
              <w:textAlignment w:val="center"/>
              <w:rPr>
                <w:rFonts w:cs="Arial"/>
                <w:sz w:val="26"/>
                <w:szCs w:val="26"/>
                <w:lang w:eastAsia="en-AU"/>
              </w:rPr>
            </w:pPr>
            <w:r w:rsidRPr="00DD319C">
              <w:rPr>
                <w:rFonts w:ascii="Calibri" w:hAnsi="Calibri" w:cs="Calibri"/>
                <w:color w:val="000000"/>
                <w:kern w:val="24"/>
                <w:sz w:val="26"/>
                <w:szCs w:val="26"/>
                <w:lang w:eastAsia="en-AU"/>
              </w:rPr>
              <w:t>Australia</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18,419,600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10%</w:t>
            </w:r>
          </w:p>
        </w:tc>
        <w:tc>
          <w:tcPr>
            <w:tcW w:w="1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D319C" w:rsidRPr="00DD319C" w:rsidRDefault="00DD319C" w:rsidP="00DD319C">
            <w:pPr>
              <w:jc w:val="center"/>
              <w:textAlignment w:val="center"/>
              <w:rPr>
                <w:rFonts w:cs="Arial"/>
                <w:sz w:val="26"/>
                <w:szCs w:val="26"/>
                <w:lang w:eastAsia="en-AU"/>
              </w:rPr>
            </w:pPr>
            <w:r w:rsidRPr="00DD319C">
              <w:rPr>
                <w:rFonts w:ascii="Calibri" w:hAnsi="Calibri" w:cs="Calibri"/>
                <w:color w:val="000000"/>
                <w:kern w:val="24"/>
                <w:sz w:val="26"/>
                <w:szCs w:val="26"/>
                <w:lang w:eastAsia="en-AU"/>
              </w:rPr>
              <w:t>37</w:t>
            </w:r>
          </w:p>
        </w:tc>
      </w:tr>
    </w:tbl>
    <w:p w:rsidR="00F27513" w:rsidRPr="00CD7F7F" w:rsidRDefault="00F27513" w:rsidP="002E6F2D">
      <w:pPr>
        <w:pStyle w:val="Heading3"/>
        <w:rPr>
          <w:lang w:eastAsia="en-AU"/>
        </w:rPr>
      </w:pPr>
      <w:r w:rsidRPr="00CD7F7F">
        <w:rPr>
          <w:lang w:eastAsia="en-AU"/>
        </w:rPr>
        <w:t>Population Profile</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Estimated Resident Population ABS, Census of Population and Housing, 2011</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June 2012, the adult population (aged 15 and over) in the Shepparton Region was 144,000.</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Shepparton Region experienced much slower population growth (4 per cent) in the 5 years to 2012 compared with the growth for Victoria and Australia (both 10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Greater Shepparton LGA experienced the highest growth across the region (6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At the time of the 2011 Census, the median age in the Shepparton Region (42 years) was higher than the median age for Victoria and Australia (both 37 years).</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4</w:t>
      </w:r>
    </w:p>
    <w:p w:rsidR="007668AD" w:rsidRDefault="007668AD" w:rsidP="007668AD">
      <w:pPr>
        <w:pStyle w:val="Heading2"/>
        <w:jc w:val="center"/>
      </w:pPr>
      <w:r>
        <w:t>Age Distribution</w:t>
      </w:r>
    </w:p>
    <w:p w:rsidR="00F27513" w:rsidRDefault="00DD319C" w:rsidP="002E6F2D">
      <w:pPr>
        <w:spacing w:line="360" w:lineRule="auto"/>
        <w:jc w:val="center"/>
      </w:pPr>
      <w:r>
        <w:rPr>
          <w:noProof/>
          <w:lang w:eastAsia="en-AU"/>
        </w:rPr>
        <w:drawing>
          <wp:inline distT="0" distB="0" distL="0" distR="0" wp14:anchorId="5E6298EF" wp14:editId="0791EFB4">
            <wp:extent cx="5939790" cy="4455160"/>
            <wp:effectExtent l="19050" t="19050" r="22860" b="21590"/>
            <wp:docPr id="2" name="Picture 2" descr="Graph showing the age distribution of the Greater Shepparton LGA, Shepparton region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CD7F7F" w:rsidRDefault="00F27513" w:rsidP="002E6F2D">
      <w:pPr>
        <w:pStyle w:val="Heading3"/>
        <w:rPr>
          <w:lang w:eastAsia="en-AU"/>
        </w:rPr>
      </w:pPr>
      <w:r w:rsidRPr="00CD7F7F">
        <w:rPr>
          <w:lang w:eastAsia="en-AU"/>
        </w:rPr>
        <w:t>Age Distribution</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r>
        <w:rPr>
          <w:rFonts w:ascii="Calibri" w:hAnsi="Calibri" w:cs="Calibri"/>
          <w:color w:val="000000"/>
          <w:kern w:val="24"/>
          <w:sz w:val="24"/>
          <w:szCs w:val="24"/>
          <w:lang w:eastAsia="en-AU"/>
        </w:rPr>
        <w:tab/>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Calibri" w:cs="Calibri"/>
          <w:color w:val="000000"/>
          <w:kern w:val="24"/>
          <w:sz w:val="24"/>
          <w:szCs w:val="24"/>
          <w:lang w:eastAsia="en-AU"/>
        </w:rPr>
        <w:tab/>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graph compares the age distributions of the Greater Shepparton LGA and the Shepparton Region with the age distribution of Victoria.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age distribution of the Shepparton Region shows that a markedly smaller proportion of the population is made up of people aged between 20 and 44 years, when compared with the Victorian age distribution.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Similar demographic patterns exist for other regional areas and are due in part to young adults moving to major urban centres.</w:t>
      </w:r>
    </w:p>
    <w:p w:rsidR="00F27513" w:rsidRDefault="00F27513" w:rsidP="00F27513">
      <w:pPr>
        <w:autoSpaceDE w:val="0"/>
        <w:autoSpaceDN w:val="0"/>
        <w:adjustRightInd w:val="0"/>
        <w:rPr>
          <w:rFonts w:ascii="Calibri" w:hAnsi="Calibri" w:cs="Calibri"/>
          <w:color w:val="000000"/>
          <w:szCs w:val="22"/>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5</w:t>
      </w:r>
    </w:p>
    <w:p w:rsidR="007668AD" w:rsidRDefault="007668AD" w:rsidP="007668AD">
      <w:pPr>
        <w:pStyle w:val="Heading2"/>
        <w:jc w:val="center"/>
      </w:pPr>
      <w:r>
        <w:t>Recent decrease in unemployment…</w:t>
      </w:r>
    </w:p>
    <w:p w:rsidR="00F27513" w:rsidRDefault="00DD319C" w:rsidP="002E6F2D">
      <w:pPr>
        <w:spacing w:line="360" w:lineRule="auto"/>
        <w:jc w:val="center"/>
      </w:pPr>
      <w:r>
        <w:rPr>
          <w:noProof/>
          <w:lang w:eastAsia="en-AU"/>
        </w:rPr>
        <w:drawing>
          <wp:inline distT="0" distB="0" distL="0" distR="0" wp14:anchorId="7FC82DDC" wp14:editId="3D94425D">
            <wp:extent cx="5939790" cy="4455160"/>
            <wp:effectExtent l="19050" t="19050" r="22860" b="21590"/>
            <wp:docPr id="3" name="Picture 3" descr="Graph showing the unemployment rate of the Greater Shepparton LGA, Shepparton SA4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CD7F7F" w:rsidRDefault="00F27513" w:rsidP="002E6F2D">
      <w:pPr>
        <w:pStyle w:val="Heading3"/>
        <w:rPr>
          <w:lang w:eastAsia="en-AU"/>
        </w:rPr>
      </w:pPr>
      <w:r w:rsidRPr="00CD7F7F">
        <w:rPr>
          <w:lang w:eastAsia="en-AU"/>
        </w:rPr>
        <w:t>Recent decrease in unemployment…</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w:t>
      </w:r>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Department of Employment, Small Area Labour Markets, December Quarter 2013, ABS Labour Force Survey February 2014</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unemployment rate for the Greater Shepparton LGA has remained consistently above the state and national unemployment rates since March 2010. However, the unemployment rate in the Shepparton </w:t>
      </w:r>
      <w:proofErr w:type="spellStart"/>
      <w:r>
        <w:rPr>
          <w:rFonts w:ascii="Calibri" w:hAnsi="Calibri"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has recently fallen below the state unemployment rate.</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6</w:t>
      </w:r>
    </w:p>
    <w:p w:rsidR="007668AD" w:rsidRPr="007668AD" w:rsidRDefault="007668AD" w:rsidP="007668AD">
      <w:pPr>
        <w:pStyle w:val="Heading2"/>
        <w:jc w:val="center"/>
        <w:rPr>
          <w:lang w:eastAsia="en-AU"/>
        </w:rPr>
      </w:pPr>
      <w:r w:rsidRPr="007668AD">
        <w:rPr>
          <w:lang w:eastAsia="en-AU"/>
        </w:rPr>
        <w:t>… But participation rate low and decreasing…</w:t>
      </w:r>
    </w:p>
    <w:p w:rsidR="00F27513" w:rsidRDefault="00DD319C" w:rsidP="002E6F2D">
      <w:pPr>
        <w:spacing w:line="360" w:lineRule="auto"/>
        <w:jc w:val="center"/>
      </w:pPr>
      <w:r>
        <w:rPr>
          <w:noProof/>
          <w:lang w:eastAsia="en-AU"/>
        </w:rPr>
        <w:drawing>
          <wp:inline distT="0" distB="0" distL="0" distR="0" wp14:anchorId="7456DA8C" wp14:editId="430B32E8">
            <wp:extent cx="5939790" cy="4455160"/>
            <wp:effectExtent l="19050" t="19050" r="22860" b="21590"/>
            <wp:docPr id="4" name="Picture 4" descr="Graph that shows the participation rate of the Shepparton SA4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CD7F7F" w:rsidRDefault="00F27513" w:rsidP="002E6F2D">
      <w:pPr>
        <w:pStyle w:val="Heading3"/>
        <w:rPr>
          <w:lang w:eastAsia="en-AU"/>
        </w:rPr>
      </w:pPr>
      <w:r w:rsidRPr="00CD7F7F">
        <w:rPr>
          <w:lang w:eastAsia="en-AU"/>
        </w:rPr>
        <w:t>… But participation rate low and decreasing…</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w:t>
      </w:r>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ABS Labour Force Survey, February 2014 (12 month averages of original data), adult population (15 years and over)</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adult population participation rate for the Shepparton </w:t>
      </w:r>
      <w:proofErr w:type="spellStart"/>
      <w:r>
        <w:rPr>
          <w:rFonts w:ascii="Calibri" w:hAnsi="Calibri"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(97 per cent of which is included in the Shepparton Region) has consistently remained below the Victorian participation rate, and recently decreased below 60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2F1147">
      <w:pPr>
        <w:pStyle w:val="Heading1"/>
      </w:pPr>
      <w:r>
        <w:lastRenderedPageBreak/>
        <w:t>Slide 7</w:t>
      </w:r>
    </w:p>
    <w:p w:rsidR="007668AD" w:rsidRPr="002F1147" w:rsidRDefault="002F1147" w:rsidP="002F1147">
      <w:pPr>
        <w:pStyle w:val="Heading2"/>
        <w:jc w:val="center"/>
        <w:rPr>
          <w:rFonts w:cs="Calibri"/>
          <w:color w:val="000000"/>
          <w:kern w:val="24"/>
          <w:szCs w:val="24"/>
          <w:lang w:eastAsia="en-AU"/>
        </w:rPr>
      </w:pPr>
      <w:r w:rsidRPr="002F1147">
        <w:rPr>
          <w:rFonts w:cs="Calibri"/>
          <w:color w:val="000000"/>
          <w:kern w:val="24"/>
          <w:szCs w:val="24"/>
          <w:lang w:eastAsia="en-AU"/>
        </w:rPr>
        <w:t>… And full-time employment also decreasing</w:t>
      </w:r>
    </w:p>
    <w:p w:rsidR="00F27513" w:rsidRDefault="00DD319C" w:rsidP="002E6F2D">
      <w:pPr>
        <w:spacing w:line="360" w:lineRule="auto"/>
        <w:jc w:val="center"/>
      </w:pPr>
      <w:r>
        <w:rPr>
          <w:noProof/>
          <w:lang w:eastAsia="en-AU"/>
        </w:rPr>
        <w:drawing>
          <wp:inline distT="0" distB="0" distL="0" distR="0" wp14:anchorId="3E9E3FE0" wp14:editId="58054CA4">
            <wp:extent cx="5939790" cy="4455160"/>
            <wp:effectExtent l="19050" t="19050" r="22860" b="21590"/>
            <wp:docPr id="5" name="Picture 5" descr="Graph that shows full-time and part-tim employment by male and female for the North East Victoria PEA and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CD7F7F" w:rsidRDefault="00F27513" w:rsidP="002E6F2D">
      <w:pPr>
        <w:pStyle w:val="Heading3"/>
        <w:rPr>
          <w:lang w:eastAsia="en-AU"/>
        </w:rPr>
      </w:pPr>
      <w:r w:rsidRPr="00CD7F7F">
        <w:rPr>
          <w:lang w:eastAsia="en-AU"/>
        </w:rPr>
        <w:t>… And full-time employment also decreasing</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w:t>
      </w:r>
      <w:r>
        <w:rPr>
          <w:rFonts w:ascii="Calibri" w:hAnsi="Calibri" w:cs="Calibri"/>
          <w:color w:val="000000"/>
          <w:kern w:val="24"/>
          <w:sz w:val="24"/>
          <w:szCs w:val="24"/>
          <w:lang w:eastAsia="en-AU"/>
        </w:rPr>
        <w:t xml:space="preserve"> </w:t>
      </w:r>
      <w:r>
        <w:rPr>
          <w:rFonts w:ascii="Calibri" w:hAnsi="Calibri" w:cs="Calibri"/>
          <w:i/>
          <w:iCs/>
          <w:color w:val="000000"/>
          <w:kern w:val="24"/>
          <w:sz w:val="24"/>
          <w:szCs w:val="24"/>
          <w:lang w:eastAsia="en-AU"/>
        </w:rPr>
        <w:t>ABS Labour Force Survey, February 2014 (12 month averages of original data)</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The NE Victoria PEA in this slide is represented by the combined Hume, Murray and Shepparton </w:t>
      </w:r>
      <w:proofErr w:type="spellStart"/>
      <w:r>
        <w:rPr>
          <w:rFonts w:ascii="Calibri" w:hAnsi="Calibri" w:cs="Calibri"/>
          <w:i/>
          <w:iCs/>
          <w:color w:val="000000"/>
          <w:kern w:val="24"/>
          <w:sz w:val="24"/>
          <w:szCs w:val="24"/>
          <w:lang w:eastAsia="en-AU"/>
        </w:rPr>
        <w:t>SA4s</w:t>
      </w:r>
      <w:proofErr w:type="spellEnd"/>
      <w:r>
        <w:rPr>
          <w:rFonts w:ascii="Calibri" w:hAnsi="Calibri" w:cs="Calibri"/>
          <w:i/>
          <w:iCs/>
          <w:color w:val="000000"/>
          <w:kern w:val="24"/>
          <w:sz w:val="24"/>
          <w:szCs w:val="24"/>
          <w:lang w:eastAsia="en-AU"/>
        </w:rPr>
        <w:t xml:space="preserve">. The NE Victoria PEA accounts for 73 per cent of the population of these combined </w:t>
      </w:r>
      <w:proofErr w:type="spellStart"/>
      <w:r>
        <w:rPr>
          <w:rFonts w:ascii="Calibri" w:hAnsi="Calibri" w:cs="Calibri"/>
          <w:i/>
          <w:iCs/>
          <w:color w:val="000000"/>
          <w:kern w:val="24"/>
          <w:sz w:val="24"/>
          <w:szCs w:val="24"/>
          <w:lang w:eastAsia="en-AU"/>
        </w:rPr>
        <w:t>SA4s</w:t>
      </w:r>
      <w:proofErr w:type="spellEnd"/>
      <w:r>
        <w:rPr>
          <w:rFonts w:ascii="Calibri" w:hAnsi="Calibri" w:cs="Calibri"/>
          <w:i/>
          <w:iCs/>
          <w:color w:val="000000"/>
          <w:kern w:val="24"/>
          <w:sz w:val="24"/>
          <w:szCs w:val="24"/>
          <w:lang w:eastAsia="en-AU"/>
        </w:rPr>
        <w:t xml:space="preserve">.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While there has been employment growth in the PEA over the past 5 years, this has been entirely due to growth in part-time employment, with full-time employment decreasing.</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8</w:t>
      </w:r>
    </w:p>
    <w:p w:rsidR="00F27513" w:rsidRPr="002F1147" w:rsidRDefault="002F1147" w:rsidP="002F1147">
      <w:pPr>
        <w:pStyle w:val="Heading2"/>
        <w:jc w:val="center"/>
        <w:rPr>
          <w:lang w:eastAsia="en-AU"/>
        </w:rPr>
      </w:pPr>
      <w:r w:rsidRPr="00CD7F7F">
        <w:rPr>
          <w:lang w:eastAsia="en-AU"/>
        </w:rPr>
        <w:t xml:space="preserve">Who </w:t>
      </w:r>
      <w:proofErr w:type="gramStart"/>
      <w:r w:rsidRPr="00CD7F7F">
        <w:rPr>
          <w:lang w:eastAsia="en-AU"/>
        </w:rPr>
        <w:t>is</w:t>
      </w:r>
      <w:proofErr w:type="gramEnd"/>
      <w:r w:rsidRPr="00CD7F7F">
        <w:rPr>
          <w:lang w:eastAsia="en-AU"/>
        </w:rPr>
        <w:t xml:space="preserve"> Unemployed?</w:t>
      </w:r>
    </w:p>
    <w:p w:rsidR="00F27513" w:rsidRDefault="00DD319C" w:rsidP="00F27513">
      <w:pPr>
        <w:spacing w:line="360" w:lineRule="auto"/>
        <w:jc w:val="center"/>
      </w:pPr>
      <w:r>
        <w:rPr>
          <w:noProof/>
          <w:lang w:eastAsia="en-AU"/>
        </w:rPr>
        <w:drawing>
          <wp:inline distT="0" distB="0" distL="0" distR="0">
            <wp:extent cx="5939790" cy="4455160"/>
            <wp:effectExtent l="19050" t="19050" r="22860" b="21590"/>
            <wp:docPr id="6" name="Picture 6" descr="Chart that shows the proportion of unemployed who are aged under 45 years and 45 years and over. Se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CD7F7F" w:rsidRDefault="00F27513" w:rsidP="004F6FB3">
      <w:pPr>
        <w:pStyle w:val="Heading3"/>
        <w:rPr>
          <w:lang w:eastAsia="en-AU"/>
        </w:rPr>
      </w:pPr>
      <w:r w:rsidRPr="00CD7F7F">
        <w:rPr>
          <w:lang w:eastAsia="en-AU"/>
        </w:rPr>
        <w:t xml:space="preserve">Who </w:t>
      </w:r>
      <w:proofErr w:type="gramStart"/>
      <w:r w:rsidRPr="00CD7F7F">
        <w:rPr>
          <w:lang w:eastAsia="en-AU"/>
        </w:rPr>
        <w:t>is</w:t>
      </w:r>
      <w:proofErr w:type="gramEnd"/>
      <w:r w:rsidRPr="00CD7F7F">
        <w:rPr>
          <w:lang w:eastAsia="en-AU"/>
        </w:rPr>
        <w:t xml:space="preserve"> Unemployed?</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73 per cent of unemployed people in the Shepparton Region were aged </w:t>
      </w:r>
      <w:proofErr w:type="gramStart"/>
      <w:r>
        <w:rPr>
          <w:rFonts w:ascii="Calibri" w:hAnsi="Calibri" w:cs="Calibri"/>
          <w:color w:val="000000"/>
          <w:kern w:val="24"/>
          <w:sz w:val="24"/>
          <w:szCs w:val="24"/>
          <w:lang w:eastAsia="en-AU"/>
        </w:rPr>
        <w:t>under</w:t>
      </w:r>
      <w:proofErr w:type="gramEnd"/>
      <w:r>
        <w:rPr>
          <w:rFonts w:ascii="Calibri" w:hAnsi="Calibri" w:cs="Calibri"/>
          <w:color w:val="000000"/>
          <w:kern w:val="24"/>
          <w:sz w:val="24"/>
          <w:szCs w:val="24"/>
          <w:lang w:eastAsia="en-AU"/>
        </w:rPr>
        <w:t xml:space="preserve"> 45 years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w:t>
      </w:r>
      <w:r>
        <w:rPr>
          <w:rFonts w:ascii="Calibri" w:hAnsi="Calibri" w:cs="Calibri"/>
          <w:color w:val="000000"/>
          <w:kern w:val="24"/>
          <w:sz w:val="24"/>
          <w:szCs w:val="24"/>
          <w:lang w:eastAsia="en-AU"/>
        </w:rPr>
        <w:br/>
        <w:t xml:space="preserve">1,600 (39 per cent) were male and 1,400 (34 per cent) were female.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27 per cent of unemployed people in the Shepparton Region were aged 45 years and over.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600 (16 per cent) were male and 500 (11 per cent) were female.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1961DD" w:rsidRDefault="001961DD" w:rsidP="00F27513">
      <w:pPr>
        <w:spacing w:line="360" w:lineRule="auto"/>
        <w:rPr>
          <w:rFonts w:ascii="Calibri" w:hAnsi="Calibri" w:cs="Calibri"/>
          <w:color w:val="000000"/>
          <w:kern w:val="24"/>
          <w:sz w:val="24"/>
          <w:szCs w:val="24"/>
          <w:lang w:eastAsia="en-AU"/>
        </w:rPr>
      </w:pPr>
    </w:p>
    <w:p w:rsidR="001961DD" w:rsidRDefault="001961DD" w:rsidP="00F27513">
      <w:pPr>
        <w:spacing w:line="360" w:lineRule="auto"/>
        <w:rPr>
          <w:rFonts w:ascii="Calibri" w:hAnsi="Calibri" w:cs="Calibri"/>
          <w:color w:val="000000"/>
          <w:kern w:val="24"/>
          <w:sz w:val="24"/>
          <w:szCs w:val="24"/>
          <w:lang w:eastAsia="en-AU"/>
        </w:rPr>
      </w:pPr>
    </w:p>
    <w:p w:rsidR="001961DD" w:rsidRDefault="001961DD" w:rsidP="00F27513">
      <w:pPr>
        <w:spacing w:line="360" w:lineRule="auto"/>
        <w:rPr>
          <w:rFonts w:ascii="Calibri" w:hAnsi="Calibri" w:cs="Calibri"/>
          <w:color w:val="000000"/>
          <w:kern w:val="24"/>
          <w:sz w:val="24"/>
          <w:szCs w:val="24"/>
          <w:lang w:eastAsia="en-AU"/>
        </w:rPr>
      </w:pPr>
    </w:p>
    <w:p w:rsidR="001961DD" w:rsidRDefault="001961DD" w:rsidP="00F27513">
      <w:pPr>
        <w:spacing w:line="360" w:lineRule="auto"/>
        <w:rPr>
          <w:rFonts w:ascii="Calibri" w:hAnsi="Calibri" w:cs="Calibri"/>
          <w:color w:val="000000"/>
          <w:kern w:val="24"/>
          <w:sz w:val="24"/>
          <w:szCs w:val="24"/>
          <w:lang w:eastAsia="en-AU"/>
        </w:rPr>
      </w:pPr>
    </w:p>
    <w:p w:rsidR="001961DD" w:rsidRDefault="001961DD" w:rsidP="00F27513">
      <w:pPr>
        <w:spacing w:line="360" w:lineRule="auto"/>
        <w:rPr>
          <w:rFonts w:ascii="Calibri" w:hAnsi="Calibri" w:cs="Calibri"/>
          <w:color w:val="000000"/>
          <w:kern w:val="24"/>
          <w:sz w:val="24"/>
          <w:szCs w:val="24"/>
          <w:lang w:eastAsia="en-AU"/>
        </w:rPr>
      </w:pPr>
    </w:p>
    <w:p w:rsidR="00F27513" w:rsidRPr="002F1147" w:rsidRDefault="00F27513" w:rsidP="002F1147">
      <w:pPr>
        <w:pStyle w:val="Heading1"/>
      </w:pPr>
      <w:r>
        <w:lastRenderedPageBreak/>
        <w:t>Slide 9</w:t>
      </w:r>
    </w:p>
    <w:p w:rsidR="002F1147" w:rsidRPr="002F1147" w:rsidRDefault="002F1147" w:rsidP="002F1147">
      <w:pPr>
        <w:pStyle w:val="Heading2"/>
        <w:jc w:val="center"/>
        <w:rPr>
          <w:rFonts w:cs="Calibri"/>
          <w:color w:val="000000"/>
          <w:kern w:val="24"/>
          <w:szCs w:val="24"/>
          <w:lang w:eastAsia="en-AU"/>
        </w:rPr>
      </w:pPr>
      <w:r w:rsidRPr="002F1147">
        <w:rPr>
          <w:rFonts w:cs="Calibri"/>
          <w:color w:val="000000"/>
          <w:kern w:val="24"/>
          <w:szCs w:val="24"/>
          <w:lang w:eastAsia="en-AU"/>
        </w:rPr>
        <w:t>Higher proportion of people are long-term unemployed</w:t>
      </w:r>
    </w:p>
    <w:tbl>
      <w:tblPr>
        <w:tblW w:w="9418" w:type="dxa"/>
        <w:tblCellMar>
          <w:left w:w="0" w:type="dxa"/>
          <w:right w:w="0" w:type="dxa"/>
        </w:tblCellMar>
        <w:tblLook w:val="0600" w:firstRow="0" w:lastRow="0" w:firstColumn="0" w:lastColumn="0" w:noHBand="1" w:noVBand="1"/>
      </w:tblPr>
      <w:tblGrid>
        <w:gridCol w:w="2412"/>
        <w:gridCol w:w="2410"/>
        <w:gridCol w:w="2346"/>
        <w:gridCol w:w="2250"/>
      </w:tblGrid>
      <w:tr w:rsidR="00936612" w:rsidRPr="00DD319C" w:rsidTr="00CD7F7F">
        <w:trPr>
          <w:trHeight w:val="1897"/>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36612" w:rsidRPr="00073AB7" w:rsidRDefault="00936612" w:rsidP="00073AB7">
            <w:pPr>
              <w:pStyle w:val="Heading1"/>
              <w:jc w:val="center"/>
              <w:rPr>
                <w:sz w:val="28"/>
              </w:rPr>
            </w:pPr>
            <w:r w:rsidRPr="00073AB7">
              <w:rPr>
                <w:sz w:val="28"/>
                <w:lang w:val="en-US"/>
              </w:rPr>
              <w:t>Region</w:t>
            </w:r>
          </w:p>
        </w:tc>
        <w:tc>
          <w:tcPr>
            <w:tcW w:w="2410" w:type="dxa"/>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vAlign w:val="center"/>
            <w:hideMark/>
          </w:tcPr>
          <w:p w:rsidR="00936612" w:rsidRPr="00073AB7" w:rsidRDefault="00936612" w:rsidP="00073AB7">
            <w:pPr>
              <w:pStyle w:val="Heading1"/>
              <w:jc w:val="center"/>
              <w:rPr>
                <w:sz w:val="28"/>
              </w:rPr>
            </w:pPr>
            <w:r w:rsidRPr="00073AB7">
              <w:rPr>
                <w:sz w:val="28"/>
              </w:rPr>
              <w:t>Long-term unemployed (52 weeks or more)</w:t>
            </w:r>
          </w:p>
          <w:p w:rsidR="00936612" w:rsidRPr="00073AB7" w:rsidRDefault="00936612" w:rsidP="00073AB7">
            <w:pPr>
              <w:pStyle w:val="Heading1"/>
              <w:jc w:val="center"/>
              <w:rPr>
                <w:sz w:val="28"/>
              </w:rPr>
            </w:pPr>
            <w:r w:rsidRPr="00073AB7">
              <w:rPr>
                <w:sz w:val="28"/>
              </w:rPr>
              <w:t>- Persons</w:t>
            </w:r>
          </w:p>
        </w:tc>
        <w:tc>
          <w:tcPr>
            <w:tcW w:w="2346" w:type="dxa"/>
            <w:tcBorders>
              <w:top w:val="single" w:sz="8" w:space="0" w:color="000000"/>
              <w:left w:val="single" w:sz="8" w:space="0" w:color="000000"/>
              <w:right w:val="single" w:sz="8" w:space="0" w:color="000000"/>
            </w:tcBorders>
            <w:shd w:val="clear" w:color="auto" w:fill="auto"/>
            <w:vAlign w:val="center"/>
          </w:tcPr>
          <w:p w:rsidR="00936612" w:rsidRPr="00073AB7" w:rsidRDefault="00936612" w:rsidP="00073AB7">
            <w:pPr>
              <w:pStyle w:val="Heading1"/>
              <w:jc w:val="center"/>
              <w:rPr>
                <w:sz w:val="28"/>
              </w:rPr>
            </w:pPr>
            <w:r w:rsidRPr="00073AB7">
              <w:rPr>
                <w:sz w:val="28"/>
              </w:rPr>
              <w:t>Long-term unemployed (52 weeks or more)</w:t>
            </w:r>
          </w:p>
          <w:p w:rsidR="00936612" w:rsidRPr="00073AB7" w:rsidRDefault="00936612" w:rsidP="00073AB7">
            <w:pPr>
              <w:pStyle w:val="Heading1"/>
              <w:jc w:val="center"/>
              <w:rPr>
                <w:sz w:val="28"/>
              </w:rPr>
            </w:pPr>
            <w:r w:rsidRPr="00073AB7">
              <w:rPr>
                <w:sz w:val="28"/>
              </w:rPr>
              <w:t>- Percentage of all unemployed</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936612" w:rsidRPr="00073AB7" w:rsidRDefault="00936612" w:rsidP="00073AB7">
            <w:pPr>
              <w:pStyle w:val="Heading1"/>
              <w:jc w:val="center"/>
              <w:rPr>
                <w:sz w:val="28"/>
              </w:rPr>
            </w:pPr>
            <w:r w:rsidRPr="00073AB7">
              <w:rPr>
                <w:sz w:val="28"/>
              </w:rPr>
              <w:t xml:space="preserve">Average </w:t>
            </w:r>
            <w:r w:rsidR="00073AB7" w:rsidRPr="00073AB7">
              <w:rPr>
                <w:sz w:val="28"/>
              </w:rPr>
              <w:t>duration of</w:t>
            </w:r>
            <w:r w:rsidRPr="00073AB7">
              <w:rPr>
                <w:sz w:val="28"/>
              </w:rPr>
              <w:t xml:space="preserve"> unemployment</w:t>
            </w:r>
          </w:p>
        </w:tc>
      </w:tr>
      <w:tr w:rsidR="00DD319C" w:rsidRPr="00DD319C" w:rsidTr="00073AB7">
        <w:trPr>
          <w:trHeight w:val="431"/>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 xml:space="preserve">Shepparton </w:t>
            </w:r>
            <w:proofErr w:type="spellStart"/>
            <w:r w:rsidRPr="00936612">
              <w:rPr>
                <w:rFonts w:asciiTheme="minorHAnsi" w:hAnsiTheme="minorHAnsi" w:cstheme="minorHAnsi"/>
                <w:bCs/>
                <w:sz w:val="26"/>
                <w:szCs w:val="26"/>
              </w:rPr>
              <w:t>SA4</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900</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27%</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33 weeks</w:t>
            </w:r>
          </w:p>
        </w:tc>
      </w:tr>
      <w:tr w:rsidR="00DD319C" w:rsidRPr="00DD319C" w:rsidTr="00073AB7">
        <w:trPr>
          <w:trHeight w:val="369"/>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 xml:space="preserve">Hume </w:t>
            </w:r>
            <w:proofErr w:type="spellStart"/>
            <w:r w:rsidRPr="00936612">
              <w:rPr>
                <w:rFonts w:asciiTheme="minorHAnsi" w:hAnsiTheme="minorHAnsi" w:cstheme="minorHAnsi"/>
                <w:bCs/>
                <w:sz w:val="26"/>
                <w:szCs w:val="26"/>
              </w:rPr>
              <w:t>SA4</w:t>
            </w:r>
            <w:proofErr w:type="spellEnd"/>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1,000</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24%</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35 weeks</w:t>
            </w:r>
          </w:p>
        </w:tc>
      </w:tr>
      <w:tr w:rsidR="00DD319C" w:rsidRPr="00DD319C" w:rsidTr="00073AB7">
        <w:trPr>
          <w:trHeight w:val="293"/>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Victoria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32,200</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18%</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34 weeks</w:t>
            </w:r>
          </w:p>
        </w:tc>
      </w:tr>
      <w:tr w:rsidR="00DD319C" w:rsidRPr="00DD319C" w:rsidTr="00073AB7">
        <w:trPr>
          <w:trHeight w:val="345"/>
        </w:trPr>
        <w:tc>
          <w:tcPr>
            <w:tcW w:w="241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Australia</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137,600</w:t>
            </w:r>
          </w:p>
        </w:tc>
        <w:tc>
          <w:tcPr>
            <w:tcW w:w="23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20%</w:t>
            </w:r>
          </w:p>
        </w:tc>
        <w:tc>
          <w:tcPr>
            <w:tcW w:w="22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D03A11" w:rsidRPr="00936612" w:rsidRDefault="00DD319C" w:rsidP="00DD319C">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37 weeks</w:t>
            </w:r>
          </w:p>
        </w:tc>
      </w:tr>
    </w:tbl>
    <w:p w:rsidR="00F27513" w:rsidRPr="00CD7F7F" w:rsidRDefault="00F27513" w:rsidP="004F6FB3">
      <w:pPr>
        <w:pStyle w:val="Heading3"/>
        <w:rPr>
          <w:lang w:eastAsia="en-AU"/>
        </w:rPr>
      </w:pPr>
      <w:r w:rsidRPr="00CD7F7F">
        <w:rPr>
          <w:lang w:eastAsia="en-AU"/>
        </w:rPr>
        <w:t>Higher proportion of people are long-term unemployed</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Labour Force Survey, February 2014, 12 month averages of original data</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b/>
          <w:bCs/>
          <w:i/>
          <w:iCs/>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Long-term unemployed are those who have been unemployed for 52 weeks or more.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unemployed persons who were long-term unemployed in the </w:t>
      </w:r>
      <w:r>
        <w:rPr>
          <w:rFonts w:ascii="Calibri" w:hAnsi="Times New Roman" w:cs="Calibri"/>
          <w:color w:val="000000"/>
          <w:kern w:val="24"/>
          <w:sz w:val="24"/>
          <w:szCs w:val="24"/>
          <w:lang w:eastAsia="en-AU"/>
        </w:rPr>
        <w:t xml:space="preserve">Shepparton </w:t>
      </w:r>
      <w:proofErr w:type="spellStart"/>
      <w:r>
        <w:rPr>
          <w:rFonts w:ascii="Calibri" w:hAnsi="Times New Roman"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(27 per cent) was higher compared with the Victorian (18 per cent) and national rates (20 per cent).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average duration of unemployment in the </w:t>
      </w:r>
      <w:r>
        <w:rPr>
          <w:rFonts w:ascii="Calibri" w:hAnsi="Times New Roman" w:cs="Calibri"/>
          <w:color w:val="000000"/>
          <w:kern w:val="24"/>
          <w:sz w:val="24"/>
          <w:szCs w:val="24"/>
          <w:lang w:eastAsia="en-AU"/>
        </w:rPr>
        <w:t xml:space="preserve">Shepparton </w:t>
      </w:r>
      <w:proofErr w:type="spellStart"/>
      <w:r>
        <w:rPr>
          <w:rFonts w:ascii="Calibri" w:hAnsi="Times New Roman" w:cs="Calibri"/>
          <w:color w:val="000000"/>
          <w:kern w:val="24"/>
          <w:sz w:val="24"/>
          <w:szCs w:val="24"/>
          <w:lang w:eastAsia="en-AU"/>
        </w:rPr>
        <w:t>SA4</w:t>
      </w:r>
      <w:proofErr w:type="spellEnd"/>
      <w:r>
        <w:rPr>
          <w:rFonts w:ascii="Calibri" w:hAnsi="Times New Roman" w:cs="Calibri"/>
          <w:color w:val="000000"/>
          <w:kern w:val="24"/>
          <w:sz w:val="24"/>
          <w:szCs w:val="24"/>
          <w:lang w:eastAsia="en-AU"/>
        </w:rPr>
        <w:t xml:space="preserve"> </w:t>
      </w:r>
      <w:r>
        <w:rPr>
          <w:rFonts w:ascii="Calibri" w:hAnsi="Calibri" w:cs="Calibri"/>
          <w:color w:val="000000"/>
          <w:kern w:val="24"/>
          <w:sz w:val="24"/>
          <w:szCs w:val="24"/>
          <w:lang w:eastAsia="en-AU"/>
        </w:rPr>
        <w:t xml:space="preserve">(33 weeks) and the Hume </w:t>
      </w:r>
      <w:proofErr w:type="spellStart"/>
      <w:r>
        <w:rPr>
          <w:rFonts w:ascii="Calibri" w:hAnsi="Calibri" w:cs="Calibri"/>
          <w:color w:val="000000"/>
          <w:kern w:val="24"/>
          <w:sz w:val="24"/>
          <w:szCs w:val="24"/>
          <w:lang w:eastAsia="en-AU"/>
        </w:rPr>
        <w:t>SA4</w:t>
      </w:r>
      <w:proofErr w:type="spellEnd"/>
      <w:r>
        <w:rPr>
          <w:rFonts w:ascii="Calibri" w:hAnsi="Calibri" w:cs="Calibri"/>
          <w:color w:val="000000"/>
          <w:kern w:val="24"/>
          <w:sz w:val="24"/>
          <w:szCs w:val="24"/>
          <w:lang w:eastAsia="en-AU"/>
        </w:rPr>
        <w:t xml:space="preserve"> (35 weeks) was similar to Victoria (34 weeks).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10</w:t>
      </w:r>
    </w:p>
    <w:p w:rsidR="002F1147" w:rsidRPr="002F1147" w:rsidRDefault="002F1147" w:rsidP="002F1147">
      <w:pPr>
        <w:pStyle w:val="Heading2"/>
        <w:jc w:val="center"/>
        <w:rPr>
          <w:lang w:eastAsia="en-AU"/>
        </w:rPr>
      </w:pPr>
      <w:r w:rsidRPr="00CD7F7F">
        <w:rPr>
          <w:lang w:eastAsia="en-AU"/>
        </w:rPr>
        <w:t>Higher rates of income support</w:t>
      </w:r>
    </w:p>
    <w:tbl>
      <w:tblPr>
        <w:tblW w:w="9204" w:type="dxa"/>
        <w:tblCellMar>
          <w:left w:w="0" w:type="dxa"/>
          <w:right w:w="0" w:type="dxa"/>
        </w:tblCellMar>
        <w:tblLook w:val="0600" w:firstRow="0" w:lastRow="0" w:firstColumn="0" w:lastColumn="0" w:noHBand="1" w:noVBand="1"/>
      </w:tblPr>
      <w:tblGrid>
        <w:gridCol w:w="3417"/>
        <w:gridCol w:w="2835"/>
        <w:gridCol w:w="2952"/>
      </w:tblGrid>
      <w:tr w:rsidR="00936612" w:rsidRPr="00936612" w:rsidTr="00073AB7">
        <w:trPr>
          <w:trHeight w:val="927"/>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Region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Proportion of the WAP receiving a benefit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Proportion of the WAP receiving an unemployment benefit</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Greater Shepparton LGA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25%</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8%</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Benalla  LGA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23%</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7%</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Campaspe LGA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21%</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Moira LGA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22%</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7%</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Strathbogie LGA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19%</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Wangaratta LGA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19%</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w:t>
            </w:r>
          </w:p>
        </w:tc>
      </w:tr>
      <w:tr w:rsidR="00936612" w:rsidRPr="00936612" w:rsidTr="00073AB7">
        <w:trPr>
          <w:trHeight w:val="403"/>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Shepparton Region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22%</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7%</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Victoria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16%</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5%</w:t>
            </w:r>
          </w:p>
        </w:tc>
      </w:tr>
      <w:tr w:rsidR="00936612" w:rsidRPr="00936612" w:rsidTr="00073AB7">
        <w:trPr>
          <w:trHeight w:val="306"/>
          <w:tblHeader/>
        </w:trPr>
        <w:tc>
          <w:tcPr>
            <w:tcW w:w="3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 xml:space="preserve">Australia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16%</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5%</w:t>
            </w:r>
          </w:p>
        </w:tc>
      </w:tr>
    </w:tbl>
    <w:p w:rsidR="00F27513" w:rsidRPr="00CD7F7F" w:rsidRDefault="00F27513" w:rsidP="004F6FB3">
      <w:pPr>
        <w:pStyle w:val="Heading3"/>
        <w:rPr>
          <w:lang w:eastAsia="en-AU"/>
        </w:rPr>
      </w:pPr>
      <w:r w:rsidRPr="00CD7F7F">
        <w:rPr>
          <w:lang w:eastAsia="en-AU"/>
        </w:rPr>
        <w:t>Higher rates of income support</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administrative data, December 2013; ABS, Estimated Resident Population, 2012</w:t>
      </w:r>
    </w:p>
    <w:p w:rsidR="00F27513" w:rsidRDefault="00F27513" w:rsidP="00F27513">
      <w:pPr>
        <w:autoSpaceDE w:val="0"/>
        <w:autoSpaceDN w:val="0"/>
        <w:adjustRightInd w:val="0"/>
        <w:rPr>
          <w:rFonts w:ascii="Calibri" w:hAnsi="Calibri" w:cs="Calibri"/>
          <w:b/>
          <w:b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December 2013, 22 per cent of the working age population in the Shepparton Region were in receipt of income support. This was larger when compared with state and national levels (both 16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Some 7 per cent of the Shepparton Region working age population </w:t>
      </w:r>
      <w:proofErr w:type="gramStart"/>
      <w:r>
        <w:rPr>
          <w:rFonts w:ascii="Calibri" w:hAnsi="Calibri" w:cs="Calibri"/>
          <w:color w:val="000000"/>
          <w:kern w:val="24"/>
          <w:sz w:val="24"/>
          <w:szCs w:val="24"/>
          <w:lang w:eastAsia="en-AU"/>
        </w:rPr>
        <w:t>were</w:t>
      </w:r>
      <w:proofErr w:type="gramEnd"/>
      <w:r>
        <w:rPr>
          <w:rFonts w:ascii="Calibri" w:hAnsi="Calibri" w:cs="Calibri"/>
          <w:color w:val="000000"/>
          <w:kern w:val="24"/>
          <w:sz w:val="24"/>
          <w:szCs w:val="24"/>
          <w:lang w:eastAsia="en-AU"/>
        </w:rPr>
        <w:t xml:space="preserve"> in receipt of an unemployment benefit, slightly above both state and national levels (both 5 per cent).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Greater Shepparton LGA reported the highest proportion of the working age population on unemployment benefits (8 per cent).</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8.1 per cent of the working age population in the Shepparton Region were on Disability Support Pension (</w:t>
      </w:r>
      <w:proofErr w:type="spellStart"/>
      <w:r>
        <w:rPr>
          <w:rFonts w:ascii="Calibri" w:hAnsi="Calibri" w:cs="Calibri"/>
          <w:color w:val="000000"/>
          <w:kern w:val="24"/>
          <w:sz w:val="24"/>
          <w:szCs w:val="24"/>
          <w:lang w:eastAsia="en-AU"/>
        </w:rPr>
        <w:t>DSP</w:t>
      </w:r>
      <w:proofErr w:type="spellEnd"/>
      <w:r>
        <w:rPr>
          <w:rFonts w:ascii="Calibri" w:hAnsi="Calibri" w:cs="Calibri"/>
          <w:color w:val="000000"/>
          <w:kern w:val="24"/>
          <w:sz w:val="24"/>
          <w:szCs w:val="24"/>
          <w:lang w:eastAsia="en-AU"/>
        </w:rPr>
        <w:t>).  This was higher compared with Victoria (5.2 per cent) and Australia (5.3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2F1147">
      <w:pPr>
        <w:pStyle w:val="Heading1"/>
      </w:pPr>
      <w:r>
        <w:lastRenderedPageBreak/>
        <w:t>Slide 11</w:t>
      </w:r>
    </w:p>
    <w:p w:rsidR="002F1147" w:rsidRPr="002F1147" w:rsidRDefault="002F1147" w:rsidP="002F1147">
      <w:pPr>
        <w:pStyle w:val="Heading2"/>
        <w:jc w:val="center"/>
        <w:rPr>
          <w:lang w:eastAsia="en-AU"/>
        </w:rPr>
      </w:pPr>
      <w:r w:rsidRPr="002F1147">
        <w:rPr>
          <w:lang w:eastAsia="en-AU"/>
        </w:rPr>
        <w:t>Many children growing up in families with no working parent</w:t>
      </w:r>
    </w:p>
    <w:tbl>
      <w:tblPr>
        <w:tblW w:w="9371" w:type="dxa"/>
        <w:tblCellMar>
          <w:left w:w="0" w:type="dxa"/>
          <w:right w:w="0" w:type="dxa"/>
        </w:tblCellMar>
        <w:tblLook w:val="0600" w:firstRow="0" w:lastRow="0" w:firstColumn="0" w:lastColumn="0" w:noHBand="1" w:noVBand="1"/>
      </w:tblPr>
      <w:tblGrid>
        <w:gridCol w:w="2850"/>
        <w:gridCol w:w="2410"/>
        <w:gridCol w:w="1985"/>
        <w:gridCol w:w="2126"/>
      </w:tblGrid>
      <w:tr w:rsidR="00936612" w:rsidRPr="00936612" w:rsidTr="00073AB7">
        <w:trPr>
          <w:trHeight w:val="1194"/>
          <w:tblHeader/>
        </w:trPr>
        <w:tc>
          <w:tcPr>
            <w:tcW w:w="2850"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Region</w:t>
            </w:r>
          </w:p>
        </w:tc>
        <w:tc>
          <w:tcPr>
            <w:tcW w:w="2410"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Number of children in jobless families*</w:t>
            </w:r>
          </w:p>
        </w:tc>
        <w:tc>
          <w:tcPr>
            <w:tcW w:w="1985"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Number of jobless families</w:t>
            </w:r>
          </w:p>
        </w:tc>
        <w:tc>
          <w:tcPr>
            <w:tcW w:w="2126"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073AB7" w:rsidRDefault="00936612" w:rsidP="00073AB7">
            <w:pPr>
              <w:pStyle w:val="Heading1"/>
              <w:jc w:val="center"/>
              <w:rPr>
                <w:sz w:val="28"/>
              </w:rPr>
            </w:pPr>
            <w:r w:rsidRPr="00073AB7">
              <w:rPr>
                <w:sz w:val="28"/>
              </w:rPr>
              <w:t>Proportion</w:t>
            </w:r>
            <w:r w:rsidR="00073AB7">
              <w:rPr>
                <w:sz w:val="28"/>
              </w:rPr>
              <w:t xml:space="preserve"> </w:t>
            </w:r>
            <w:r w:rsidRPr="00073AB7">
              <w:rPr>
                <w:sz w:val="28"/>
              </w:rPr>
              <w:t xml:space="preserve">of </w:t>
            </w:r>
            <w:r w:rsidR="00073AB7" w:rsidRPr="00073AB7">
              <w:rPr>
                <w:sz w:val="28"/>
              </w:rPr>
              <w:t>all families</w:t>
            </w:r>
            <w:r w:rsidRPr="00073AB7">
              <w:rPr>
                <w:sz w:val="28"/>
              </w:rPr>
              <w:t xml:space="preserve"> that are jobless</w:t>
            </w:r>
          </w:p>
        </w:tc>
      </w:tr>
      <w:tr w:rsidR="00936612" w:rsidRPr="00936612" w:rsidTr="00073AB7">
        <w:trPr>
          <w:trHeight w:val="369"/>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Greater Shepparton LGA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3,010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1,230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20%</w:t>
            </w:r>
          </w:p>
        </w:tc>
      </w:tr>
      <w:tr w:rsidR="00936612" w:rsidRPr="00936612" w:rsidTr="00073AB7">
        <w:trPr>
          <w:trHeight w:val="369"/>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Benalla LGA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560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21%</w:t>
            </w:r>
          </w:p>
        </w:tc>
      </w:tr>
      <w:tr w:rsidR="00936612" w:rsidRPr="00936612" w:rsidTr="00073AB7">
        <w:trPr>
          <w:trHeight w:val="369"/>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Moira LGA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960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430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17%</w:t>
            </w:r>
          </w:p>
        </w:tc>
      </w:tr>
      <w:tr w:rsidR="00936612" w:rsidRPr="00936612" w:rsidTr="00073AB7">
        <w:trPr>
          <w:trHeight w:val="369"/>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Strathbogie LGA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240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17%</w:t>
            </w:r>
          </w:p>
        </w:tc>
      </w:tr>
      <w:tr w:rsidR="00936612" w:rsidRPr="00936612" w:rsidTr="00073AB7">
        <w:trPr>
          <w:trHeight w:val="369"/>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Wangaratta LGA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770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340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14%</w:t>
            </w:r>
          </w:p>
        </w:tc>
      </w:tr>
      <w:tr w:rsidR="00936612" w:rsidRPr="00936612" w:rsidTr="00073AB7">
        <w:trPr>
          <w:trHeight w:val="383"/>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Shepparton Region</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6,650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2,900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17%</w:t>
            </w:r>
          </w:p>
        </w:tc>
      </w:tr>
      <w:tr w:rsidR="00936612" w:rsidRPr="00936612" w:rsidTr="00073AB7">
        <w:trPr>
          <w:trHeight w:val="329"/>
          <w:tblHeader/>
        </w:trPr>
        <w:tc>
          <w:tcPr>
            <w:tcW w:w="2850"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Victoria</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145,050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66,720</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13%</w:t>
            </w:r>
          </w:p>
        </w:tc>
      </w:tr>
    </w:tbl>
    <w:p w:rsidR="00F27513" w:rsidRPr="00CD7F7F" w:rsidRDefault="00F27513" w:rsidP="004F6FB3">
      <w:pPr>
        <w:pStyle w:val="Heading3"/>
        <w:rPr>
          <w:lang w:eastAsia="en-AU"/>
        </w:rPr>
      </w:pPr>
      <w:r w:rsidRPr="00CD7F7F">
        <w:rPr>
          <w:lang w:eastAsia="en-AU"/>
        </w:rPr>
        <w:t>Many children growing up in families with no working parent</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Note: as Census 2011 includes families with six children or more under the one classification, the numbers of children in the above slide are a minimum as an exact number is not available.</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Jobless families are families (with children under 15 years of age) where no parent is employed.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17 per cent of families in the Shepparton Region did not have an employed parent, a figure larger than the figures for Victoria (13 per cent) and Australia (14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Some 21 per cent of families with children in the Benalla LGA and 20 per cent in the Greater Shepparton LGA were jobless. On the other hand, 14 per cent of families with children in the Wangaratta LGA were jobless.</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At least 6,650 children in the Shepparton Region were in a family where no parent was employed.</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12</w:t>
      </w:r>
    </w:p>
    <w:p w:rsidR="00F27513" w:rsidRPr="002F1147" w:rsidRDefault="002F1147" w:rsidP="002F1147">
      <w:pPr>
        <w:pStyle w:val="Heading2"/>
        <w:jc w:val="center"/>
        <w:rPr>
          <w:lang w:eastAsia="en-AU"/>
        </w:rPr>
      </w:pPr>
      <w:r w:rsidRPr="00CD7F7F">
        <w:rPr>
          <w:lang w:eastAsia="en-AU"/>
        </w:rPr>
        <w:t>Is youth unemployment in Shepparton really 6.8%?</w:t>
      </w:r>
    </w:p>
    <w:tbl>
      <w:tblPr>
        <w:tblW w:w="9194"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0" w:type="dxa"/>
          <w:right w:w="0" w:type="dxa"/>
        </w:tblCellMar>
        <w:tblLook w:val="0420" w:firstRow="1" w:lastRow="0" w:firstColumn="0" w:lastColumn="0" w:noHBand="0" w:noVBand="1"/>
      </w:tblPr>
      <w:tblGrid>
        <w:gridCol w:w="2923"/>
        <w:gridCol w:w="1714"/>
        <w:gridCol w:w="1714"/>
        <w:gridCol w:w="2843"/>
      </w:tblGrid>
      <w:tr w:rsidR="00936612" w:rsidRPr="00936612" w:rsidTr="00073AB7">
        <w:trPr>
          <w:trHeight w:val="681"/>
          <w:tblHeader/>
        </w:trPr>
        <w:tc>
          <w:tcPr>
            <w:tcW w:w="2923" w:type="dxa"/>
            <w:vMerge w:val="restart"/>
            <w:shd w:val="clear" w:color="auto" w:fill="auto"/>
            <w:tcMar>
              <w:top w:w="72" w:type="dxa"/>
              <w:left w:w="144" w:type="dxa"/>
              <w:bottom w:w="72" w:type="dxa"/>
              <w:right w:w="144" w:type="dxa"/>
            </w:tcMar>
            <w:vAlign w:val="center"/>
            <w:hideMark/>
          </w:tcPr>
          <w:p w:rsidR="00D03A11" w:rsidRPr="00073AB7" w:rsidRDefault="00936612" w:rsidP="00073AB7">
            <w:pPr>
              <w:pStyle w:val="Heading1"/>
              <w:jc w:val="center"/>
              <w:rPr>
                <w:sz w:val="26"/>
                <w:szCs w:val="26"/>
              </w:rPr>
            </w:pPr>
            <w:r w:rsidRPr="00073AB7">
              <w:rPr>
                <w:sz w:val="26"/>
                <w:szCs w:val="26"/>
              </w:rPr>
              <w:t>Region</w:t>
            </w:r>
          </w:p>
        </w:tc>
        <w:tc>
          <w:tcPr>
            <w:tcW w:w="3428" w:type="dxa"/>
            <w:gridSpan w:val="2"/>
            <w:shd w:val="clear" w:color="auto" w:fill="auto"/>
            <w:tcMar>
              <w:top w:w="72" w:type="dxa"/>
              <w:left w:w="144" w:type="dxa"/>
              <w:bottom w:w="72" w:type="dxa"/>
              <w:right w:w="144" w:type="dxa"/>
            </w:tcMar>
            <w:vAlign w:val="center"/>
            <w:hideMark/>
          </w:tcPr>
          <w:p w:rsidR="00936612" w:rsidRPr="00073AB7" w:rsidRDefault="00936612" w:rsidP="00073AB7">
            <w:pPr>
              <w:pStyle w:val="Heading1"/>
              <w:jc w:val="center"/>
              <w:rPr>
                <w:sz w:val="26"/>
                <w:szCs w:val="26"/>
              </w:rPr>
            </w:pPr>
            <w:r w:rsidRPr="00073AB7">
              <w:rPr>
                <w:sz w:val="26"/>
                <w:szCs w:val="26"/>
              </w:rPr>
              <w:t>Youth unemployment rate</w:t>
            </w:r>
          </w:p>
          <w:p w:rsidR="00D03A11" w:rsidRPr="00073AB7" w:rsidRDefault="00936612" w:rsidP="00073AB7">
            <w:pPr>
              <w:pStyle w:val="Heading1"/>
              <w:jc w:val="center"/>
              <w:rPr>
                <w:sz w:val="26"/>
                <w:szCs w:val="26"/>
              </w:rPr>
            </w:pPr>
            <w:r w:rsidRPr="00073AB7">
              <w:rPr>
                <w:sz w:val="26"/>
                <w:szCs w:val="26"/>
              </w:rPr>
              <w:t>(15-24 years)</w:t>
            </w:r>
          </w:p>
        </w:tc>
        <w:tc>
          <w:tcPr>
            <w:tcW w:w="2843" w:type="dxa"/>
            <w:vMerge w:val="restart"/>
            <w:shd w:val="clear" w:color="auto" w:fill="auto"/>
            <w:tcMar>
              <w:top w:w="72" w:type="dxa"/>
              <w:left w:w="144" w:type="dxa"/>
              <w:bottom w:w="72" w:type="dxa"/>
              <w:right w:w="144" w:type="dxa"/>
            </w:tcMar>
            <w:vAlign w:val="center"/>
            <w:hideMark/>
          </w:tcPr>
          <w:p w:rsidR="00936612" w:rsidRPr="00073AB7" w:rsidRDefault="00936612" w:rsidP="00073AB7">
            <w:pPr>
              <w:pStyle w:val="Heading1"/>
              <w:jc w:val="center"/>
              <w:rPr>
                <w:sz w:val="26"/>
                <w:szCs w:val="26"/>
              </w:rPr>
            </w:pPr>
            <w:r w:rsidRPr="00073AB7">
              <w:rPr>
                <w:sz w:val="26"/>
                <w:szCs w:val="26"/>
              </w:rPr>
              <w:t>Participation rate</w:t>
            </w:r>
          </w:p>
          <w:p w:rsidR="00D03A11" w:rsidRPr="00073AB7" w:rsidRDefault="00936612" w:rsidP="00073AB7">
            <w:pPr>
              <w:pStyle w:val="Heading1"/>
              <w:jc w:val="center"/>
              <w:rPr>
                <w:sz w:val="26"/>
                <w:szCs w:val="26"/>
              </w:rPr>
            </w:pPr>
            <w:r w:rsidRPr="00073AB7">
              <w:rPr>
                <w:sz w:val="26"/>
                <w:szCs w:val="26"/>
              </w:rPr>
              <w:t>(February 2014)</w:t>
            </w:r>
          </w:p>
        </w:tc>
      </w:tr>
      <w:tr w:rsidR="00936612" w:rsidRPr="00936612" w:rsidTr="00073AB7">
        <w:trPr>
          <w:trHeight w:val="798"/>
          <w:tblHeader/>
        </w:trPr>
        <w:tc>
          <w:tcPr>
            <w:tcW w:w="0" w:type="auto"/>
            <w:vMerge/>
            <w:shd w:val="clear" w:color="auto" w:fill="auto"/>
            <w:vAlign w:val="center"/>
            <w:hideMark/>
          </w:tcPr>
          <w:p w:rsidR="00936612" w:rsidRPr="00936612" w:rsidRDefault="00936612" w:rsidP="00936612">
            <w:pPr>
              <w:spacing w:line="360" w:lineRule="auto"/>
              <w:jc w:val="center"/>
              <w:rPr>
                <w:rFonts w:asciiTheme="minorHAnsi" w:hAnsiTheme="minorHAnsi" w:cstheme="minorHAnsi"/>
                <w:sz w:val="26"/>
                <w:szCs w:val="26"/>
              </w:rPr>
            </w:pP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February 2014</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February 2013</w:t>
            </w:r>
          </w:p>
        </w:tc>
        <w:tc>
          <w:tcPr>
            <w:tcW w:w="0" w:type="auto"/>
            <w:vMerge/>
            <w:shd w:val="clear" w:color="auto" w:fill="auto"/>
            <w:vAlign w:val="center"/>
            <w:hideMark/>
          </w:tcPr>
          <w:p w:rsidR="00936612" w:rsidRPr="00936612" w:rsidRDefault="00936612" w:rsidP="00936612">
            <w:pPr>
              <w:spacing w:line="360" w:lineRule="auto"/>
              <w:jc w:val="center"/>
              <w:rPr>
                <w:rFonts w:asciiTheme="minorHAnsi" w:hAnsiTheme="minorHAnsi" w:cstheme="minorHAnsi"/>
                <w:sz w:val="26"/>
                <w:szCs w:val="26"/>
              </w:rPr>
            </w:pPr>
          </w:p>
        </w:tc>
      </w:tr>
      <w:tr w:rsidR="00936612" w:rsidRPr="00936612" w:rsidTr="00073AB7">
        <w:trPr>
          <w:trHeight w:val="648"/>
          <w:tblHeader/>
        </w:trPr>
        <w:tc>
          <w:tcPr>
            <w:tcW w:w="292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 xml:space="preserve">Shepparton </w:t>
            </w:r>
            <w:proofErr w:type="spellStart"/>
            <w:r w:rsidRPr="00936612">
              <w:rPr>
                <w:rFonts w:asciiTheme="minorHAnsi" w:hAnsiTheme="minorHAnsi" w:cstheme="minorHAnsi"/>
                <w:bCs/>
                <w:sz w:val="26"/>
                <w:szCs w:val="26"/>
              </w:rPr>
              <w:t>SA4</w:t>
            </w:r>
            <w:proofErr w:type="spellEnd"/>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6.8%</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12.4%</w:t>
            </w:r>
          </w:p>
        </w:tc>
        <w:tc>
          <w:tcPr>
            <w:tcW w:w="284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72.7%</w:t>
            </w:r>
          </w:p>
        </w:tc>
      </w:tr>
      <w:tr w:rsidR="00936612" w:rsidRPr="00936612" w:rsidTr="00073AB7">
        <w:trPr>
          <w:trHeight w:val="470"/>
          <w:tblHeader/>
        </w:trPr>
        <w:tc>
          <w:tcPr>
            <w:tcW w:w="292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 xml:space="preserve">Hume </w:t>
            </w:r>
            <w:proofErr w:type="spellStart"/>
            <w:r w:rsidRPr="00936612">
              <w:rPr>
                <w:rFonts w:asciiTheme="minorHAnsi" w:hAnsiTheme="minorHAnsi" w:cstheme="minorHAnsi"/>
                <w:bCs/>
                <w:sz w:val="26"/>
                <w:szCs w:val="26"/>
              </w:rPr>
              <w:t>SA4</w:t>
            </w:r>
            <w:proofErr w:type="spellEnd"/>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15.6%</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15.5%</w:t>
            </w:r>
          </w:p>
        </w:tc>
        <w:tc>
          <w:tcPr>
            <w:tcW w:w="284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68.5%</w:t>
            </w:r>
          </w:p>
        </w:tc>
      </w:tr>
      <w:tr w:rsidR="00936612" w:rsidRPr="00936612" w:rsidTr="00073AB7">
        <w:trPr>
          <w:trHeight w:val="448"/>
          <w:tblHeader/>
        </w:trPr>
        <w:tc>
          <w:tcPr>
            <w:tcW w:w="292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Victoria</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12.4%</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13.0%</w:t>
            </w:r>
          </w:p>
        </w:tc>
        <w:tc>
          <w:tcPr>
            <w:tcW w:w="284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65.6%</w:t>
            </w:r>
          </w:p>
        </w:tc>
      </w:tr>
      <w:tr w:rsidR="00936612" w:rsidRPr="00936612" w:rsidTr="00073AB7">
        <w:trPr>
          <w:trHeight w:val="432"/>
          <w:tblHeader/>
        </w:trPr>
        <w:tc>
          <w:tcPr>
            <w:tcW w:w="292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Australia</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12.3%</w:t>
            </w:r>
          </w:p>
        </w:tc>
        <w:tc>
          <w:tcPr>
            <w:tcW w:w="1714"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11.8%</w:t>
            </w:r>
          </w:p>
        </w:tc>
        <w:tc>
          <w:tcPr>
            <w:tcW w:w="2843" w:type="dxa"/>
            <w:shd w:val="clear" w:color="auto" w:fill="auto"/>
            <w:tcMar>
              <w:top w:w="72" w:type="dxa"/>
              <w:left w:w="144" w:type="dxa"/>
              <w:bottom w:w="72" w:type="dxa"/>
              <w:right w:w="144"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66.7%</w:t>
            </w:r>
          </w:p>
        </w:tc>
      </w:tr>
    </w:tbl>
    <w:p w:rsidR="00F27513" w:rsidRPr="00CD7F7F" w:rsidRDefault="00F27513" w:rsidP="004F6FB3">
      <w:pPr>
        <w:pStyle w:val="Heading3"/>
        <w:rPr>
          <w:lang w:eastAsia="en-AU"/>
        </w:rPr>
      </w:pPr>
      <w:r w:rsidRPr="00CD7F7F">
        <w:rPr>
          <w:lang w:eastAsia="en-AU"/>
        </w:rPr>
        <w:t>Is youth unemployment in Shepparton really 6.8%?</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Labour Force Survey, February 2014, 12 month averages of original data</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Youth unemployment in Shepparton is relatively low compared to Victoria at 6.8 per cent. This is also much lower compared to the same time last year when youth unemployment was 12.4 percent.</w:t>
      </w:r>
    </w:p>
    <w:p w:rsidR="00F27513" w:rsidRDefault="00F27513" w:rsidP="00F27513">
      <w:pPr>
        <w:autoSpaceDE w:val="0"/>
        <w:autoSpaceDN w:val="0"/>
        <w:adjustRightInd w:val="0"/>
        <w:rPr>
          <w:rFonts w:cs="Arial"/>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2F1147">
      <w:pPr>
        <w:pStyle w:val="Heading1"/>
      </w:pPr>
      <w:r>
        <w:lastRenderedPageBreak/>
        <w:t>Slide 13</w:t>
      </w:r>
    </w:p>
    <w:p w:rsidR="002F1147" w:rsidRPr="002F1147" w:rsidRDefault="002F1147" w:rsidP="002F1147">
      <w:pPr>
        <w:pStyle w:val="Heading2"/>
        <w:jc w:val="center"/>
        <w:rPr>
          <w:lang w:eastAsia="en-AU"/>
        </w:rPr>
      </w:pPr>
      <w:r w:rsidRPr="004119E4">
        <w:rPr>
          <w:lang w:eastAsia="en-AU"/>
        </w:rPr>
        <w:t>Youth unemployment rate volatile</w:t>
      </w:r>
    </w:p>
    <w:p w:rsidR="00F27513" w:rsidRDefault="00936612" w:rsidP="004F6FB3">
      <w:pPr>
        <w:spacing w:line="360" w:lineRule="auto"/>
        <w:jc w:val="center"/>
      </w:pPr>
      <w:r>
        <w:rPr>
          <w:noProof/>
          <w:lang w:eastAsia="en-AU"/>
        </w:rPr>
        <w:drawing>
          <wp:inline distT="0" distB="0" distL="0" distR="0" wp14:anchorId="38F76A2C" wp14:editId="06B0F21B">
            <wp:extent cx="5939790" cy="4455160"/>
            <wp:effectExtent l="19050" t="19050" r="22860" b="21590"/>
            <wp:docPr id="7" name="Picture 7" descr="Graph that shows the Youth (15-24 years) unemployment rate for the Shepparton SA4. Se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Youth unemployment rate volatile</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Labour Force Survey, February 2014, 12 month averages of original data</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graph shows that the youth unemployment rate in the Shepparton region is quite volatile. In the last 12 months youth unemployment has dropped dramatically from 12.4 per cent to 6.8 percent. </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14</w:t>
      </w:r>
    </w:p>
    <w:p w:rsidR="00F27513" w:rsidRPr="002F1147" w:rsidRDefault="002F1147" w:rsidP="002F1147">
      <w:pPr>
        <w:pStyle w:val="Heading2"/>
        <w:jc w:val="center"/>
        <w:rPr>
          <w:lang w:eastAsia="en-AU"/>
        </w:rPr>
      </w:pPr>
      <w:r w:rsidRPr="004119E4">
        <w:rPr>
          <w:lang w:eastAsia="en-AU"/>
        </w:rPr>
        <w:t>What are the youth doing?</w:t>
      </w:r>
    </w:p>
    <w:p w:rsidR="00F27513" w:rsidRDefault="00936612" w:rsidP="004F6FB3">
      <w:pPr>
        <w:spacing w:line="360" w:lineRule="auto"/>
        <w:jc w:val="center"/>
      </w:pPr>
      <w:r>
        <w:rPr>
          <w:noProof/>
          <w:lang w:eastAsia="en-AU"/>
        </w:rPr>
        <w:drawing>
          <wp:inline distT="0" distB="0" distL="0" distR="0" wp14:anchorId="77C9C17B" wp14:editId="12107EC7">
            <wp:extent cx="5939790" cy="4455160"/>
            <wp:effectExtent l="19050" t="19050" r="22860" b="21590"/>
            <wp:docPr id="8" name="Picture 8" descr="Chart that shows the breakdown of the Population of people aged 15-24 who live in the Shepparton Region, by studying and not studying, employed and not employed, completed year 12 and did not complete year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What are the youth doing?</w:t>
      </w:r>
    </w:p>
    <w:p w:rsidR="00F27513" w:rsidRDefault="00F27513" w:rsidP="00F27513">
      <w:pPr>
        <w:autoSpaceDE w:val="0"/>
        <w:autoSpaceDN w:val="0"/>
        <w:adjustRightInd w:val="0"/>
        <w:rPr>
          <w:rFonts w:ascii="Calibri" w:hAnsi="Times New Roman" w:cs="Calibri"/>
          <w:i/>
          <w:iCs/>
          <w:color w:val="000000"/>
          <w:kern w:val="24"/>
          <w:sz w:val="24"/>
          <w:szCs w:val="24"/>
          <w:lang w:eastAsia="en-AU"/>
        </w:rPr>
      </w:pPr>
      <w:r>
        <w:rPr>
          <w:rFonts w:ascii="Calibri" w:hAnsi="Times New Roman"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Times New Roman" w:cs="Calibri"/>
          <w:i/>
          <w:iCs/>
          <w:color w:val="000000"/>
          <w:kern w:val="24"/>
          <w:sz w:val="24"/>
          <w:szCs w:val="24"/>
          <w:lang w:eastAsia="en-AU"/>
        </w:rPr>
      </w:pP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At the time of the census, there were 18,480 15-24 years old in the Shepparton Region, of whom 8,540 (46 per cent) were not studying.</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Of the 8,540 who were not studying, those who did not complete year 12, whether they are employed are not employed, are vulnerable and may have difficulty entering the labour market.</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Some 2,250 (12 per cent) 15-24 year olds in the Shepparton Region were neither studying nor employed, higher compared with Victoria (9 per cent).</w:t>
      </w:r>
    </w:p>
    <w:p w:rsidR="00F27513" w:rsidRDefault="00F27513" w:rsidP="00F27513">
      <w:pPr>
        <w:autoSpaceDE w:val="0"/>
        <w:autoSpaceDN w:val="0"/>
        <w:adjustRightInd w:val="0"/>
        <w:rPr>
          <w:rFonts w:ascii="Calibri" w:hAnsi="Times New Roman" w:cs="Calibri"/>
          <w:i/>
          <w:iCs/>
          <w:color w:val="FFFFFF"/>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sidRPr="004119E4">
        <w:rPr>
          <w:rFonts w:ascii="Calibri" w:hAnsi="Calibri" w:cs="Calibri"/>
          <w:bCs/>
          <w:color w:val="000000"/>
          <w:kern w:val="24"/>
          <w:sz w:val="24"/>
          <w:szCs w:val="24"/>
          <w:lang w:eastAsia="en-AU"/>
        </w:rPr>
        <w:t>Note</w:t>
      </w:r>
      <w:r>
        <w:rPr>
          <w:rFonts w:ascii="Calibri" w:hAnsi="Calibri" w:cs="Calibri"/>
          <w:b/>
          <w:bCs/>
          <w:color w:val="000000"/>
          <w:kern w:val="24"/>
          <w:sz w:val="24"/>
          <w:szCs w:val="24"/>
          <w:lang w:eastAsia="en-AU"/>
        </w:rPr>
        <w:t xml:space="preserve">: </w:t>
      </w:r>
      <w:r>
        <w:rPr>
          <w:rFonts w:ascii="Calibri" w:hAnsi="Calibri" w:cs="Calibri"/>
          <w:color w:val="000000"/>
          <w:kern w:val="24"/>
          <w:sz w:val="24"/>
          <w:szCs w:val="24"/>
          <w:lang w:eastAsia="en-AU"/>
        </w:rPr>
        <w:t>Not stated records for FT/PT Student Status, Labour Force Status and Highest Year of School Completed have not been included.</w:t>
      </w:r>
    </w:p>
    <w:p w:rsidR="00F27513" w:rsidRDefault="00F27513" w:rsidP="00936612">
      <w:pPr>
        <w:autoSpaceDE w:val="0"/>
        <w:autoSpaceDN w:val="0"/>
        <w:adjustRightInd w:val="0"/>
        <w:rPr>
          <w:rFonts w:ascii="Calibri" w:hAnsi="Calibri" w:cs="Calibri"/>
          <w:color w:val="000000"/>
          <w:kern w:val="24"/>
          <w:sz w:val="24"/>
          <w:szCs w:val="24"/>
          <w:lang w:eastAsia="en-AU"/>
        </w:rPr>
      </w:pPr>
    </w:p>
    <w:p w:rsidR="002F1147" w:rsidRDefault="002F1147" w:rsidP="00936612">
      <w:pPr>
        <w:autoSpaceDE w:val="0"/>
        <w:autoSpaceDN w:val="0"/>
        <w:adjustRightInd w:val="0"/>
        <w:rPr>
          <w:rFonts w:ascii="Calibri" w:hAnsi="Calibri" w:cs="Calibri"/>
          <w:color w:val="000000"/>
          <w:kern w:val="24"/>
          <w:sz w:val="24"/>
          <w:szCs w:val="24"/>
          <w:lang w:eastAsia="en-AU"/>
        </w:rPr>
      </w:pPr>
    </w:p>
    <w:p w:rsidR="002F1147" w:rsidRDefault="002F1147" w:rsidP="00936612">
      <w:pPr>
        <w:autoSpaceDE w:val="0"/>
        <w:autoSpaceDN w:val="0"/>
        <w:adjustRightInd w:val="0"/>
        <w:rPr>
          <w:rFonts w:ascii="Calibri" w:hAnsi="Calibri" w:cs="Calibri"/>
          <w:color w:val="000000"/>
          <w:kern w:val="24"/>
          <w:sz w:val="24"/>
          <w:szCs w:val="24"/>
          <w:lang w:eastAsia="en-AU"/>
        </w:rPr>
      </w:pPr>
    </w:p>
    <w:p w:rsidR="002F1147" w:rsidRPr="00936612" w:rsidRDefault="002F1147" w:rsidP="00936612">
      <w:pPr>
        <w:autoSpaceDE w:val="0"/>
        <w:autoSpaceDN w:val="0"/>
        <w:adjustRightInd w:val="0"/>
        <w:rPr>
          <w:rFonts w:ascii="Calibri" w:hAnsi="Calibri" w:cs="Calibri"/>
          <w:color w:val="000000"/>
          <w:kern w:val="24"/>
          <w:sz w:val="24"/>
          <w:szCs w:val="24"/>
          <w:lang w:eastAsia="en-AU"/>
        </w:rPr>
      </w:pPr>
    </w:p>
    <w:p w:rsidR="00F27513" w:rsidRDefault="00F27513" w:rsidP="007668AD">
      <w:pPr>
        <w:pStyle w:val="Heading1"/>
      </w:pPr>
      <w:r>
        <w:lastRenderedPageBreak/>
        <w:t>Slide 15</w:t>
      </w:r>
    </w:p>
    <w:p w:rsidR="002F1147" w:rsidRPr="002F1147" w:rsidRDefault="002F1147" w:rsidP="002F1147">
      <w:pPr>
        <w:pStyle w:val="Heading2"/>
        <w:jc w:val="center"/>
        <w:rPr>
          <w:lang w:eastAsia="en-AU"/>
        </w:rPr>
      </w:pPr>
      <w:r w:rsidRPr="002F1147">
        <w:rPr>
          <w:lang w:eastAsia="en-AU"/>
        </w:rPr>
        <w:t>High levels of disengagement among young adults</w:t>
      </w:r>
    </w:p>
    <w:p w:rsidR="00F27513" w:rsidRDefault="00936612" w:rsidP="004F6FB3">
      <w:pPr>
        <w:spacing w:line="360" w:lineRule="auto"/>
        <w:jc w:val="center"/>
      </w:pPr>
      <w:r>
        <w:rPr>
          <w:noProof/>
          <w:lang w:eastAsia="en-AU"/>
        </w:rPr>
        <w:drawing>
          <wp:inline distT="0" distB="0" distL="0" distR="0" wp14:anchorId="6D3F7E7B" wp14:editId="37E42F91">
            <wp:extent cx="5939790" cy="4455160"/>
            <wp:effectExtent l="19050" t="19050" r="22860" b="21590"/>
            <wp:docPr id="9" name="Picture 9" descr="Graph that shows the proportion of 20-24 year olds in the Shepparton region who or either Unemployed and Not Studying and Not in the Labour Force &amp; Not Stud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High levels of disengagement among young adults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19 per cent of young adults (persons aged 20 to 24 years) in the Shepparton Region were </w:t>
      </w:r>
      <w:proofErr w:type="gramStart"/>
      <w:r>
        <w:rPr>
          <w:rFonts w:ascii="Calibri" w:hAnsi="Calibri" w:cs="Calibri"/>
          <w:color w:val="000000"/>
          <w:kern w:val="24"/>
          <w:sz w:val="24"/>
          <w:szCs w:val="24"/>
          <w:lang w:eastAsia="en-AU"/>
        </w:rPr>
        <w:t>neither working or</w:t>
      </w:r>
      <w:proofErr w:type="gramEnd"/>
      <w:r>
        <w:rPr>
          <w:rFonts w:ascii="Calibri" w:hAnsi="Calibri" w:cs="Calibri"/>
          <w:color w:val="000000"/>
          <w:kern w:val="24"/>
          <w:sz w:val="24"/>
          <w:szCs w:val="24"/>
          <w:lang w:eastAsia="en-AU"/>
        </w:rPr>
        <w:t xml:space="preserve"> studying. This figure was notably higher when compared with Victoria (11 per cent).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For young adult males in the Shepparton Region, 7 per cent were not in the labour force and not studying and a further 7 per cent were unemployed and not studying.</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For young adult females in the Shepparton Region, 18 per cent were not in the labour force and not studying and a further 5 per cent were unemployed and not studying.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C056B9">
      <w:pPr>
        <w:pStyle w:val="Heading1"/>
      </w:pPr>
      <w:r>
        <w:lastRenderedPageBreak/>
        <w:t>Slide 16</w:t>
      </w:r>
    </w:p>
    <w:p w:rsidR="00C056B9" w:rsidRPr="004119E4" w:rsidRDefault="00C056B9" w:rsidP="00C056B9">
      <w:pPr>
        <w:pStyle w:val="Heading2"/>
        <w:jc w:val="center"/>
        <w:rPr>
          <w:lang w:eastAsia="en-AU"/>
        </w:rPr>
      </w:pPr>
      <w:r w:rsidRPr="004119E4">
        <w:rPr>
          <w:lang w:eastAsia="en-AU"/>
        </w:rPr>
        <w:t>Lower Educational Attainment – persons aged 25-34 years</w:t>
      </w:r>
    </w:p>
    <w:tbl>
      <w:tblPr>
        <w:tblW w:w="9221" w:type="dxa"/>
        <w:tblCellMar>
          <w:left w:w="0" w:type="dxa"/>
          <w:right w:w="0" w:type="dxa"/>
        </w:tblCellMar>
        <w:tblLook w:val="0600" w:firstRow="0" w:lastRow="0" w:firstColumn="0" w:lastColumn="0" w:noHBand="1" w:noVBand="1"/>
      </w:tblPr>
      <w:tblGrid>
        <w:gridCol w:w="2992"/>
        <w:gridCol w:w="1418"/>
        <w:gridCol w:w="2693"/>
        <w:gridCol w:w="2118"/>
      </w:tblGrid>
      <w:tr w:rsidR="00936612" w:rsidRPr="00936612" w:rsidTr="00A73341">
        <w:trPr>
          <w:trHeight w:val="869"/>
          <w:tblHeader/>
        </w:trPr>
        <w:tc>
          <w:tcPr>
            <w:tcW w:w="2992" w:type="dxa"/>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A73341" w:rsidRDefault="00936612" w:rsidP="00A73341">
            <w:pPr>
              <w:pStyle w:val="Heading1"/>
              <w:jc w:val="center"/>
              <w:rPr>
                <w:sz w:val="28"/>
              </w:rPr>
            </w:pPr>
            <w:r w:rsidRPr="00A73341">
              <w:rPr>
                <w:sz w:val="28"/>
              </w:rPr>
              <w:t>Region</w:t>
            </w:r>
          </w:p>
        </w:tc>
        <w:tc>
          <w:tcPr>
            <w:tcW w:w="1418"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A73341" w:rsidRDefault="00936612" w:rsidP="00A73341">
            <w:pPr>
              <w:pStyle w:val="Heading1"/>
              <w:jc w:val="center"/>
              <w:rPr>
                <w:sz w:val="28"/>
              </w:rPr>
            </w:pPr>
            <w:r w:rsidRPr="00A73341">
              <w:rPr>
                <w:sz w:val="28"/>
              </w:rPr>
              <w:t xml:space="preserve">Completed </w:t>
            </w:r>
            <w:proofErr w:type="spellStart"/>
            <w:r w:rsidRPr="00A73341">
              <w:rPr>
                <w:sz w:val="28"/>
              </w:rPr>
              <w:t>Yr</w:t>
            </w:r>
            <w:proofErr w:type="spellEnd"/>
            <w:r w:rsidRPr="00A73341">
              <w:rPr>
                <w:sz w:val="28"/>
              </w:rPr>
              <w:t xml:space="preserve"> 12</w:t>
            </w:r>
          </w:p>
        </w:tc>
        <w:tc>
          <w:tcPr>
            <w:tcW w:w="2693" w:type="dxa"/>
            <w:tcBorders>
              <w:top w:val="single" w:sz="8"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A73341" w:rsidRDefault="00936612" w:rsidP="00A73341">
            <w:pPr>
              <w:pStyle w:val="Heading1"/>
              <w:jc w:val="center"/>
              <w:rPr>
                <w:sz w:val="28"/>
              </w:rPr>
            </w:pPr>
            <w:r w:rsidRPr="00A73341">
              <w:rPr>
                <w:sz w:val="28"/>
              </w:rPr>
              <w:t>Attained Advanced Diploma, Diploma or Certificate III &amp; IV Level</w:t>
            </w:r>
          </w:p>
        </w:tc>
        <w:tc>
          <w:tcPr>
            <w:tcW w:w="2118" w:type="dxa"/>
            <w:tcBorders>
              <w:top w:val="single" w:sz="8"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A73341" w:rsidRDefault="00936612" w:rsidP="00A73341">
            <w:pPr>
              <w:pStyle w:val="Heading1"/>
              <w:jc w:val="center"/>
              <w:rPr>
                <w:sz w:val="28"/>
              </w:rPr>
            </w:pPr>
            <w:r w:rsidRPr="00A73341">
              <w:rPr>
                <w:sz w:val="28"/>
              </w:rPr>
              <w:t>Attained Bachelor Degree or Higher</w:t>
            </w:r>
          </w:p>
        </w:tc>
      </w:tr>
      <w:tr w:rsidR="00936612" w:rsidRPr="00936612" w:rsidTr="00A73341">
        <w:trPr>
          <w:trHeight w:val="397"/>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Greater Shepparton LGA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62%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33%</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22%</w:t>
            </w:r>
          </w:p>
        </w:tc>
      </w:tr>
      <w:tr w:rsidR="00936612" w:rsidRPr="00936612" w:rsidTr="00A73341">
        <w:trPr>
          <w:trHeight w:val="397"/>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Benalla LGA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57%</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40%</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17%</w:t>
            </w:r>
          </w:p>
        </w:tc>
      </w:tr>
      <w:tr w:rsidR="00936612" w:rsidRPr="00936612" w:rsidTr="00A73341">
        <w:trPr>
          <w:trHeight w:val="349"/>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Campaspe LGA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58%</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37%</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19%</w:t>
            </w:r>
          </w:p>
        </w:tc>
      </w:tr>
      <w:tr w:rsidR="00936612" w:rsidRPr="00936612" w:rsidTr="00A73341">
        <w:trPr>
          <w:trHeight w:val="349"/>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Moira LGA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56%</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39%</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15%</w:t>
            </w:r>
          </w:p>
        </w:tc>
      </w:tr>
      <w:tr w:rsidR="00936612" w:rsidRPr="00936612" w:rsidTr="00A73341">
        <w:trPr>
          <w:trHeight w:val="349"/>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Strathbogie LGA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62%</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39%</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20%</w:t>
            </w:r>
          </w:p>
        </w:tc>
      </w:tr>
      <w:tr w:rsidR="00936612" w:rsidRPr="00936612" w:rsidTr="00A73341">
        <w:trPr>
          <w:trHeight w:val="349"/>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Wangaratta LGA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63%</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40%</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22%</w:t>
            </w:r>
          </w:p>
        </w:tc>
      </w:tr>
      <w:tr w:rsidR="00936612" w:rsidRPr="00936612" w:rsidTr="00A73341">
        <w:trPr>
          <w:trHeight w:val="349"/>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Shepparton Region</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60%</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37%</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bCs/>
                <w:sz w:val="26"/>
                <w:szCs w:val="26"/>
              </w:rPr>
              <w:t>20%</w:t>
            </w:r>
          </w:p>
        </w:tc>
      </w:tr>
      <w:tr w:rsidR="00936612" w:rsidRPr="00936612" w:rsidTr="00A73341">
        <w:trPr>
          <w:trHeight w:val="349"/>
          <w:tblHeader/>
        </w:trPr>
        <w:tc>
          <w:tcPr>
            <w:tcW w:w="2992" w:type="dxa"/>
            <w:tcBorders>
              <w:top w:val="single" w:sz="4"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Victoria</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79%</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29%</w:t>
            </w:r>
          </w:p>
        </w:tc>
        <w:tc>
          <w:tcPr>
            <w:tcW w:w="211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rsidR="00D03A11" w:rsidRPr="00936612" w:rsidRDefault="00936612" w:rsidP="00936612">
            <w:pPr>
              <w:spacing w:line="360" w:lineRule="auto"/>
              <w:jc w:val="center"/>
              <w:rPr>
                <w:rFonts w:asciiTheme="minorHAnsi" w:hAnsiTheme="minorHAnsi" w:cstheme="minorHAnsi"/>
                <w:sz w:val="26"/>
                <w:szCs w:val="26"/>
              </w:rPr>
            </w:pPr>
            <w:r w:rsidRPr="00936612">
              <w:rPr>
                <w:rFonts w:asciiTheme="minorHAnsi" w:hAnsiTheme="minorHAnsi" w:cstheme="minorHAnsi"/>
                <w:sz w:val="26"/>
                <w:szCs w:val="26"/>
              </w:rPr>
              <w:t>40%</w:t>
            </w:r>
          </w:p>
        </w:tc>
      </w:tr>
    </w:tbl>
    <w:p w:rsidR="00F27513" w:rsidRPr="004119E4" w:rsidRDefault="00F27513" w:rsidP="004F6FB3">
      <w:pPr>
        <w:pStyle w:val="Heading3"/>
        <w:rPr>
          <w:lang w:eastAsia="en-AU"/>
        </w:rPr>
      </w:pPr>
      <w:r w:rsidRPr="004119E4">
        <w:rPr>
          <w:lang w:eastAsia="en-AU"/>
        </w:rPr>
        <w:t>Lower Educational Attainment – persons aged 25-34 years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ABS, Census of Population and Housing, 2011 </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At the time of the 2011 Census, the proportion of 25 to 34 year olds in the Shepparton Region who had completed Year 12 or equivalent was 60 per cent. This was considerably lower than for Victoria (79 per cent). The lowest levels of Year 12 attainment were in the Moira LGA (56 per cent) and the Benalla LGA (57 per cent). The Wangaratta LGA had the highest level of Year 12 attainment in the Shepparton Region (63 per cent).</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Job seekers who have not completed Year 12 and have limited experience in the workforce are likely to lack many basic employability skills that employers value and look for in applicants, particularly for lower skilled vacancies and entry level positions such as apprenticeships and traineeships.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cs="Arial"/>
          <w:color w:val="000000"/>
          <w:kern w:val="24"/>
          <w:sz w:val="24"/>
          <w:szCs w:val="24"/>
          <w:lang w:eastAsia="en-AU"/>
        </w:rPr>
      </w:pPr>
      <w:r>
        <w:rPr>
          <w:rFonts w:ascii="Calibri" w:hAnsi="Calibri" w:cs="Calibri"/>
          <w:color w:val="000000"/>
          <w:kern w:val="24"/>
          <w:sz w:val="24"/>
          <w:szCs w:val="24"/>
          <w:lang w:eastAsia="en-AU"/>
        </w:rPr>
        <w:t>At the time of the 2011 Census, the proportion of 25 to 34 year olds who had attained an Advanced Diploma, Diploma or Certificate level III or IV in the Shepparton Region (37 per cent) was larger than the state average (29 per cent) while the proportion who had attained a Bachelor Degree or higher (20 per cent) was far lower than the state average (40 per cent).</w:t>
      </w:r>
    </w:p>
    <w:p w:rsidR="00F27513" w:rsidRDefault="00F27513" w:rsidP="00F27513">
      <w:pPr>
        <w:autoSpaceDE w:val="0"/>
        <w:autoSpaceDN w:val="0"/>
        <w:adjustRightInd w:val="0"/>
        <w:rPr>
          <w:rFonts w:cs="Arial"/>
          <w:i/>
          <w:iCs/>
          <w:color w:val="000000"/>
          <w:sz w:val="20"/>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17</w:t>
      </w:r>
    </w:p>
    <w:p w:rsidR="00F27513" w:rsidRPr="00C056B9" w:rsidRDefault="00C056B9" w:rsidP="00C056B9">
      <w:pPr>
        <w:pStyle w:val="Heading2"/>
        <w:jc w:val="center"/>
        <w:rPr>
          <w:lang w:eastAsia="en-AU"/>
        </w:rPr>
      </w:pPr>
      <w:r w:rsidRPr="004119E4">
        <w:rPr>
          <w:lang w:eastAsia="en-AU"/>
        </w:rPr>
        <w:t>Educational Attainment and Labour Market Outcomes</w:t>
      </w:r>
    </w:p>
    <w:p w:rsidR="00F27513" w:rsidRDefault="008C672C" w:rsidP="00F27513">
      <w:pPr>
        <w:spacing w:line="360" w:lineRule="auto"/>
        <w:jc w:val="center"/>
      </w:pPr>
      <w:r>
        <w:rPr>
          <w:noProof/>
          <w:lang w:eastAsia="en-AU"/>
        </w:rPr>
        <w:drawing>
          <wp:inline distT="0" distB="0" distL="0" distR="0">
            <wp:extent cx="5939790" cy="4455160"/>
            <wp:effectExtent l="19050" t="19050" r="22860" b="21590"/>
            <wp:docPr id="10" name="Picture 10" descr="Graph that shows the relationship between educational attainment and labour market outcomes for people in Shepparton who are aged 25-34 years. See Notes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Educational Attainment and Labour Market Outcomes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There is a strong relationship between educational attainment and employment outcomes. For those aged 25 to 34 years in the Shepparton Region, there were high unemployment rates for those who had completed Certificate I &amp; II but had not completed Year 12 (10.4 per cent) and those who had not completed Year 12 or a post school qualification (16.2 per cent).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Unemployment rates are considerably lower for those who have completed a tertiary education at the Bachelor Degree, Advanced Diploma and Diploma Level. It should also be noted that employment outcomes are better for those who have attained Certificate Levels III or IV. This emphasises the importance of post school education in gaining employment. </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18</w:t>
      </w:r>
    </w:p>
    <w:p w:rsidR="00F27513" w:rsidRPr="00C056B9" w:rsidRDefault="00C056B9" w:rsidP="00C056B9">
      <w:pPr>
        <w:pStyle w:val="Heading2"/>
        <w:jc w:val="center"/>
        <w:rPr>
          <w:lang w:eastAsia="en-AU"/>
        </w:rPr>
      </w:pPr>
      <w:r w:rsidRPr="004119E4">
        <w:rPr>
          <w:lang w:eastAsia="en-AU"/>
        </w:rPr>
        <w:t>Weaker labour market outcomes for Indigenous working age population</w:t>
      </w:r>
    </w:p>
    <w:tbl>
      <w:tblPr>
        <w:tblW w:w="9475" w:type="dxa"/>
        <w:tblLayout w:type="fixed"/>
        <w:tblCellMar>
          <w:left w:w="0" w:type="dxa"/>
          <w:right w:w="0" w:type="dxa"/>
        </w:tblCellMar>
        <w:tblLook w:val="0600" w:firstRow="0" w:lastRow="0" w:firstColumn="0" w:lastColumn="0" w:noHBand="1" w:noVBand="1"/>
      </w:tblPr>
      <w:tblGrid>
        <w:gridCol w:w="2000"/>
        <w:gridCol w:w="1276"/>
        <w:gridCol w:w="1701"/>
        <w:gridCol w:w="1701"/>
        <w:gridCol w:w="1417"/>
        <w:gridCol w:w="1380"/>
      </w:tblGrid>
      <w:tr w:rsidR="00F167D9" w:rsidRPr="00FA7DC2" w:rsidTr="00F167D9">
        <w:trPr>
          <w:trHeight w:val="2076"/>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C672C" w:rsidRPr="00FA7DC2" w:rsidRDefault="008C672C" w:rsidP="00FA7DC2">
            <w:pPr>
              <w:pStyle w:val="Heading1"/>
              <w:jc w:val="center"/>
            </w:pPr>
            <w:r w:rsidRPr="00FA7DC2">
              <w:t>Region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8C672C" w:rsidRPr="00FA7DC2" w:rsidRDefault="008C672C" w:rsidP="00FA7DC2">
            <w:pPr>
              <w:pStyle w:val="Heading1"/>
              <w:jc w:val="center"/>
            </w:pPr>
            <w:r w:rsidRPr="00FA7DC2">
              <w:t>% WAP Indigenous</w:t>
            </w:r>
          </w:p>
          <w:p w:rsidR="008C672C" w:rsidRPr="00FA7DC2" w:rsidRDefault="008C672C" w:rsidP="00FA7DC2">
            <w:pPr>
              <w:pStyle w:val="Heading1"/>
              <w:jc w:val="center"/>
            </w:pPr>
          </w:p>
        </w:tc>
        <w:tc>
          <w:tcPr>
            <w:tcW w:w="1701"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8C672C" w:rsidRPr="00FA7DC2" w:rsidRDefault="008C672C" w:rsidP="00FA7DC2">
            <w:pPr>
              <w:pStyle w:val="Heading1"/>
              <w:jc w:val="center"/>
            </w:pPr>
            <w:r w:rsidRPr="00FA7DC2">
              <w:t>Unemployment rate (%) -</w:t>
            </w:r>
          </w:p>
          <w:p w:rsidR="008C672C" w:rsidRPr="00FA7DC2" w:rsidRDefault="008C672C" w:rsidP="00FA7DC2">
            <w:pPr>
              <w:pStyle w:val="Heading1"/>
              <w:jc w:val="center"/>
            </w:pPr>
            <w:r w:rsidRPr="00FA7DC2">
              <w:t>Indigenous</w:t>
            </w:r>
          </w:p>
        </w:tc>
        <w:tc>
          <w:tcPr>
            <w:tcW w:w="1701" w:type="dxa"/>
            <w:tcBorders>
              <w:top w:val="single" w:sz="4" w:space="0" w:color="000000"/>
              <w:left w:val="single" w:sz="4" w:space="0" w:color="000000"/>
              <w:right w:val="single" w:sz="4" w:space="0" w:color="000000"/>
            </w:tcBorders>
            <w:shd w:val="clear" w:color="auto" w:fill="auto"/>
            <w:vAlign w:val="center"/>
          </w:tcPr>
          <w:p w:rsidR="008C672C" w:rsidRPr="00FA7DC2" w:rsidRDefault="008C672C" w:rsidP="00FA7DC2">
            <w:pPr>
              <w:pStyle w:val="Heading1"/>
              <w:jc w:val="center"/>
            </w:pPr>
            <w:r w:rsidRPr="00FA7DC2">
              <w:t>Unemployment rate (%) -</w:t>
            </w:r>
          </w:p>
          <w:p w:rsidR="008C672C" w:rsidRPr="00FA7DC2" w:rsidRDefault="008C672C" w:rsidP="00FA7DC2">
            <w:pPr>
              <w:pStyle w:val="Heading1"/>
              <w:jc w:val="center"/>
            </w:pPr>
            <w:r w:rsidRPr="00FA7DC2">
              <w:t>Non-Indigenous</w:t>
            </w:r>
          </w:p>
        </w:tc>
        <w:tc>
          <w:tcPr>
            <w:tcW w:w="1417"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8C672C" w:rsidRPr="00FA7DC2" w:rsidRDefault="008C672C" w:rsidP="00FA7DC2">
            <w:pPr>
              <w:pStyle w:val="Heading1"/>
              <w:jc w:val="center"/>
            </w:pPr>
            <w:r w:rsidRPr="00FA7DC2">
              <w:t>Participation rate (%) - Indigenous</w:t>
            </w:r>
          </w:p>
        </w:tc>
        <w:tc>
          <w:tcPr>
            <w:tcW w:w="1380" w:type="dxa"/>
            <w:tcBorders>
              <w:top w:val="single" w:sz="4" w:space="0" w:color="000000"/>
              <w:left w:val="single" w:sz="4" w:space="0" w:color="000000"/>
              <w:right w:val="single" w:sz="4" w:space="0" w:color="000000"/>
            </w:tcBorders>
            <w:shd w:val="clear" w:color="auto" w:fill="auto"/>
            <w:vAlign w:val="center"/>
          </w:tcPr>
          <w:p w:rsidR="008C672C" w:rsidRPr="00FA7DC2" w:rsidRDefault="008C672C" w:rsidP="00FA7DC2">
            <w:pPr>
              <w:pStyle w:val="Heading1"/>
              <w:jc w:val="center"/>
            </w:pPr>
            <w:r w:rsidRPr="00FA7DC2">
              <w:t>Participation rate (%) -</w:t>
            </w:r>
          </w:p>
          <w:p w:rsidR="008C672C" w:rsidRPr="00FA7DC2" w:rsidRDefault="008C672C" w:rsidP="00FA7DC2">
            <w:pPr>
              <w:pStyle w:val="Heading1"/>
              <w:jc w:val="center"/>
            </w:pPr>
            <w:r w:rsidRPr="00FA7DC2">
              <w:t>Non-Indigenous</w:t>
            </w:r>
          </w:p>
        </w:tc>
      </w:tr>
      <w:tr w:rsidR="00F167D9" w:rsidRPr="008C672C" w:rsidTr="00F167D9">
        <w:trPr>
          <w:trHeight w:val="593"/>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Greater Shepparton LGA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20.9%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54.2%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75.0%</w:t>
            </w:r>
          </w:p>
        </w:tc>
      </w:tr>
      <w:tr w:rsidR="00F167D9" w:rsidRPr="008C672C" w:rsidTr="00F167D9">
        <w:trPr>
          <w:trHeight w:val="593"/>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Campaspe LGA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14.8%</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4.5%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51.9%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75.6%</w:t>
            </w:r>
          </w:p>
        </w:tc>
      </w:tr>
      <w:tr w:rsidR="00F167D9" w:rsidRPr="008C672C" w:rsidTr="00F167D9">
        <w:trPr>
          <w:trHeight w:val="616"/>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Shepparton Region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17.6%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4.9%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53.7%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bCs/>
                <w:szCs w:val="22"/>
              </w:rPr>
              <w:t>75.3%</w:t>
            </w:r>
          </w:p>
        </w:tc>
      </w:tr>
      <w:tr w:rsidR="00F167D9" w:rsidRPr="008C672C" w:rsidTr="00F167D9">
        <w:trPr>
          <w:trHeight w:val="593"/>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Victoria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0.6%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14.2%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59.0%</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75.8%</w:t>
            </w:r>
          </w:p>
        </w:tc>
      </w:tr>
      <w:tr w:rsidR="00F167D9" w:rsidRPr="008C672C" w:rsidTr="00F167D9">
        <w:trPr>
          <w:trHeight w:val="593"/>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Australia</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17.2%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5.5%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55.9%</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8C672C" w:rsidP="008C672C">
            <w:pPr>
              <w:spacing w:line="360" w:lineRule="auto"/>
              <w:jc w:val="center"/>
              <w:rPr>
                <w:rFonts w:asciiTheme="minorHAnsi" w:hAnsiTheme="minorHAnsi" w:cstheme="minorHAnsi"/>
                <w:szCs w:val="22"/>
              </w:rPr>
            </w:pPr>
            <w:r w:rsidRPr="00C33FD8">
              <w:rPr>
                <w:rFonts w:asciiTheme="minorHAnsi" w:hAnsiTheme="minorHAnsi" w:cstheme="minorHAnsi"/>
                <w:szCs w:val="22"/>
              </w:rPr>
              <w:t>76.4%</w:t>
            </w:r>
          </w:p>
        </w:tc>
      </w:tr>
    </w:tbl>
    <w:p w:rsidR="00F27513" w:rsidRPr="004119E4" w:rsidRDefault="00F27513" w:rsidP="004F6FB3">
      <w:pPr>
        <w:pStyle w:val="Heading3"/>
        <w:rPr>
          <w:lang w:eastAsia="en-AU"/>
        </w:rPr>
      </w:pPr>
      <w:r w:rsidRPr="004119E4">
        <w:rPr>
          <w:lang w:eastAsia="en-AU"/>
        </w:rPr>
        <w:t>Weaker labour market outcomes for Indigenous working age population</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the Greater Shepparton LGA had the largest Indigenous population in the Region (3.1 per cent of the working age population).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In the Shepparton Region, the unemployment rate for Indigenous residents was 17.6 per cent, over 3 times the unemployment rate for non-Indigenous residents (4.9 per cent). This disparity was greater compared with the state Indigenous and non-Indigenous unemployment rates. In the Greater Shepparton LGA the Indigenous unemployment rate was even higher at 20.9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proportion of the working age population participating in the labour market was significantly lower for Indigenous residents in the Shepparton Region (53.7 per cent compared with 75.3 per cent for non-Indigenous residents).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C056B9">
      <w:pPr>
        <w:pStyle w:val="Heading1"/>
      </w:pPr>
      <w:r>
        <w:lastRenderedPageBreak/>
        <w:t>Slide 19</w:t>
      </w:r>
    </w:p>
    <w:p w:rsidR="00C056B9" w:rsidRPr="00C056B9" w:rsidRDefault="00C056B9" w:rsidP="00C056B9">
      <w:pPr>
        <w:pStyle w:val="Heading2"/>
        <w:jc w:val="center"/>
        <w:rPr>
          <w:lang w:eastAsia="en-AU"/>
        </w:rPr>
      </w:pPr>
      <w:r w:rsidRPr="00C056B9">
        <w:rPr>
          <w:lang w:eastAsia="en-AU"/>
        </w:rPr>
        <w:t>Large humanitarian migrant intake</w:t>
      </w:r>
    </w:p>
    <w:p w:rsidR="00F27513" w:rsidRDefault="00BE1BC0" w:rsidP="00F27513">
      <w:pPr>
        <w:spacing w:line="360" w:lineRule="auto"/>
        <w:jc w:val="center"/>
      </w:pPr>
      <w:r>
        <w:rPr>
          <w:noProof/>
          <w:lang w:eastAsia="en-AU"/>
        </w:rPr>
        <w:drawing>
          <wp:inline distT="0" distB="0" distL="0" distR="0">
            <wp:extent cx="5939790" cy="4455160"/>
            <wp:effectExtent l="19050" t="19050" r="22860" b="21590"/>
            <wp:docPr id="11" name="Picture 11" descr="Chart that shows the proportion of settlers aged 18-64 years old who settled in the past 5 years who were classified Family, Humanitarian and Skilled for the Shepparton Region and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C056B9" w:rsidP="004F6FB3">
      <w:pPr>
        <w:pStyle w:val="Heading3"/>
        <w:rPr>
          <w:lang w:eastAsia="en-AU"/>
        </w:rPr>
      </w:pPr>
      <w:r>
        <w:rPr>
          <w:lang w:eastAsia="en-AU"/>
        </w:rPr>
        <w:t>Large humanitarian migrant intake</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color w:val="000000"/>
          <w:kern w:val="24"/>
          <w:sz w:val="24"/>
          <w:szCs w:val="24"/>
          <w:lang w:eastAsia="en-AU"/>
        </w:rPr>
        <w:t xml:space="preserve">Source: </w:t>
      </w:r>
      <w:r>
        <w:rPr>
          <w:rFonts w:ascii="Calibri" w:hAnsi="Calibri" w:cs="Calibri"/>
          <w:i/>
          <w:iCs/>
          <w:color w:val="000000"/>
          <w:kern w:val="24"/>
          <w:sz w:val="24"/>
          <w:szCs w:val="24"/>
          <w:lang w:eastAsia="en-AU"/>
        </w:rPr>
        <w:t>Department of Immigration and Border Protection. Settlement reporting: http://www.immi.gov.au/settlement, March 2009 to March 2014</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In the 5 years to March 2014, there have </w:t>
      </w:r>
      <w:r w:rsidRPr="004119E4">
        <w:rPr>
          <w:rFonts w:ascii="Calibri" w:hAnsi="Calibri" w:cs="Calibri"/>
          <w:color w:val="000000"/>
          <w:kern w:val="24"/>
          <w:sz w:val="24"/>
          <w:szCs w:val="24"/>
          <w:lang w:eastAsia="en-AU"/>
        </w:rPr>
        <w:t xml:space="preserve">been </w:t>
      </w:r>
      <w:r w:rsidRPr="004119E4">
        <w:rPr>
          <w:rFonts w:ascii="Calibri" w:hAnsi="Calibri" w:cs="Calibri"/>
          <w:bCs/>
          <w:color w:val="000000"/>
          <w:kern w:val="24"/>
          <w:sz w:val="24"/>
          <w:szCs w:val="24"/>
          <w:lang w:eastAsia="en-AU"/>
        </w:rPr>
        <w:t>1,900 migrants</w:t>
      </w:r>
      <w:r>
        <w:rPr>
          <w:rFonts w:ascii="Calibri" w:hAnsi="Calibri" w:cs="Calibri"/>
          <w:b/>
          <w:bCs/>
          <w:color w:val="000000"/>
          <w:kern w:val="24"/>
          <w:sz w:val="24"/>
          <w:szCs w:val="24"/>
          <w:lang w:eastAsia="en-AU"/>
        </w:rPr>
        <w:t xml:space="preserve"> </w:t>
      </w:r>
      <w:r>
        <w:rPr>
          <w:rFonts w:ascii="Calibri" w:hAnsi="Calibri" w:cs="Calibri"/>
          <w:color w:val="000000"/>
          <w:kern w:val="24"/>
          <w:sz w:val="24"/>
          <w:szCs w:val="24"/>
          <w:lang w:eastAsia="en-AU"/>
        </w:rPr>
        <w:t>(aged 18-64 years) settled in the Shepparton Region.</w:t>
      </w:r>
    </w:p>
    <w:p w:rsidR="00F27513" w:rsidRDefault="00F27513" w:rsidP="00F27513">
      <w:pPr>
        <w:numPr>
          <w:ilvl w:val="0"/>
          <w:numId w:val="1"/>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40 per cent (760 migrants) settled under the skilled migration stream, compared with 54 per cent for Australia. </w:t>
      </w:r>
    </w:p>
    <w:p w:rsidR="00F27513" w:rsidRDefault="00F27513" w:rsidP="00F27513">
      <w:pPr>
        <w:numPr>
          <w:ilvl w:val="0"/>
          <w:numId w:val="1"/>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36 per cent (680 migrants) settled under the family migration stream, compared with 39 per cent for Australia. </w:t>
      </w:r>
    </w:p>
    <w:p w:rsidR="00F27513" w:rsidRDefault="00F27513" w:rsidP="00F27513">
      <w:pPr>
        <w:numPr>
          <w:ilvl w:val="0"/>
          <w:numId w:val="1"/>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24 per cent (440 migrants) settled under the humanitarian migration stream compared with 8 per cent for Australia.   </w:t>
      </w:r>
    </w:p>
    <w:p w:rsidR="00F27513" w:rsidRPr="004119E4" w:rsidRDefault="00F27513" w:rsidP="00F27513">
      <w:pPr>
        <w:autoSpaceDE w:val="0"/>
        <w:autoSpaceDN w:val="0"/>
        <w:adjustRightInd w:val="0"/>
        <w:rPr>
          <w:rFonts w:ascii="Calibri" w:hAnsi="Calibri" w:cs="Calibri"/>
          <w:color w:val="000000"/>
          <w:kern w:val="24"/>
          <w:sz w:val="24"/>
          <w:szCs w:val="24"/>
          <w:lang w:eastAsia="en-AU"/>
        </w:rPr>
      </w:pPr>
      <w:r w:rsidRPr="004119E4">
        <w:rPr>
          <w:rFonts w:ascii="Calibri" w:hAnsi="Calibri" w:cs="Calibri"/>
          <w:bCs/>
          <w:color w:val="000000"/>
          <w:kern w:val="24"/>
          <w:sz w:val="24"/>
          <w:szCs w:val="24"/>
          <w:lang w:eastAsia="en-AU"/>
        </w:rPr>
        <w:t>Shepparton Region</w:t>
      </w:r>
      <w:r w:rsidRPr="004119E4">
        <w:rPr>
          <w:rFonts w:ascii="Calibri" w:hAnsi="Calibri" w:cs="Calibri"/>
          <w:color w:val="000000"/>
          <w:kern w:val="24"/>
          <w:sz w:val="24"/>
          <w:szCs w:val="24"/>
          <w:lang w:eastAsia="en-AU"/>
        </w:rPr>
        <w:t>:</w:t>
      </w:r>
    </w:p>
    <w:p w:rsidR="00F27513" w:rsidRDefault="00F27513" w:rsidP="00F27513">
      <w:pPr>
        <w:numPr>
          <w:ilvl w:val="0"/>
          <w:numId w:val="1"/>
        </w:numPr>
        <w:autoSpaceDE w:val="0"/>
        <w:autoSpaceDN w:val="0"/>
        <w:adjustRightInd w:val="0"/>
        <w:ind w:left="72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 36 per cent of skilled migrants had ‘nil’ or ‘poor’ English language proficiency.</w:t>
      </w:r>
    </w:p>
    <w:p w:rsidR="00F27513" w:rsidRPr="00BE1BC0" w:rsidRDefault="00F27513" w:rsidP="00F27513">
      <w:pPr>
        <w:numPr>
          <w:ilvl w:val="0"/>
          <w:numId w:val="1"/>
        </w:numPr>
        <w:autoSpaceDE w:val="0"/>
        <w:autoSpaceDN w:val="0"/>
        <w:adjustRightInd w:val="0"/>
        <w:ind w:left="720"/>
        <w:rPr>
          <w:rFonts w:ascii="Calibri" w:hAnsi="Calibri" w:cs="Calibri"/>
          <w:color w:val="000000"/>
          <w:kern w:val="24"/>
          <w:sz w:val="24"/>
          <w:szCs w:val="24"/>
          <w:lang w:eastAsia="en-AU"/>
        </w:rPr>
      </w:pPr>
      <w:r w:rsidRPr="00BE1BC0">
        <w:rPr>
          <w:rFonts w:ascii="Calibri" w:hAnsi="Calibri" w:cs="Calibri"/>
          <w:color w:val="000000"/>
          <w:kern w:val="24"/>
          <w:sz w:val="24"/>
          <w:szCs w:val="24"/>
          <w:lang w:eastAsia="en-AU"/>
        </w:rPr>
        <w:t xml:space="preserve"> 74 per cent of family and humanitarian migrants had ‘nil’ or ‘poor’ English language proficiency. </w:t>
      </w:r>
    </w:p>
    <w:p w:rsidR="00F27513" w:rsidRDefault="00F27513" w:rsidP="00F27513">
      <w:pPr>
        <w:autoSpaceDE w:val="0"/>
        <w:autoSpaceDN w:val="0"/>
        <w:adjustRightInd w:val="0"/>
        <w:rPr>
          <w:rFonts w:cs="Arial"/>
          <w:sz w:val="24"/>
          <w:szCs w:val="24"/>
          <w:lang w:eastAsia="en-AU"/>
        </w:rPr>
      </w:pPr>
    </w:p>
    <w:p w:rsidR="00F27513" w:rsidRDefault="00F27513">
      <w:r>
        <w:br w:type="page"/>
      </w:r>
    </w:p>
    <w:p w:rsidR="00F27513" w:rsidRDefault="00F27513" w:rsidP="007668AD">
      <w:pPr>
        <w:pStyle w:val="Heading1"/>
      </w:pPr>
      <w:r>
        <w:lastRenderedPageBreak/>
        <w:t>Slide 20</w:t>
      </w:r>
    </w:p>
    <w:p w:rsidR="00F27513" w:rsidRPr="00C056B9" w:rsidRDefault="00C056B9" w:rsidP="00C056B9">
      <w:pPr>
        <w:pStyle w:val="Heading2"/>
        <w:rPr>
          <w:lang w:eastAsia="en-AU"/>
        </w:rPr>
      </w:pPr>
      <w:r w:rsidRPr="004119E4">
        <w:rPr>
          <w:lang w:eastAsia="en-AU"/>
        </w:rPr>
        <w:t>OTMESC Labour Market Outcomes</w:t>
      </w:r>
    </w:p>
    <w:tbl>
      <w:tblPr>
        <w:tblW w:w="9302" w:type="dxa"/>
        <w:tblLayout w:type="fixed"/>
        <w:tblCellMar>
          <w:left w:w="0" w:type="dxa"/>
          <w:right w:w="0" w:type="dxa"/>
        </w:tblCellMar>
        <w:tblLook w:val="0600" w:firstRow="0" w:lastRow="0" w:firstColumn="0" w:lastColumn="0" w:noHBand="1" w:noVBand="1"/>
      </w:tblPr>
      <w:tblGrid>
        <w:gridCol w:w="2000"/>
        <w:gridCol w:w="1559"/>
        <w:gridCol w:w="1559"/>
        <w:gridCol w:w="1560"/>
        <w:gridCol w:w="1275"/>
        <w:gridCol w:w="1349"/>
      </w:tblGrid>
      <w:tr w:rsidR="00163C07" w:rsidRPr="00BE1BC0" w:rsidTr="00F167D9">
        <w:trPr>
          <w:trHeight w:val="192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63C07" w:rsidRPr="00163C07" w:rsidRDefault="00163C07" w:rsidP="00744E1A">
            <w:pPr>
              <w:pStyle w:val="Heading1"/>
              <w:jc w:val="center"/>
            </w:pPr>
            <w:r w:rsidRPr="00163C07">
              <w:t>Region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163C07" w:rsidRPr="00163C07" w:rsidRDefault="00163C07" w:rsidP="00744E1A">
            <w:pPr>
              <w:pStyle w:val="Heading1"/>
              <w:jc w:val="center"/>
            </w:pPr>
            <w:r w:rsidRPr="00163C07">
              <w:t xml:space="preserve">Proportion of working age population </w:t>
            </w:r>
            <w:r w:rsidRPr="00163C07">
              <w:br/>
              <w:t xml:space="preserve">OTMESC </w:t>
            </w:r>
            <w:r w:rsidRPr="00163C07">
              <w:br/>
              <w:t>(2011)</w:t>
            </w:r>
          </w:p>
        </w:tc>
        <w:tc>
          <w:tcPr>
            <w:tcW w:w="1559"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163C07" w:rsidRPr="00163C07" w:rsidRDefault="00163C07" w:rsidP="00744E1A">
            <w:pPr>
              <w:pStyle w:val="Heading1"/>
              <w:jc w:val="center"/>
            </w:pPr>
            <w:r w:rsidRPr="00163C07">
              <w:t>Unemployment Rate (2011)</w:t>
            </w:r>
          </w:p>
          <w:p w:rsidR="00163C07" w:rsidRPr="00163C07" w:rsidRDefault="00163C07" w:rsidP="00744E1A">
            <w:pPr>
              <w:pStyle w:val="Heading1"/>
              <w:jc w:val="center"/>
            </w:pPr>
            <w:r w:rsidRPr="00163C07">
              <w:t>OTMESC</w:t>
            </w:r>
          </w:p>
        </w:tc>
        <w:tc>
          <w:tcPr>
            <w:tcW w:w="1560" w:type="dxa"/>
            <w:tcBorders>
              <w:top w:val="single" w:sz="4" w:space="0" w:color="000000"/>
              <w:left w:val="single" w:sz="4" w:space="0" w:color="000000"/>
              <w:right w:val="single" w:sz="4" w:space="0" w:color="000000"/>
            </w:tcBorders>
            <w:shd w:val="clear" w:color="auto" w:fill="auto"/>
            <w:vAlign w:val="center"/>
          </w:tcPr>
          <w:p w:rsidR="00163C07" w:rsidRPr="00163C07" w:rsidRDefault="00163C07" w:rsidP="00744E1A">
            <w:pPr>
              <w:pStyle w:val="Heading1"/>
              <w:jc w:val="center"/>
            </w:pPr>
            <w:r w:rsidRPr="00163C07">
              <w:t>Unemployment Rate (2011)</w:t>
            </w:r>
          </w:p>
          <w:p w:rsidR="00163C07" w:rsidRPr="00163C07" w:rsidRDefault="00163C07" w:rsidP="00744E1A">
            <w:pPr>
              <w:pStyle w:val="Heading1"/>
              <w:jc w:val="center"/>
            </w:pPr>
            <w:r w:rsidRPr="00163C07">
              <w:t>Non-OTMESC</w:t>
            </w:r>
          </w:p>
        </w:tc>
        <w:tc>
          <w:tcPr>
            <w:tcW w:w="1275" w:type="dxa"/>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rsidR="00163C07" w:rsidRPr="00163C07" w:rsidRDefault="00163C07" w:rsidP="00744E1A">
            <w:pPr>
              <w:pStyle w:val="Heading1"/>
              <w:jc w:val="center"/>
            </w:pPr>
            <w:r w:rsidRPr="00163C07">
              <w:t>Participation Rate (2011)</w:t>
            </w:r>
          </w:p>
          <w:p w:rsidR="00163C07" w:rsidRPr="00163C07" w:rsidRDefault="00163C07" w:rsidP="00744E1A">
            <w:pPr>
              <w:pStyle w:val="Heading1"/>
              <w:jc w:val="center"/>
            </w:pPr>
            <w:r w:rsidRPr="00163C07">
              <w:t>OTMESC</w:t>
            </w:r>
          </w:p>
        </w:tc>
        <w:tc>
          <w:tcPr>
            <w:tcW w:w="1349" w:type="dxa"/>
            <w:tcBorders>
              <w:top w:val="single" w:sz="4" w:space="0" w:color="000000"/>
              <w:left w:val="single" w:sz="4" w:space="0" w:color="000000"/>
              <w:right w:val="single" w:sz="4" w:space="0" w:color="000000"/>
            </w:tcBorders>
            <w:shd w:val="clear" w:color="auto" w:fill="auto"/>
            <w:vAlign w:val="center"/>
          </w:tcPr>
          <w:p w:rsidR="00163C07" w:rsidRPr="00163C07" w:rsidRDefault="00163C07" w:rsidP="00744E1A">
            <w:pPr>
              <w:pStyle w:val="Heading1"/>
              <w:jc w:val="center"/>
            </w:pPr>
            <w:r w:rsidRPr="00163C07">
              <w:t>Participation Rate (2011)</w:t>
            </w:r>
          </w:p>
          <w:p w:rsidR="00163C07" w:rsidRPr="00163C07" w:rsidRDefault="00163C07" w:rsidP="00744E1A">
            <w:pPr>
              <w:pStyle w:val="Heading1"/>
              <w:jc w:val="center"/>
            </w:pPr>
            <w:r w:rsidRPr="00163C07">
              <w:t>Non-OTMESC</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Greater Shepparton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11.1%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5.2%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55.3%</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76.8%</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Benalla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6.3%</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5.1%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66.9%</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73.9%</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Campaspe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3.2%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68.9%</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75.3%</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Moira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7.8%</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59.6%</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74.2%</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Strathbogie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8.2%</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4.2%</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69.7%</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74.4%</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Wangaratta LGA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6.1%</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4.8%</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73.8%</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78.1%</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 xml:space="preserve">Shepparton Region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8.9%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59.8%</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bCs/>
                <w:sz w:val="26"/>
                <w:szCs w:val="26"/>
              </w:rPr>
              <w:t>76.0%</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Victoria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7.9%</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4.9%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68.4%</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77.9%</w:t>
            </w:r>
          </w:p>
        </w:tc>
      </w:tr>
      <w:tr w:rsidR="00C33FD8" w:rsidRPr="00BE1BC0" w:rsidTr="00F167D9">
        <w:trPr>
          <w:trHeight w:val="345"/>
          <w:tblHeader/>
        </w:trPr>
        <w:tc>
          <w:tcPr>
            <w:tcW w:w="20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Australia</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5.3%</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69.2%</w:t>
            </w:r>
          </w:p>
        </w:tc>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rsidR="00D03A11" w:rsidRPr="00C33FD8" w:rsidRDefault="00BE1BC0" w:rsidP="00BE1BC0">
            <w:pPr>
              <w:spacing w:line="360" w:lineRule="auto"/>
              <w:jc w:val="center"/>
              <w:rPr>
                <w:rFonts w:asciiTheme="minorHAnsi" w:hAnsiTheme="minorHAnsi" w:cstheme="minorHAnsi"/>
                <w:sz w:val="26"/>
                <w:szCs w:val="26"/>
              </w:rPr>
            </w:pPr>
            <w:r w:rsidRPr="00C33FD8">
              <w:rPr>
                <w:rFonts w:asciiTheme="minorHAnsi" w:hAnsiTheme="minorHAnsi" w:cstheme="minorHAnsi"/>
                <w:sz w:val="26"/>
                <w:szCs w:val="26"/>
              </w:rPr>
              <w:t>77.5%</w:t>
            </w:r>
          </w:p>
        </w:tc>
      </w:tr>
    </w:tbl>
    <w:p w:rsidR="00F27513" w:rsidRPr="004119E4" w:rsidRDefault="00F27513" w:rsidP="004F6FB3">
      <w:pPr>
        <w:pStyle w:val="Heading3"/>
        <w:rPr>
          <w:lang w:eastAsia="en-AU"/>
        </w:rPr>
      </w:pPr>
      <w:r w:rsidRPr="004119E4">
        <w:rPr>
          <w:lang w:eastAsia="en-AU"/>
        </w:rPr>
        <w:t>OTMESC Labour Market Outcomes</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table compares the labour market outcomes for those people born in </w:t>
      </w:r>
      <w:proofErr w:type="gramStart"/>
      <w:r>
        <w:rPr>
          <w:rFonts w:ascii="Calibri" w:hAnsi="Calibri" w:cs="Calibri"/>
          <w:color w:val="000000"/>
          <w:kern w:val="24"/>
          <w:sz w:val="24"/>
          <w:szCs w:val="24"/>
          <w:lang w:eastAsia="en-AU"/>
        </w:rPr>
        <w:t>an other</w:t>
      </w:r>
      <w:proofErr w:type="gramEnd"/>
      <w:r>
        <w:rPr>
          <w:rFonts w:ascii="Calibri" w:hAnsi="Calibri" w:cs="Calibri"/>
          <w:color w:val="000000"/>
          <w:kern w:val="24"/>
          <w:sz w:val="24"/>
          <w:szCs w:val="24"/>
          <w:lang w:eastAsia="en-AU"/>
        </w:rPr>
        <w:t xml:space="preserve"> than main English speaking country (OTMESC) with those born in a main English speaking country (MESC) in the Shepparton Region. MESC countries are Australia, Canada, Ireland, New Zealand, South Africa, United Kingdom and the United States of America.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the Shepparton Region had a lower proportion (6 per cent) of working age people born in OTMESC countries than both Victoria (23 per cent) and Australia (19 per cent). The Greater Shepparton LGA had a slightly higher proportion (11 per cent) of its working age population born in an OTMESC country.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People born in OTMESC countries have a higher unemployment rate and lower participation rate when compared with those born in MESC countries. </w:t>
      </w:r>
      <w:r>
        <w:rPr>
          <w:rFonts w:ascii="Calibri" w:hAnsi="Calibri" w:cs="Calibri"/>
          <w:color w:val="000000"/>
          <w:kern w:val="24"/>
          <w:sz w:val="24"/>
          <w:szCs w:val="24"/>
          <w:lang w:eastAsia="en-AU"/>
        </w:rPr>
        <w:br/>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lastRenderedPageBreak/>
        <w:t xml:space="preserve">In the Greater Shepparton LGA the unemployment rate for the OTMESC working age population was particularly high (11.1 per cent) when compared to the state and national figures (7.9 per cent and 7.7 per cent respectively).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br/>
        <w:t>The participation rate for the OTMESC working age population in the Greater Shepparton LGA (55.3 per cent) was also well below that for Victoria (68.4 per cent) and Australia (69.2 per cent).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21</w:t>
      </w:r>
    </w:p>
    <w:p w:rsidR="00F27513" w:rsidRPr="00C056B9" w:rsidRDefault="00C056B9" w:rsidP="00C056B9">
      <w:pPr>
        <w:pStyle w:val="Heading2"/>
        <w:jc w:val="center"/>
        <w:rPr>
          <w:lang w:eastAsia="en-AU"/>
        </w:rPr>
      </w:pPr>
      <w:r w:rsidRPr="004119E4">
        <w:rPr>
          <w:lang w:eastAsia="en-AU"/>
        </w:rPr>
        <w:t>Higher unemployment for OTMESC migrants (Shepparton Region)</w:t>
      </w:r>
    </w:p>
    <w:p w:rsidR="00F27513" w:rsidRDefault="00163C07" w:rsidP="00F27513">
      <w:pPr>
        <w:spacing w:line="360" w:lineRule="auto"/>
        <w:jc w:val="center"/>
      </w:pPr>
      <w:r>
        <w:rPr>
          <w:noProof/>
          <w:lang w:eastAsia="en-AU"/>
        </w:rPr>
        <w:drawing>
          <wp:inline distT="0" distB="0" distL="0" distR="0">
            <wp:extent cx="5939790" cy="4455160"/>
            <wp:effectExtent l="19050" t="19050" r="22860" b="21590"/>
            <wp:docPr id="12" name="Picture 12" descr="Graph that shows the unemployment rate for recent OTMESC migrants by year of arriv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Higher unemployment for OTMESC migrants (Shepparton Region)</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Recent OTMESC migrants to Australia living in the Shepparton Region have a higher unemployment rate than those who have been in Australia for longer. At the time of the 2011 Census, the unemployment rate for migrants who had arrived in 2010 and 2011 was 19.5 per cent. By contrast, the unemployment rate for migrants who arrived prior to 2000 was only 4.5 per cent. </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C056B9" w:rsidRDefault="00F27513" w:rsidP="00C056B9">
      <w:pPr>
        <w:pStyle w:val="Heading1"/>
      </w:pPr>
      <w:r>
        <w:lastRenderedPageBreak/>
        <w:t>Slide 22</w:t>
      </w:r>
    </w:p>
    <w:p w:rsidR="00F27513" w:rsidRDefault="00C056B9" w:rsidP="00C056B9">
      <w:pPr>
        <w:pStyle w:val="Heading2"/>
        <w:jc w:val="center"/>
        <w:rPr>
          <w:lang w:eastAsia="en-AU"/>
        </w:rPr>
      </w:pPr>
      <w:r w:rsidRPr="004119E4">
        <w:rPr>
          <w:lang w:eastAsia="en-AU"/>
        </w:rPr>
        <w:t>Migrant underutilisation for people with a Bachelor Degree or higher in the Shepparton Region</w:t>
      </w:r>
    </w:p>
    <w:p w:rsidR="00F27513" w:rsidRDefault="00495346" w:rsidP="00F27513">
      <w:pPr>
        <w:spacing w:line="360" w:lineRule="auto"/>
        <w:jc w:val="center"/>
      </w:pPr>
      <w:r>
        <w:rPr>
          <w:noProof/>
          <w:lang w:eastAsia="en-AU"/>
        </w:rPr>
        <w:drawing>
          <wp:inline distT="0" distB="0" distL="0" distR="0">
            <wp:extent cx="5939790" cy="4455160"/>
            <wp:effectExtent l="19050" t="19050" r="22860" b="21590"/>
            <wp:docPr id="13" name="Picture 13" descr="Graph that shows the proportion of those people who live in the Shepparton region who identify as OTMESC or MESC and the proportion who are employed in a lower skilled occupation, unemployed or not in the labour force. See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 xml:space="preserve">Migrant </w:t>
      </w:r>
      <w:r w:rsidR="00DF57F6" w:rsidRPr="004119E4">
        <w:rPr>
          <w:lang w:eastAsia="en-AU"/>
        </w:rPr>
        <w:t>underutilisation for</w:t>
      </w:r>
      <w:r w:rsidRPr="004119E4">
        <w:rPr>
          <w:lang w:eastAsia="en-AU"/>
        </w:rPr>
        <w:t xml:space="preserve"> people with a Bachelor Degree or higher in the Shepparton Region</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r>
        <w:rPr>
          <w:rFonts w:ascii="Calibri" w:hAnsi="Calibri" w:cs="Calibri"/>
          <w:color w:val="000000"/>
          <w:kern w:val="24"/>
          <w:sz w:val="24"/>
          <w:szCs w:val="24"/>
          <w:lang w:eastAsia="en-AU"/>
        </w:rPr>
        <w:t xml:space="preserve">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This chart illustrates migrant underutilisation by comparing labour market participation of those with a Bachelor Degree or higher by whether they were a migrant from an Other Than Main English Speaking Country (OTMESC) or not.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Overall, 27 per cent of the OTMESC working age population in the Shepparton Region have obtained a Bachelor Degree or higher qualification, this compares with 14 per cent for the non-OTMESC population.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There was a lower level of labour market participation for highly qualified OTMESC migrants compared with the non-OTMESC migrants. For </w:t>
      </w:r>
      <w:proofErr w:type="gramStart"/>
      <w:r>
        <w:rPr>
          <w:rFonts w:ascii="Calibri" w:hAnsi="Calibri" w:cs="Calibri"/>
          <w:color w:val="000000"/>
          <w:kern w:val="24"/>
          <w:sz w:val="24"/>
          <w:szCs w:val="24"/>
          <w:lang w:eastAsia="en-AU"/>
        </w:rPr>
        <w:t>both males</w:t>
      </w:r>
      <w:proofErr w:type="gramEnd"/>
      <w:r>
        <w:rPr>
          <w:rFonts w:ascii="Calibri" w:hAnsi="Calibri" w:cs="Calibri"/>
          <w:color w:val="000000"/>
          <w:kern w:val="24"/>
          <w:sz w:val="24"/>
          <w:szCs w:val="24"/>
          <w:lang w:eastAsia="en-AU"/>
        </w:rPr>
        <w:t xml:space="preserve"> and females, a higher proportion of the OTMESC population with a Bachelor Degree or higher were either not in the labour force, unemployed or employed in a low skilled occupation.</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495346">
      <w:pPr>
        <w:autoSpaceDE w:val="0"/>
        <w:autoSpaceDN w:val="0"/>
        <w:adjustRightInd w:val="0"/>
      </w:pPr>
      <w:r>
        <w:rPr>
          <w:rFonts w:ascii="Calibri" w:hAnsi="Calibri" w:cs="Calibri"/>
          <w:i/>
          <w:iCs/>
          <w:color w:val="000000"/>
          <w:kern w:val="24"/>
          <w:sz w:val="24"/>
          <w:szCs w:val="24"/>
          <w:lang w:eastAsia="en-AU"/>
        </w:rPr>
        <w:t>*Lower Skilled Occupation</w:t>
      </w:r>
      <w:r>
        <w:rPr>
          <w:rFonts w:ascii="Calibri" w:hAnsi="Calibri" w:cs="Calibri"/>
          <w:color w:val="000000"/>
          <w:kern w:val="24"/>
          <w:sz w:val="24"/>
          <w:szCs w:val="24"/>
          <w:lang w:eastAsia="en-AU"/>
        </w:rPr>
        <w:t xml:space="preserve"> refers to those in the Machinery Operators and Drivers, Sales Workers and Labourers occupation groups.</w:t>
      </w:r>
      <w:r>
        <w:br w:type="page"/>
      </w:r>
    </w:p>
    <w:p w:rsidR="00F27513" w:rsidRDefault="00F27513" w:rsidP="007668AD">
      <w:pPr>
        <w:pStyle w:val="Heading1"/>
      </w:pPr>
      <w:r>
        <w:lastRenderedPageBreak/>
        <w:t>Slide 23</w:t>
      </w:r>
    </w:p>
    <w:p w:rsidR="00F27513" w:rsidRPr="00C056B9" w:rsidRDefault="00C056B9" w:rsidP="00C056B9">
      <w:pPr>
        <w:pStyle w:val="Heading2"/>
        <w:jc w:val="center"/>
        <w:rPr>
          <w:i/>
          <w:lang w:eastAsia="en-AU"/>
        </w:rPr>
      </w:pPr>
      <w:r w:rsidRPr="004119E4">
        <w:rPr>
          <w:lang w:eastAsia="en-AU"/>
        </w:rPr>
        <w:t>English Proficiency &amp; Labour Force Outcomes</w:t>
      </w:r>
    </w:p>
    <w:p w:rsidR="00F27513" w:rsidRDefault="00495346" w:rsidP="00F27513">
      <w:pPr>
        <w:spacing w:line="360" w:lineRule="auto"/>
        <w:jc w:val="center"/>
      </w:pPr>
      <w:r>
        <w:rPr>
          <w:noProof/>
          <w:lang w:eastAsia="en-AU"/>
        </w:rPr>
        <w:drawing>
          <wp:inline distT="0" distB="0" distL="0" distR="0">
            <wp:extent cx="5939790" cy="4455160"/>
            <wp:effectExtent l="19050" t="19050" r="22860" b="21590"/>
            <wp:docPr id="14" name="Picture 14" descr="Graph that shows the labour market outcomes for those people who live in the Shepparton region and their level of English Proficiency. Se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i/>
          <w:iCs/>
          <w:lang w:eastAsia="en-AU"/>
        </w:rPr>
      </w:pPr>
      <w:r w:rsidRPr="004119E4">
        <w:rPr>
          <w:lang w:eastAsia="en-AU"/>
        </w:rPr>
        <w:t>English Proficiency &amp; Labour Force Outcomes</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Census of Population and Housing, 2011</w:t>
      </w:r>
      <w:r>
        <w:rPr>
          <w:rFonts w:ascii="Calibri" w:hAnsi="Calibri" w:cs="Calibri"/>
          <w:color w:val="000000"/>
          <w:kern w:val="24"/>
          <w:sz w:val="24"/>
          <w:szCs w:val="24"/>
          <w:lang w:eastAsia="en-AU"/>
        </w:rPr>
        <w:t xml:space="preserve">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At the time of the 2011 Census, people in the Shepparton Region with lower levels of English proficiency were less likely to be successful in the labour market. People with low English proficiency are far more likely to be unemployed or not participating in the labour market.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In the Shepparton Region, the unemployment rate for working age people with poor English proficiency was 18.4 per cent and the participation rate was 35.7 per cent.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For working age people who only spoke English, the unemployment rate was lower (4.9 per cent) and participation rate higher (75.9 per cent). </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24</w:t>
      </w:r>
    </w:p>
    <w:p w:rsidR="00F27513" w:rsidRDefault="00C056B9" w:rsidP="00C056B9">
      <w:pPr>
        <w:pStyle w:val="Heading2"/>
        <w:jc w:val="center"/>
      </w:pPr>
      <w:r w:rsidRPr="00C056B9">
        <w:t>Employment by Industry</w:t>
      </w:r>
    </w:p>
    <w:p w:rsidR="00F27513" w:rsidRDefault="00495346" w:rsidP="00F27513">
      <w:pPr>
        <w:spacing w:line="360" w:lineRule="auto"/>
        <w:jc w:val="center"/>
      </w:pPr>
      <w:r>
        <w:rPr>
          <w:noProof/>
          <w:lang w:eastAsia="en-AU"/>
        </w:rPr>
        <w:drawing>
          <wp:inline distT="0" distB="0" distL="0" distR="0">
            <wp:extent cx="5939790" cy="4455160"/>
            <wp:effectExtent l="19050" t="19050" r="22860" b="21590"/>
            <wp:docPr id="15" name="Picture 15" descr="Graph that shows the proportion of employment in the Shepparton-Hume SA4 by Industry, compared with Victoria. See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Employment by Industry</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Labour Force Survey, February 2014, 4 quarter averages of original data</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The figures in the above chart are based on the combined Shepparton and Hume </w:t>
      </w:r>
      <w:proofErr w:type="spellStart"/>
      <w:r>
        <w:rPr>
          <w:rFonts w:ascii="Calibri" w:hAnsi="Calibri" w:cs="Calibri"/>
          <w:i/>
          <w:iCs/>
          <w:color w:val="000000"/>
          <w:kern w:val="24"/>
          <w:sz w:val="24"/>
          <w:szCs w:val="24"/>
          <w:lang w:eastAsia="en-AU"/>
        </w:rPr>
        <w:t>SA4s</w:t>
      </w:r>
      <w:proofErr w:type="spellEnd"/>
      <w:r>
        <w:rPr>
          <w:rFonts w:ascii="Calibri" w:hAnsi="Calibri" w:cs="Calibri"/>
          <w:i/>
          <w:iCs/>
          <w:color w:val="000000"/>
          <w:kern w:val="24"/>
          <w:sz w:val="24"/>
          <w:szCs w:val="24"/>
          <w:lang w:eastAsia="en-AU"/>
        </w:rPr>
        <w: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largest employing industries in the Shepparton Region are the Agriculture, Forestry and Fishing, Health Care and Social Assistance, Manufacturing and Retail Trade industries.</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25</w:t>
      </w:r>
    </w:p>
    <w:p w:rsidR="00F27513" w:rsidRPr="00C056B9" w:rsidRDefault="00C056B9" w:rsidP="00C056B9">
      <w:pPr>
        <w:pStyle w:val="Heading2"/>
        <w:jc w:val="center"/>
        <w:rPr>
          <w:lang w:eastAsia="en-AU"/>
        </w:rPr>
      </w:pPr>
      <w:r w:rsidRPr="004119E4">
        <w:rPr>
          <w:lang w:eastAsia="en-AU"/>
        </w:rPr>
        <w:t>Employment Growth for Largest industries</w:t>
      </w:r>
    </w:p>
    <w:p w:rsidR="00F27513" w:rsidRDefault="00495346" w:rsidP="00F27513">
      <w:pPr>
        <w:spacing w:line="360" w:lineRule="auto"/>
        <w:jc w:val="center"/>
      </w:pPr>
      <w:r>
        <w:rPr>
          <w:noProof/>
          <w:lang w:eastAsia="en-AU"/>
        </w:rPr>
        <w:drawing>
          <wp:inline distT="0" distB="0" distL="0" distR="0">
            <wp:extent cx="5939790" cy="4455160"/>
            <wp:effectExtent l="19050" t="19050" r="22860" b="21590"/>
            <wp:docPr id="16" name="Picture 16" descr="Graph that shows the employment growth for the largest industries in the Shepparton-Hume SA4. See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 xml:space="preserve">Employment </w:t>
      </w:r>
      <w:r w:rsidR="004119E4" w:rsidRPr="004119E4">
        <w:rPr>
          <w:lang w:eastAsia="en-AU"/>
        </w:rPr>
        <w:t>Growth for Largest industries</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ABS Labour Force Survey, February 2014, 4 quarter averages of original data</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The figures in the above chart are based on the combined Shepparton and Hume </w:t>
      </w:r>
      <w:proofErr w:type="spellStart"/>
      <w:r>
        <w:rPr>
          <w:rFonts w:ascii="Calibri" w:hAnsi="Calibri" w:cs="Calibri"/>
          <w:i/>
          <w:iCs/>
          <w:color w:val="000000"/>
          <w:kern w:val="24"/>
          <w:sz w:val="24"/>
          <w:szCs w:val="24"/>
          <w:lang w:eastAsia="en-AU"/>
        </w:rPr>
        <w:t>SA4s</w:t>
      </w:r>
      <w:proofErr w:type="spellEnd"/>
      <w:r>
        <w:rPr>
          <w:rFonts w:ascii="Calibri" w:hAnsi="Calibri" w:cs="Calibri"/>
          <w:i/>
          <w:iCs/>
          <w:color w:val="000000"/>
          <w:kern w:val="24"/>
          <w:sz w:val="24"/>
          <w:szCs w:val="24"/>
          <w:lang w:eastAsia="en-AU"/>
        </w:rPr>
        <w:t>.</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color w:val="000000"/>
          <w:kern w:val="24"/>
          <w:sz w:val="24"/>
          <w:szCs w:val="24"/>
          <w:lang w:eastAsia="en-AU"/>
        </w:rPr>
      </w:pPr>
      <w:r>
        <w:rPr>
          <w:rFonts w:ascii="Calibri" w:hAnsi="Calibri" w:cs="Calibri"/>
          <w:color w:val="000000"/>
          <w:kern w:val="24"/>
          <w:sz w:val="24"/>
          <w:szCs w:val="24"/>
          <w:lang w:eastAsia="en-AU"/>
        </w:rPr>
        <w:t>Employment in Health Care and Social Assistance, Construction and Education and Training have increased significantly over the past 5 years, while employment has decreased substantially in both Agriculture, Forestry and Fishing and Manufacturing.</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26</w:t>
      </w:r>
    </w:p>
    <w:p w:rsidR="00F27513" w:rsidRPr="00C056B9" w:rsidRDefault="00C056B9" w:rsidP="00C056B9">
      <w:pPr>
        <w:pStyle w:val="Heading2"/>
        <w:jc w:val="center"/>
        <w:rPr>
          <w:lang w:eastAsia="en-AU"/>
        </w:rPr>
      </w:pPr>
      <w:r w:rsidRPr="00DD5AEA">
        <w:rPr>
          <w:lang w:eastAsia="en-AU"/>
        </w:rPr>
        <w:t>Recruitment activity mixed</w:t>
      </w:r>
    </w:p>
    <w:tbl>
      <w:tblPr>
        <w:tblStyle w:val="TableGrid"/>
        <w:tblW w:w="0" w:type="auto"/>
        <w:tblLook w:val="04A0" w:firstRow="1" w:lastRow="0" w:firstColumn="1" w:lastColumn="0" w:noHBand="0" w:noVBand="1"/>
      </w:tblPr>
      <w:tblGrid>
        <w:gridCol w:w="9570"/>
      </w:tblGrid>
      <w:tr w:rsidR="00DF57F6" w:rsidTr="009A0A17">
        <w:trPr>
          <w:trHeight w:val="7019"/>
        </w:trPr>
        <w:tc>
          <w:tcPr>
            <w:tcW w:w="9570" w:type="dxa"/>
          </w:tcPr>
          <w:p w:rsidR="00DF57F6" w:rsidRPr="009A0A17" w:rsidRDefault="00DF57F6" w:rsidP="009A0A17">
            <w:pPr>
              <w:pStyle w:val="ListParagraph"/>
              <w:spacing w:before="240"/>
              <w:jc w:val="center"/>
              <w:textAlignment w:val="baseline"/>
              <w:rPr>
                <w:rFonts w:asciiTheme="minorHAnsi" w:hAnsiTheme="minorHAnsi" w:cstheme="minorHAnsi"/>
                <w:sz w:val="40"/>
              </w:rPr>
            </w:pPr>
            <w:r w:rsidRPr="009A0A17">
              <w:rPr>
                <w:rFonts w:asciiTheme="minorHAnsi" w:hAnsiTheme="minorHAnsi" w:cstheme="minorHAnsi"/>
                <w:sz w:val="40"/>
              </w:rPr>
              <w:t>Recruitment activity mixed</w:t>
            </w:r>
          </w:p>
          <w:p w:rsidR="00DF57F6" w:rsidRPr="009A0A17" w:rsidRDefault="00DF57F6" w:rsidP="00DF57F6">
            <w:pPr>
              <w:pStyle w:val="ListParagraph"/>
              <w:textAlignment w:val="baseline"/>
              <w:rPr>
                <w:rFonts w:asciiTheme="minorHAnsi" w:hAnsiTheme="minorHAnsi" w:cstheme="minorHAnsi"/>
                <w:sz w:val="40"/>
                <w:szCs w:val="24"/>
                <w:lang w:eastAsia="en-AU"/>
              </w:rPr>
            </w:pPr>
          </w:p>
          <w:p w:rsidR="00DF57F6" w:rsidRPr="009A0A17" w:rsidRDefault="00DF57F6" w:rsidP="009A0A17">
            <w:pPr>
              <w:pStyle w:val="ListParagraph"/>
              <w:numPr>
                <w:ilvl w:val="0"/>
                <w:numId w:val="8"/>
              </w:numPr>
              <w:tabs>
                <w:tab w:val="clear" w:pos="720"/>
              </w:tabs>
              <w:ind w:left="1134" w:hanging="414"/>
              <w:textAlignment w:val="baseline"/>
              <w:rPr>
                <w:rFonts w:asciiTheme="minorHAnsi" w:hAnsiTheme="minorHAnsi" w:cstheme="minorHAnsi"/>
                <w:sz w:val="36"/>
                <w:szCs w:val="24"/>
                <w:lang w:eastAsia="en-AU"/>
              </w:rPr>
            </w:pPr>
            <w:r w:rsidRPr="009A0A17">
              <w:rPr>
                <w:rFonts w:asciiTheme="minorHAnsi" w:hAnsiTheme="minorHAnsi" w:cstheme="minorHAnsi"/>
                <w:sz w:val="36"/>
                <w:szCs w:val="24"/>
                <w:lang w:eastAsia="en-AU"/>
              </w:rPr>
              <w:t>Generally, recruitment activity was stronger compared with the previous year</w:t>
            </w:r>
          </w:p>
          <w:p w:rsidR="00DF57F6" w:rsidRPr="009A0A17" w:rsidRDefault="00DF57F6" w:rsidP="00DF57F6">
            <w:pPr>
              <w:pStyle w:val="ListParagraph"/>
              <w:numPr>
                <w:ilvl w:val="0"/>
                <w:numId w:val="8"/>
              </w:numPr>
              <w:tabs>
                <w:tab w:val="clear" w:pos="720"/>
              </w:tabs>
              <w:ind w:left="1134" w:hanging="414"/>
              <w:textAlignment w:val="baseline"/>
              <w:rPr>
                <w:rFonts w:asciiTheme="minorHAnsi" w:hAnsiTheme="minorHAnsi" w:cstheme="minorHAnsi"/>
                <w:sz w:val="36"/>
                <w:szCs w:val="24"/>
                <w:lang w:eastAsia="en-AU"/>
              </w:rPr>
            </w:pPr>
            <w:r w:rsidRPr="009A0A17">
              <w:rPr>
                <w:rFonts w:asciiTheme="minorHAnsi" w:hAnsiTheme="minorHAnsi" w:cstheme="minorHAnsi"/>
                <w:sz w:val="36"/>
                <w:szCs w:val="24"/>
                <w:lang w:eastAsia="en-AU"/>
              </w:rPr>
              <w:t>The proportion of employers who had recruited (59 per cent) had increased since the region was last surveyed (53 per cent)</w:t>
            </w:r>
          </w:p>
          <w:p w:rsidR="00DF57F6" w:rsidRPr="009A0A17" w:rsidRDefault="00DF57F6" w:rsidP="00DF57F6">
            <w:pPr>
              <w:pStyle w:val="ListParagraph"/>
              <w:numPr>
                <w:ilvl w:val="0"/>
                <w:numId w:val="8"/>
              </w:numPr>
              <w:tabs>
                <w:tab w:val="clear" w:pos="720"/>
              </w:tabs>
              <w:ind w:firstLine="0"/>
              <w:textAlignment w:val="baseline"/>
              <w:rPr>
                <w:rFonts w:asciiTheme="minorHAnsi" w:hAnsiTheme="minorHAnsi" w:cstheme="minorHAnsi"/>
                <w:sz w:val="36"/>
                <w:szCs w:val="24"/>
                <w:lang w:eastAsia="en-AU"/>
              </w:rPr>
            </w:pPr>
            <w:r w:rsidRPr="009A0A17">
              <w:rPr>
                <w:rFonts w:asciiTheme="minorHAnsi" w:hAnsiTheme="minorHAnsi" w:cstheme="minorHAnsi"/>
                <w:sz w:val="36"/>
                <w:szCs w:val="24"/>
                <w:lang w:eastAsia="en-AU"/>
              </w:rPr>
              <w:t>15 per cent of employers increased staff numbers</w:t>
            </w:r>
          </w:p>
          <w:p w:rsidR="00DF57F6" w:rsidRPr="009A0A17" w:rsidRDefault="00DF57F6" w:rsidP="009A0A17">
            <w:pPr>
              <w:pStyle w:val="ListParagraph"/>
              <w:numPr>
                <w:ilvl w:val="0"/>
                <w:numId w:val="8"/>
              </w:numPr>
              <w:tabs>
                <w:tab w:val="clear" w:pos="720"/>
              </w:tabs>
              <w:ind w:left="1134" w:hanging="414"/>
              <w:textAlignment w:val="baseline"/>
              <w:rPr>
                <w:rFonts w:asciiTheme="minorHAnsi" w:hAnsiTheme="minorHAnsi" w:cstheme="minorHAnsi"/>
                <w:sz w:val="36"/>
                <w:szCs w:val="24"/>
                <w:lang w:eastAsia="en-AU"/>
              </w:rPr>
            </w:pPr>
            <w:r w:rsidRPr="009A0A17">
              <w:rPr>
                <w:rFonts w:asciiTheme="minorHAnsi" w:hAnsiTheme="minorHAnsi" w:cstheme="minorHAnsi"/>
                <w:sz w:val="36"/>
                <w:szCs w:val="24"/>
                <w:lang w:eastAsia="en-AU"/>
              </w:rPr>
              <w:t>Low proportion of unfilled vacancies and recruitment difficulty</w:t>
            </w:r>
          </w:p>
          <w:p w:rsidR="00DF57F6" w:rsidRPr="009A0A17" w:rsidRDefault="00DF57F6" w:rsidP="00DF57F6">
            <w:pPr>
              <w:pStyle w:val="ListParagraph"/>
              <w:numPr>
                <w:ilvl w:val="0"/>
                <w:numId w:val="8"/>
              </w:numPr>
              <w:tabs>
                <w:tab w:val="clear" w:pos="720"/>
              </w:tabs>
              <w:ind w:firstLine="0"/>
              <w:textAlignment w:val="baseline"/>
              <w:rPr>
                <w:rFonts w:asciiTheme="minorHAnsi" w:hAnsiTheme="minorHAnsi" w:cstheme="minorHAnsi"/>
                <w:sz w:val="36"/>
                <w:szCs w:val="24"/>
                <w:lang w:eastAsia="en-AU"/>
              </w:rPr>
            </w:pPr>
            <w:r w:rsidRPr="009A0A17">
              <w:rPr>
                <w:rFonts w:asciiTheme="minorHAnsi" w:hAnsiTheme="minorHAnsi" w:cstheme="minorHAnsi"/>
                <w:sz w:val="36"/>
                <w:szCs w:val="24"/>
                <w:lang w:eastAsia="en-AU"/>
              </w:rPr>
              <w:t>Very small labour supply</w:t>
            </w:r>
          </w:p>
          <w:p w:rsidR="00DF57F6" w:rsidRDefault="00DF57F6" w:rsidP="00F27513">
            <w:pPr>
              <w:spacing w:line="360" w:lineRule="auto"/>
              <w:jc w:val="center"/>
            </w:pPr>
          </w:p>
        </w:tc>
      </w:tr>
    </w:tbl>
    <w:p w:rsidR="00F27513" w:rsidRPr="00DD5AEA" w:rsidRDefault="00F27513" w:rsidP="004F6FB3">
      <w:pPr>
        <w:pStyle w:val="Heading3"/>
        <w:rPr>
          <w:lang w:eastAsia="en-AU"/>
        </w:rPr>
      </w:pPr>
      <w:r w:rsidRPr="00DD5AEA">
        <w:rPr>
          <w:lang w:eastAsia="en-AU"/>
        </w:rPr>
        <w:t>Recruitment activity mixed</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October 2013 and September 2012, </w:t>
      </w:r>
      <w:r>
        <w:rPr>
          <w:rFonts w:ascii="Calibri" w:hAnsi="Times New Roman" w:cs="Calibri"/>
          <w:i/>
          <w:iCs/>
          <w:color w:val="000000"/>
          <w:kern w:val="24"/>
          <w:sz w:val="24"/>
          <w:szCs w:val="24"/>
          <w:lang w:eastAsia="en-AU"/>
        </w:rPr>
        <w:t>North Eastern Victoria</w:t>
      </w:r>
      <w:r>
        <w:rPr>
          <w:rFonts w:ascii="Calibri" w:hAnsi="Calibri" w:cs="Calibri"/>
          <w:i/>
          <w:iCs/>
          <w:color w:val="000000"/>
          <w:kern w:val="24"/>
          <w:sz w:val="24"/>
          <w:szCs w:val="24"/>
          <w:lang w:eastAsia="en-AU"/>
        </w:rPr>
        <w:t xml:space="preserve"> Priority Employment Area and all regions surveyed in the 9 months to November 2013.</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435 employers were surveyed in the </w:t>
      </w:r>
      <w:r>
        <w:rPr>
          <w:rFonts w:ascii="Calibri" w:hAnsi="Times New Roman" w:cs="Calibri"/>
          <w:color w:val="000000"/>
          <w:kern w:val="24"/>
          <w:sz w:val="24"/>
          <w:szCs w:val="24"/>
          <w:lang w:eastAsia="en-AU"/>
        </w:rPr>
        <w:t xml:space="preserve">North Eastern Victoria </w:t>
      </w:r>
      <w:r>
        <w:rPr>
          <w:rFonts w:ascii="Calibri" w:hAnsi="Calibri" w:cs="Calibri"/>
          <w:color w:val="000000"/>
          <w:kern w:val="24"/>
          <w:sz w:val="24"/>
          <w:szCs w:val="24"/>
          <w:lang w:eastAsia="en-AU"/>
        </w:rPr>
        <w:t>PEA in October 2013, of which 270 were located in the Shepparton Region.</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proportion of employers who had recruited in the past 12 months (59 per cent) had increased in the 13 months since the area was last surveyed (53 per cent), and was slightly lower than across all regions surveyed in the 9 months to November 2013 (62 per cent).</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were a smaller number of vacancies per 100 staff in the Shepparton Region (14 vacancies per 100 staff) compared with the North Eastern Victoria PEA (15 vacancies per 100 staff) and all regions surveyed (17 vacancies per 100 staff).</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The rate of unfilled vacancies over the past 12 months for employers surveyed in the Shepparton </w:t>
      </w:r>
      <w:proofErr w:type="gramStart"/>
      <w:r>
        <w:rPr>
          <w:rFonts w:ascii="Calibri" w:hAnsi="Calibri" w:cs="Calibri"/>
          <w:color w:val="000000"/>
          <w:kern w:val="24"/>
          <w:sz w:val="24"/>
          <w:szCs w:val="24"/>
          <w:lang w:eastAsia="en-AU"/>
        </w:rPr>
        <w:t>Region  (</w:t>
      </w:r>
      <w:proofErr w:type="gramEnd"/>
      <w:r>
        <w:rPr>
          <w:rFonts w:ascii="Calibri" w:hAnsi="Calibri" w:cs="Calibri"/>
          <w:color w:val="000000"/>
          <w:kern w:val="24"/>
          <w:sz w:val="24"/>
          <w:szCs w:val="24"/>
          <w:lang w:eastAsia="en-AU"/>
        </w:rPr>
        <w:t xml:space="preserve">4.3 per cent) was slightly lower than in the previous survey (5.1 per cent).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7668AD">
      <w:pPr>
        <w:pStyle w:val="Heading1"/>
      </w:pPr>
      <w:r>
        <w:lastRenderedPageBreak/>
        <w:t>Slide 27</w:t>
      </w:r>
    </w:p>
    <w:p w:rsidR="00F27513" w:rsidRPr="00DA0AF9" w:rsidRDefault="00DA0AF9" w:rsidP="00DA0AF9">
      <w:pPr>
        <w:pStyle w:val="Heading2"/>
        <w:jc w:val="center"/>
        <w:rPr>
          <w:lang w:eastAsia="en-AU"/>
        </w:rPr>
      </w:pPr>
      <w:r w:rsidRPr="004119E4">
        <w:rPr>
          <w:lang w:eastAsia="en-AU"/>
        </w:rPr>
        <w:t>Small increase in demand for labour: Shepparton Region</w:t>
      </w:r>
    </w:p>
    <w:p w:rsidR="00F27513" w:rsidRDefault="00DD5AEA" w:rsidP="00F27513">
      <w:pPr>
        <w:spacing w:line="360" w:lineRule="auto"/>
        <w:jc w:val="center"/>
      </w:pPr>
      <w:r>
        <w:rPr>
          <w:noProof/>
          <w:lang w:eastAsia="en-AU"/>
        </w:rPr>
        <w:drawing>
          <wp:inline distT="0" distB="0" distL="0" distR="0">
            <wp:extent cx="5939790" cy="4455160"/>
            <wp:effectExtent l="19050" t="19050" r="22860" b="21590"/>
            <wp:docPr id="17" name="Picture 17" descr="Chart that shows a graph of the the proportion of employers who recruited in the Shepparton region from 2010 to 2013 along side a graph that shows the proportion of vacancies left unfilled in the region from 2010 to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Small increase in demand for labour: Shepparton Region</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September 2012, August 2011 and August 2010, North Eastern Victoria Priority Employment Area</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Graph 1: Proportion of employers who recruited in the past 12 months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Graph 2: Proportion of vacancies left unfilled in most recent recruitment round.</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was an increase in the proportion of employers who recruited in the past 12 months. In line with the increased recruitment activity in October 2013, the number of vacancies left unfilled had also increased.</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28</w:t>
      </w:r>
    </w:p>
    <w:p w:rsidR="00F27513" w:rsidRPr="00DA0AF9" w:rsidRDefault="00DA0AF9" w:rsidP="00DA0AF9">
      <w:pPr>
        <w:pStyle w:val="Heading2"/>
        <w:rPr>
          <w:lang w:eastAsia="en-AU"/>
        </w:rPr>
      </w:pPr>
      <w:r w:rsidRPr="004119E4">
        <w:rPr>
          <w:lang w:eastAsia="en-AU"/>
        </w:rPr>
        <w:t>Low competition for vacancies</w:t>
      </w:r>
    </w:p>
    <w:p w:rsidR="00F27513" w:rsidRDefault="00DD5AEA" w:rsidP="00F27513">
      <w:pPr>
        <w:spacing w:line="360" w:lineRule="auto"/>
        <w:jc w:val="center"/>
      </w:pPr>
      <w:r>
        <w:rPr>
          <w:noProof/>
          <w:lang w:eastAsia="en-AU"/>
        </w:rPr>
        <w:drawing>
          <wp:inline distT="0" distB="0" distL="0" distR="0">
            <wp:extent cx="5939790" cy="4455160"/>
            <wp:effectExtent l="19050" t="19050" r="22860" b="21590"/>
            <wp:docPr id="18" name="Picture 18" descr="Graph that shows the average number of applicants per vacancy along side the average number of suitable applicants per vacancy for the Shepparton Region. Se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Low competition for vacancies</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and September 2012, North Eastern Victoria Priority Employment Area and all regions surveyed in the 12 months to October 2013.</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There was, on average, less competition for vacancies in the Shepparton Region (3.6 applicants per vacancy) compared with the last time the area was surveyed (7.5 applicants per vacancy). However, the average number of suitable applicants per vacancy (1.2) had declined since the previous survey (2.2).</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highest level of competition was for Clerical and Administrative Workers vacancies, with an average of 5.4 applicants per vacancy.</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Employers recruiting for Labourers had little choice of applicants with an average of 2.5 applicants of which only 0.6 were considered suitable. </w:t>
      </w:r>
    </w:p>
    <w:p w:rsidR="00F27513" w:rsidRDefault="00F27513" w:rsidP="00F27513">
      <w:pPr>
        <w:autoSpaceDE w:val="0"/>
        <w:autoSpaceDN w:val="0"/>
        <w:adjustRightInd w:val="0"/>
        <w:rPr>
          <w:rFonts w:ascii="Calibri" w:hAnsi="Calibri" w:cs="Calibri"/>
          <w:i/>
          <w:iCs/>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sidP="007668AD">
      <w:pPr>
        <w:pStyle w:val="Heading1"/>
      </w:pPr>
      <w:r>
        <w:lastRenderedPageBreak/>
        <w:t>Slide 29</w:t>
      </w:r>
    </w:p>
    <w:p w:rsidR="00F27513" w:rsidRPr="00DA0AF9" w:rsidRDefault="00DA0AF9" w:rsidP="00DA0AF9">
      <w:pPr>
        <w:pStyle w:val="Heading2"/>
        <w:rPr>
          <w:lang w:eastAsia="en-AU"/>
        </w:rPr>
      </w:pPr>
      <w:r w:rsidRPr="004119E4">
        <w:rPr>
          <w:lang w:eastAsia="en-AU"/>
        </w:rPr>
        <w:t>The recruitment process – in the Shepparton Region</w:t>
      </w:r>
    </w:p>
    <w:p w:rsidR="00F27513" w:rsidRDefault="00DD5AEA" w:rsidP="00F27513">
      <w:pPr>
        <w:spacing w:line="360" w:lineRule="auto"/>
        <w:jc w:val="center"/>
      </w:pPr>
      <w:r>
        <w:rPr>
          <w:noProof/>
          <w:lang w:eastAsia="en-AU"/>
        </w:rPr>
        <w:drawing>
          <wp:inline distT="0" distB="0" distL="0" distR="0">
            <wp:extent cx="5939790" cy="4455160"/>
            <wp:effectExtent l="19050" t="19050" r="22860" b="21590"/>
            <wp:docPr id="19" name="Picture 19" descr="Chart that shows the recruitment process in the Shepparton Region with the average number of applicants per vacancy, average number of applicants interviewed and the average number of interviewed applicants who were suitable. See notes for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2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The recruitment process – in the Shepparton Region</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i/>
          <w:iCs/>
          <w:color w:val="000000"/>
          <w:kern w:val="24"/>
          <w:sz w:val="24"/>
          <w:szCs w:val="24"/>
          <w:lang w:eastAsia="en-AU"/>
        </w:rPr>
        <w:t xml:space="preserve">Source: Department of Employment, Survey of Employers’ Recruitment Experiences, October 2013, </w:t>
      </w:r>
      <w:r>
        <w:rPr>
          <w:rFonts w:ascii="Calibri" w:hAnsi="Times New Roman" w:cs="Calibri"/>
          <w:i/>
          <w:iCs/>
          <w:color w:val="000000"/>
          <w:kern w:val="24"/>
          <w:sz w:val="24"/>
          <w:szCs w:val="24"/>
          <w:lang w:eastAsia="en-AU"/>
        </w:rPr>
        <w:t xml:space="preserve">North Eastern </w:t>
      </w:r>
      <w:r>
        <w:rPr>
          <w:rFonts w:ascii="Calibri" w:hAnsi="Calibri" w:cs="Calibri"/>
          <w:i/>
          <w:iCs/>
          <w:color w:val="000000"/>
          <w:kern w:val="24"/>
          <w:sz w:val="24"/>
          <w:szCs w:val="24"/>
          <w:lang w:eastAsia="en-AU"/>
        </w:rPr>
        <w:t>Victoria Priority Employment Area</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On average employers in the Shepparton Region received 4 (3.6) applicants per vacancy.</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Of these applicants on average only 2 (1.9) were interviewed.</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Of these interviewed applicants only 1 (1.2) was suitable for the vacancy. </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The reasons applicants did not get an interview were:</w:t>
      </w:r>
    </w:p>
    <w:p w:rsidR="00F27513" w:rsidRDefault="00F27513" w:rsidP="00F27513">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Lack of relevant experience</w:t>
      </w:r>
    </w:p>
    <w:p w:rsidR="00F27513" w:rsidRDefault="00F27513" w:rsidP="00F27513">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Insufficient qualifications or training</w:t>
      </w:r>
    </w:p>
    <w:p w:rsidR="00F27513" w:rsidRDefault="00F27513" w:rsidP="00F27513">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Poorly written/presented application</w:t>
      </w:r>
    </w:p>
    <w:p w:rsidR="00F27513" w:rsidRDefault="00F27513" w:rsidP="00F27513">
      <w:pPr>
        <w:numPr>
          <w:ilvl w:val="0"/>
          <w:numId w:val="2"/>
        </w:numPr>
        <w:autoSpaceDE w:val="0"/>
        <w:autoSpaceDN w:val="0"/>
        <w:adjustRightInd w:val="0"/>
        <w:ind w:left="450" w:hanging="450"/>
        <w:rPr>
          <w:rFonts w:ascii="Calibri" w:hAnsi="Calibri" w:cs="Calibri"/>
          <w:color w:val="000000"/>
          <w:kern w:val="24"/>
          <w:sz w:val="24"/>
          <w:szCs w:val="24"/>
          <w:lang w:eastAsia="en-AU"/>
        </w:rPr>
      </w:pPr>
      <w:r>
        <w:rPr>
          <w:rFonts w:ascii="Calibri" w:hAnsi="Calibri" w:cs="Calibri"/>
          <w:color w:val="000000"/>
          <w:kern w:val="24"/>
          <w:sz w:val="24"/>
          <w:szCs w:val="24"/>
          <w:lang w:eastAsia="en-AU"/>
        </w:rPr>
        <w:t>Basic employability skills</w:t>
      </w:r>
    </w:p>
    <w:p w:rsidR="00F27513" w:rsidRDefault="00F27513" w:rsidP="00F27513">
      <w:pPr>
        <w:autoSpaceDE w:val="0"/>
        <w:autoSpaceDN w:val="0"/>
        <w:adjustRightInd w:val="0"/>
        <w:rPr>
          <w:rFonts w:cs="Arial"/>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p w:rsidR="00F27513" w:rsidRDefault="00F27513" w:rsidP="007668AD">
      <w:pPr>
        <w:pStyle w:val="Heading1"/>
      </w:pPr>
      <w:r>
        <w:lastRenderedPageBreak/>
        <w:t>Slide 30</w:t>
      </w:r>
    </w:p>
    <w:p w:rsidR="00F27513" w:rsidRPr="00DA0AF9" w:rsidRDefault="00DA0AF9" w:rsidP="00DA0AF9">
      <w:pPr>
        <w:pStyle w:val="Heading2"/>
        <w:jc w:val="center"/>
        <w:rPr>
          <w:lang w:eastAsia="en-AU"/>
        </w:rPr>
      </w:pPr>
      <w:r w:rsidRPr="004119E4">
        <w:rPr>
          <w:lang w:eastAsia="en-AU"/>
        </w:rPr>
        <w:t>Reasons applicants did not receive an interview</w:t>
      </w:r>
    </w:p>
    <w:tbl>
      <w:tblPr>
        <w:tblStyle w:val="TableGrid"/>
        <w:tblW w:w="0" w:type="auto"/>
        <w:tblLook w:val="04A0" w:firstRow="1" w:lastRow="0" w:firstColumn="1" w:lastColumn="0" w:noHBand="0" w:noVBand="1"/>
      </w:tblPr>
      <w:tblGrid>
        <w:gridCol w:w="9570"/>
      </w:tblGrid>
      <w:tr w:rsidR="001961DD" w:rsidTr="007D76ED">
        <w:trPr>
          <w:trHeight w:val="7019"/>
        </w:trPr>
        <w:tc>
          <w:tcPr>
            <w:tcW w:w="9570" w:type="dxa"/>
          </w:tcPr>
          <w:p w:rsidR="00DF57F6" w:rsidRPr="007D76ED" w:rsidRDefault="00DF57F6" w:rsidP="007D76ED">
            <w:pPr>
              <w:spacing w:before="240" w:line="360" w:lineRule="auto"/>
              <w:jc w:val="center"/>
              <w:rPr>
                <w:rFonts w:asciiTheme="minorHAnsi" w:hAnsiTheme="minorHAnsi" w:cstheme="minorHAnsi"/>
                <w:sz w:val="36"/>
              </w:rPr>
            </w:pPr>
            <w:r w:rsidRPr="007D76ED">
              <w:rPr>
                <w:rFonts w:asciiTheme="minorHAnsi" w:hAnsiTheme="minorHAnsi" w:cstheme="minorHAnsi"/>
                <w:sz w:val="36"/>
              </w:rPr>
              <w:t>Reasons applicants did not receive an interview</w:t>
            </w:r>
          </w:p>
          <w:p w:rsidR="00DF57F6" w:rsidRPr="007D76ED" w:rsidRDefault="00DF57F6" w:rsidP="00DF57F6">
            <w:pPr>
              <w:pStyle w:val="ListParagraph"/>
              <w:numPr>
                <w:ilvl w:val="0"/>
                <w:numId w:val="9"/>
              </w:numPr>
              <w:spacing w:line="360" w:lineRule="auto"/>
              <w:rPr>
                <w:rFonts w:asciiTheme="minorHAnsi" w:hAnsiTheme="minorHAnsi" w:cstheme="minorHAnsi"/>
                <w:sz w:val="36"/>
              </w:rPr>
            </w:pPr>
            <w:r w:rsidRPr="007D76ED">
              <w:rPr>
                <w:rFonts w:asciiTheme="minorHAnsi" w:hAnsiTheme="minorHAnsi" w:cstheme="minorHAnsi"/>
                <w:sz w:val="36"/>
              </w:rPr>
              <w:t>Just over half of all applicants received an interview</w:t>
            </w:r>
          </w:p>
          <w:p w:rsidR="00DF57F6" w:rsidRPr="007D76ED" w:rsidRDefault="00DF57F6" w:rsidP="00DF57F6">
            <w:pPr>
              <w:pStyle w:val="ListParagraph"/>
              <w:numPr>
                <w:ilvl w:val="0"/>
                <w:numId w:val="9"/>
              </w:numPr>
              <w:spacing w:line="360" w:lineRule="auto"/>
              <w:rPr>
                <w:rFonts w:asciiTheme="minorHAnsi" w:hAnsiTheme="minorHAnsi" w:cstheme="minorHAnsi"/>
                <w:sz w:val="36"/>
              </w:rPr>
            </w:pPr>
            <w:r w:rsidRPr="007D76ED">
              <w:rPr>
                <w:rFonts w:asciiTheme="minorHAnsi" w:hAnsiTheme="minorHAnsi" w:cstheme="minorHAnsi"/>
                <w:sz w:val="36"/>
              </w:rPr>
              <w:t>Reasons applicants did not get an interview include:</w:t>
            </w:r>
          </w:p>
          <w:p w:rsidR="00DF57F6" w:rsidRPr="007D76ED" w:rsidRDefault="00DF57F6" w:rsidP="00DF57F6">
            <w:pPr>
              <w:pStyle w:val="ListParagraph"/>
              <w:numPr>
                <w:ilvl w:val="0"/>
                <w:numId w:val="10"/>
              </w:numPr>
              <w:spacing w:line="360" w:lineRule="auto"/>
              <w:rPr>
                <w:rFonts w:asciiTheme="minorHAnsi" w:hAnsiTheme="minorHAnsi" w:cstheme="minorHAnsi"/>
                <w:sz w:val="36"/>
              </w:rPr>
            </w:pPr>
            <w:r w:rsidRPr="007D76ED">
              <w:rPr>
                <w:rFonts w:asciiTheme="minorHAnsi" w:hAnsiTheme="minorHAnsi" w:cstheme="minorHAnsi"/>
                <w:sz w:val="36"/>
              </w:rPr>
              <w:t>Insufficient experience to perform job duties (44%)</w:t>
            </w:r>
          </w:p>
          <w:p w:rsidR="00DF57F6" w:rsidRPr="007D76ED" w:rsidRDefault="00DF57F6" w:rsidP="00DF57F6">
            <w:pPr>
              <w:pStyle w:val="ListParagraph"/>
              <w:numPr>
                <w:ilvl w:val="0"/>
                <w:numId w:val="10"/>
              </w:numPr>
              <w:spacing w:line="360" w:lineRule="auto"/>
              <w:rPr>
                <w:rFonts w:asciiTheme="minorHAnsi" w:hAnsiTheme="minorHAnsi" w:cstheme="minorHAnsi"/>
                <w:sz w:val="36"/>
              </w:rPr>
            </w:pPr>
            <w:r w:rsidRPr="007D76ED">
              <w:rPr>
                <w:rFonts w:asciiTheme="minorHAnsi" w:hAnsiTheme="minorHAnsi" w:cstheme="minorHAnsi"/>
                <w:sz w:val="36"/>
              </w:rPr>
              <w:t>Insufficient qualifications or training (26%)</w:t>
            </w:r>
          </w:p>
          <w:p w:rsidR="001961DD" w:rsidRDefault="00DF57F6" w:rsidP="00DF57F6">
            <w:pPr>
              <w:pStyle w:val="ListParagraph"/>
              <w:numPr>
                <w:ilvl w:val="0"/>
                <w:numId w:val="10"/>
              </w:numPr>
              <w:spacing w:line="360" w:lineRule="auto"/>
            </w:pPr>
            <w:r w:rsidRPr="007D76ED">
              <w:rPr>
                <w:rFonts w:asciiTheme="minorHAnsi" w:hAnsiTheme="minorHAnsi" w:cstheme="minorHAnsi"/>
                <w:sz w:val="36"/>
              </w:rPr>
              <w:t>Application poorly written/presented or not good enough (23%)</w:t>
            </w:r>
          </w:p>
        </w:tc>
      </w:tr>
    </w:tbl>
    <w:p w:rsidR="00F27513" w:rsidRPr="004119E4" w:rsidRDefault="00F27513" w:rsidP="004F6FB3">
      <w:pPr>
        <w:pStyle w:val="Heading3"/>
        <w:rPr>
          <w:rFonts w:ascii="Calibri" w:hAnsi="Calibri" w:cs="Calibri"/>
          <w:color w:val="000000"/>
          <w:kern w:val="24"/>
          <w:szCs w:val="24"/>
          <w:lang w:eastAsia="en-AU"/>
        </w:rPr>
      </w:pPr>
      <w:r w:rsidRPr="004119E4">
        <w:rPr>
          <w:rFonts w:ascii="Calibri" w:hAnsi="Calibri" w:cs="Calibri"/>
          <w:color w:val="000000"/>
          <w:kern w:val="24"/>
          <w:szCs w:val="24"/>
          <w:lang w:eastAsia="en-AU"/>
        </w:rPr>
        <w:t>Reasons applicants did not receive an interview</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F27513" w:rsidRDefault="00F27513" w:rsidP="00F27513">
      <w:pPr>
        <w:autoSpaceDE w:val="0"/>
        <w:autoSpaceDN w:val="0"/>
        <w:adjustRightInd w:val="0"/>
        <w:rPr>
          <w:rFonts w:ascii="Calibri" w:hAnsi="Calibri" w:cs="Calibri"/>
          <w:b/>
          <w:bCs/>
          <w:color w:val="000000"/>
          <w:kern w:val="24"/>
          <w:sz w:val="24"/>
          <w:szCs w:val="24"/>
          <w:u w:val="single"/>
          <w:lang w:eastAsia="en-AU"/>
        </w:rPr>
      </w:pPr>
    </w:p>
    <w:p w:rsidR="00F27513" w:rsidRDefault="00F27513" w:rsidP="00F27513">
      <w:pPr>
        <w:autoSpaceDE w:val="0"/>
        <w:autoSpaceDN w:val="0"/>
        <w:adjustRightInd w:val="0"/>
        <w:rPr>
          <w:rFonts w:ascii="Calibri" w:hAnsi="Times New Roman" w:cs="Calibri"/>
          <w:sz w:val="24"/>
          <w:szCs w:val="24"/>
          <w:lang w:eastAsia="en-AU"/>
        </w:rPr>
      </w:pPr>
      <w:r>
        <w:rPr>
          <w:rFonts w:ascii="Calibri" w:hAnsi="Times New Roman" w:cs="Calibri"/>
          <w:sz w:val="24"/>
          <w:szCs w:val="24"/>
          <w:lang w:eastAsia="en-AU"/>
        </w:rPr>
        <w:t>Just over half of all applicants received an interview</w:t>
      </w:r>
    </w:p>
    <w:p w:rsidR="00F27513" w:rsidRDefault="00F27513" w:rsidP="00F27513">
      <w:pPr>
        <w:autoSpaceDE w:val="0"/>
        <w:autoSpaceDN w:val="0"/>
        <w:adjustRightInd w:val="0"/>
        <w:ind w:left="540" w:hanging="540"/>
        <w:rPr>
          <w:rFonts w:ascii="Calibri" w:hAnsi="Times New Roman" w:cs="Calibri"/>
          <w:sz w:val="24"/>
          <w:szCs w:val="24"/>
          <w:lang w:eastAsia="en-AU"/>
        </w:rPr>
      </w:pPr>
    </w:p>
    <w:p w:rsidR="00F27513" w:rsidRDefault="00F27513" w:rsidP="00F27513">
      <w:pPr>
        <w:autoSpaceDE w:val="0"/>
        <w:autoSpaceDN w:val="0"/>
        <w:adjustRightInd w:val="0"/>
        <w:rPr>
          <w:rFonts w:ascii="Calibri" w:hAnsi="Times New Roman" w:cs="Calibri"/>
          <w:sz w:val="24"/>
          <w:szCs w:val="24"/>
          <w:lang w:eastAsia="en-AU"/>
        </w:rPr>
      </w:pPr>
      <w:r>
        <w:rPr>
          <w:rFonts w:ascii="Calibri" w:hAnsi="Times New Roman" w:cs="Calibri"/>
          <w:sz w:val="24"/>
          <w:szCs w:val="24"/>
          <w:lang w:eastAsia="en-AU"/>
        </w:rPr>
        <w:t>Reasons applicants did not get an interview include:</w:t>
      </w:r>
    </w:p>
    <w:p w:rsidR="00F27513" w:rsidRDefault="00F27513" w:rsidP="00F27513">
      <w:pPr>
        <w:numPr>
          <w:ilvl w:val="0"/>
          <w:numId w:val="3"/>
        </w:numPr>
        <w:autoSpaceDE w:val="0"/>
        <w:autoSpaceDN w:val="0"/>
        <w:adjustRightInd w:val="0"/>
        <w:ind w:left="1170" w:hanging="450"/>
        <w:rPr>
          <w:rFonts w:ascii="Calibri" w:hAnsi="Times New Roman" w:cs="Calibri"/>
          <w:sz w:val="24"/>
          <w:szCs w:val="24"/>
          <w:lang w:eastAsia="en-AU"/>
        </w:rPr>
      </w:pPr>
      <w:r>
        <w:rPr>
          <w:rFonts w:ascii="Calibri" w:hAnsi="Times New Roman" w:cs="Calibri"/>
          <w:sz w:val="24"/>
          <w:szCs w:val="24"/>
          <w:lang w:eastAsia="en-AU"/>
        </w:rPr>
        <w:t>Insufficient experience to perform job duties (44%)</w:t>
      </w:r>
    </w:p>
    <w:p w:rsidR="00F27513" w:rsidRDefault="00F27513" w:rsidP="00F27513">
      <w:pPr>
        <w:numPr>
          <w:ilvl w:val="0"/>
          <w:numId w:val="3"/>
        </w:numPr>
        <w:autoSpaceDE w:val="0"/>
        <w:autoSpaceDN w:val="0"/>
        <w:adjustRightInd w:val="0"/>
        <w:ind w:left="1170" w:hanging="450"/>
        <w:rPr>
          <w:rFonts w:ascii="Calibri" w:hAnsi="Times New Roman" w:cs="Calibri"/>
          <w:sz w:val="24"/>
          <w:szCs w:val="24"/>
          <w:lang w:eastAsia="en-AU"/>
        </w:rPr>
      </w:pPr>
      <w:r>
        <w:rPr>
          <w:rFonts w:ascii="Calibri" w:hAnsi="Times New Roman" w:cs="Calibri"/>
          <w:sz w:val="24"/>
          <w:szCs w:val="24"/>
          <w:lang w:eastAsia="en-AU"/>
        </w:rPr>
        <w:t>Insufficient qualifications or training (26%)</w:t>
      </w:r>
    </w:p>
    <w:p w:rsidR="00F27513" w:rsidRDefault="00F27513" w:rsidP="00F27513">
      <w:pPr>
        <w:numPr>
          <w:ilvl w:val="0"/>
          <w:numId w:val="3"/>
        </w:numPr>
        <w:autoSpaceDE w:val="0"/>
        <w:autoSpaceDN w:val="0"/>
        <w:adjustRightInd w:val="0"/>
        <w:ind w:left="1170" w:hanging="450"/>
        <w:rPr>
          <w:rFonts w:ascii="Calibri" w:hAnsi="Times New Roman" w:cs="Calibri"/>
          <w:sz w:val="24"/>
          <w:szCs w:val="24"/>
          <w:lang w:eastAsia="en-AU"/>
        </w:rPr>
      </w:pPr>
      <w:r>
        <w:rPr>
          <w:rFonts w:ascii="Calibri" w:hAnsi="Times New Roman" w:cs="Calibri"/>
          <w:sz w:val="24"/>
          <w:szCs w:val="24"/>
          <w:lang w:eastAsia="en-AU"/>
        </w:rPr>
        <w:t>Application poorly written/presented or not good enough (23%)</w:t>
      </w:r>
    </w:p>
    <w:p w:rsidR="00F27513" w:rsidRDefault="00F27513" w:rsidP="00F27513">
      <w:pPr>
        <w:autoSpaceDE w:val="0"/>
        <w:autoSpaceDN w:val="0"/>
        <w:adjustRightInd w:val="0"/>
        <w:ind w:left="1170" w:hanging="450"/>
        <w:rPr>
          <w:rFonts w:ascii="Calibri" w:hAnsi="Times New Roman" w:cs="Calibri"/>
          <w:color w:val="000000"/>
          <w:sz w:val="24"/>
          <w:szCs w:val="24"/>
          <w:lang w:eastAsia="en-AU"/>
        </w:rPr>
      </w:pPr>
    </w:p>
    <w:p w:rsidR="00F27513" w:rsidRDefault="00F27513" w:rsidP="00F27513">
      <w:pPr>
        <w:autoSpaceDE w:val="0"/>
        <w:autoSpaceDN w:val="0"/>
        <w:adjustRightInd w:val="0"/>
        <w:rPr>
          <w:rFonts w:cs="Arial"/>
          <w:color w:val="000000"/>
          <w:kern w:val="24"/>
          <w:sz w:val="24"/>
          <w:szCs w:val="24"/>
          <w:lang w:eastAsia="en-AU"/>
        </w:rPr>
      </w:pPr>
    </w:p>
    <w:p w:rsidR="00F27513" w:rsidRDefault="00F27513" w:rsidP="00F27513">
      <w:pPr>
        <w:autoSpaceDE w:val="0"/>
        <w:autoSpaceDN w:val="0"/>
        <w:adjustRightInd w:val="0"/>
        <w:ind w:left="450" w:hanging="450"/>
        <w:rPr>
          <w:rFonts w:ascii="Calibri" w:hAnsi="Times New Roman" w:cs="Calibri"/>
          <w:color w:val="000000"/>
          <w:sz w:val="24"/>
          <w:szCs w:val="24"/>
          <w:lang w:eastAsia="en-AU"/>
        </w:rPr>
      </w:pPr>
    </w:p>
    <w:p w:rsidR="00F27513" w:rsidRDefault="00F27513" w:rsidP="00F27513">
      <w:pPr>
        <w:autoSpaceDE w:val="0"/>
        <w:autoSpaceDN w:val="0"/>
        <w:adjustRightInd w:val="0"/>
        <w:ind w:left="1170" w:hanging="450"/>
        <w:rPr>
          <w:rFonts w:ascii="Calibri" w:hAnsi="Times New Roman" w:cs="Calibri"/>
          <w:color w:val="000000"/>
          <w:sz w:val="20"/>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31</w:t>
      </w:r>
    </w:p>
    <w:p w:rsidR="00F27513" w:rsidRPr="00DA0AF9" w:rsidRDefault="00DA0AF9" w:rsidP="00DA0AF9">
      <w:pPr>
        <w:pStyle w:val="Heading2"/>
        <w:jc w:val="center"/>
        <w:rPr>
          <w:lang w:eastAsia="en-AU"/>
        </w:rPr>
      </w:pPr>
      <w:r w:rsidRPr="004119E4">
        <w:rPr>
          <w:lang w:eastAsia="en-AU"/>
        </w:rPr>
        <w:t>Many vacancies not advertised formally</w:t>
      </w:r>
    </w:p>
    <w:p w:rsidR="00F27513" w:rsidRDefault="001961DD" w:rsidP="00F27513">
      <w:pPr>
        <w:spacing w:line="360" w:lineRule="auto"/>
        <w:jc w:val="center"/>
      </w:pPr>
      <w:r>
        <w:rPr>
          <w:noProof/>
          <w:lang w:eastAsia="en-AU"/>
        </w:rPr>
        <w:drawing>
          <wp:inline distT="0" distB="0" distL="0" distR="0">
            <wp:extent cx="5939790" cy="4455160"/>
            <wp:effectExtent l="19050" t="19050" r="22860" b="21590"/>
            <wp:docPr id="22" name="Picture 22" descr="Chart that shows the proportion of total vacancies who used a formal method, informal method only and were approached directly by jobseekers only. See No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Pr="004119E4" w:rsidRDefault="00F27513" w:rsidP="004F6FB3">
      <w:pPr>
        <w:pStyle w:val="Heading3"/>
        <w:rPr>
          <w:lang w:eastAsia="en-AU"/>
        </w:rPr>
      </w:pPr>
      <w:r w:rsidRPr="004119E4">
        <w:rPr>
          <w:lang w:eastAsia="en-AU"/>
        </w:rPr>
        <w:t>Many vacancies not advertised formally</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F27513" w:rsidRDefault="00F27513" w:rsidP="00F27513">
      <w:pPr>
        <w:autoSpaceDE w:val="0"/>
        <w:autoSpaceDN w:val="0"/>
        <w:adjustRightInd w:val="0"/>
        <w:rPr>
          <w:rFonts w:ascii="Calibri" w:hAnsi="Calibri" w:cs="Calibri"/>
          <w:b/>
          <w:bCs/>
          <w:color w:val="000000"/>
          <w:kern w:val="24"/>
          <w:sz w:val="24"/>
          <w:szCs w:val="24"/>
          <w:u w:val="single"/>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54 per cent of vacancies in the Shepparton Region were recruited for throug</w:t>
      </w:r>
      <w:bookmarkStart w:id="0" w:name="_GoBack"/>
      <w:bookmarkEnd w:id="0"/>
      <w:r>
        <w:rPr>
          <w:rFonts w:ascii="Calibri" w:hAnsi="Calibri" w:cs="Calibri"/>
          <w:color w:val="000000"/>
          <w:kern w:val="24"/>
          <w:sz w:val="24"/>
          <w:szCs w:val="24"/>
          <w:lang w:eastAsia="en-AU"/>
        </w:rPr>
        <w:t>h formal methods of recruitment (such as the Internet or Newspapers) receiving an average of 6.0 applicants per vacancy.</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By contrast, 46 per cent of vacancies were recruited for through informal methods only (such as word of mouth or approached by a job seeker), receiving an average of just 1.6 applicants per vacancy.</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Employers for some 12 per cent of vacancies relied solely on being approached by job seekers. For those vacancies there was an average of 2.1 applicants per vacancy.</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p w:rsidR="00F27513" w:rsidRDefault="00F27513" w:rsidP="007668AD">
      <w:pPr>
        <w:pStyle w:val="Heading1"/>
      </w:pPr>
      <w:r>
        <w:lastRenderedPageBreak/>
        <w:t>Slide 32</w:t>
      </w:r>
    </w:p>
    <w:p w:rsidR="00DA0AF9" w:rsidRPr="00DA0AF9" w:rsidRDefault="00DA0AF9" w:rsidP="00DA0AF9">
      <w:pPr>
        <w:pStyle w:val="Heading2"/>
        <w:jc w:val="center"/>
      </w:pPr>
      <w:r w:rsidRPr="00DA0AF9">
        <w:t>Applicants from non-English speaking backgrounds face significant barriers</w:t>
      </w:r>
    </w:p>
    <w:tbl>
      <w:tblPr>
        <w:tblStyle w:val="TableGrid"/>
        <w:tblW w:w="0" w:type="auto"/>
        <w:tblLook w:val="04A0" w:firstRow="1" w:lastRow="0" w:firstColumn="1" w:lastColumn="0" w:noHBand="0" w:noVBand="1"/>
      </w:tblPr>
      <w:tblGrid>
        <w:gridCol w:w="9570"/>
      </w:tblGrid>
      <w:tr w:rsidR="00655694" w:rsidTr="007D76ED">
        <w:trPr>
          <w:trHeight w:val="7019"/>
        </w:trPr>
        <w:tc>
          <w:tcPr>
            <w:tcW w:w="9570" w:type="dxa"/>
          </w:tcPr>
          <w:p w:rsidR="00655694" w:rsidRPr="00FC7F98" w:rsidRDefault="00655694" w:rsidP="00FC7F98">
            <w:pPr>
              <w:spacing w:before="240" w:line="360" w:lineRule="auto"/>
              <w:jc w:val="center"/>
              <w:rPr>
                <w:rFonts w:asciiTheme="minorHAnsi" w:hAnsiTheme="minorHAnsi" w:cstheme="minorHAnsi"/>
                <w:sz w:val="36"/>
              </w:rPr>
            </w:pPr>
            <w:r w:rsidRPr="00FC7F98">
              <w:rPr>
                <w:rFonts w:asciiTheme="minorHAnsi" w:hAnsiTheme="minorHAnsi" w:cstheme="minorHAnsi"/>
                <w:sz w:val="36"/>
              </w:rPr>
              <w:t>Applicants from non-En</w:t>
            </w:r>
            <w:r w:rsidR="00DA0AF9">
              <w:rPr>
                <w:rFonts w:asciiTheme="minorHAnsi" w:hAnsiTheme="minorHAnsi" w:cstheme="minorHAnsi"/>
                <w:sz w:val="36"/>
              </w:rPr>
              <w:t xml:space="preserve">glish speaking backgrounds face </w:t>
            </w:r>
            <w:r w:rsidRPr="00FC7F98">
              <w:rPr>
                <w:rFonts w:asciiTheme="minorHAnsi" w:hAnsiTheme="minorHAnsi" w:cstheme="minorHAnsi"/>
                <w:sz w:val="36"/>
              </w:rPr>
              <w:t>significant barriers</w:t>
            </w:r>
          </w:p>
          <w:p w:rsidR="00F80A07" w:rsidRPr="00FC7F98" w:rsidRDefault="00F80A07" w:rsidP="00F27513">
            <w:pPr>
              <w:spacing w:line="360" w:lineRule="auto"/>
              <w:jc w:val="center"/>
              <w:rPr>
                <w:rFonts w:asciiTheme="minorHAnsi" w:hAnsiTheme="minorHAnsi" w:cstheme="minorHAnsi"/>
                <w:sz w:val="36"/>
              </w:rPr>
            </w:pPr>
          </w:p>
          <w:p w:rsidR="00655694" w:rsidRPr="00FC7F98" w:rsidRDefault="00655694" w:rsidP="00F80A07">
            <w:pPr>
              <w:pStyle w:val="ListParagraph"/>
              <w:numPr>
                <w:ilvl w:val="0"/>
                <w:numId w:val="12"/>
              </w:numPr>
              <w:spacing w:line="360" w:lineRule="auto"/>
              <w:rPr>
                <w:rFonts w:asciiTheme="minorHAnsi" w:hAnsiTheme="minorHAnsi" w:cstheme="minorHAnsi"/>
                <w:sz w:val="36"/>
              </w:rPr>
            </w:pPr>
            <w:r w:rsidRPr="00FC7F98">
              <w:rPr>
                <w:rFonts w:asciiTheme="minorHAnsi" w:hAnsiTheme="minorHAnsi" w:cstheme="minorHAnsi"/>
                <w:sz w:val="36"/>
              </w:rPr>
              <w:t>Almost one third of recruiting employers had at least one applicant from a non-English speaking background</w:t>
            </w:r>
          </w:p>
          <w:p w:rsidR="00655694" w:rsidRPr="00FC7F98" w:rsidRDefault="00655694" w:rsidP="00F80A07">
            <w:pPr>
              <w:pStyle w:val="ListParagraph"/>
              <w:numPr>
                <w:ilvl w:val="0"/>
                <w:numId w:val="12"/>
              </w:numPr>
              <w:spacing w:line="360" w:lineRule="auto"/>
              <w:rPr>
                <w:rFonts w:asciiTheme="minorHAnsi" w:hAnsiTheme="minorHAnsi" w:cstheme="minorHAnsi"/>
                <w:sz w:val="36"/>
              </w:rPr>
            </w:pPr>
            <w:r w:rsidRPr="00FC7F98">
              <w:rPr>
                <w:rFonts w:asciiTheme="minorHAnsi" w:hAnsiTheme="minorHAnsi" w:cstheme="minorHAnsi"/>
                <w:sz w:val="36"/>
              </w:rPr>
              <w:t>Almost half (47 per cent) of these reported lack of English language skills were a barrier to employment</w:t>
            </w:r>
          </w:p>
          <w:p w:rsidR="00655694" w:rsidRDefault="00655694" w:rsidP="00F80A07">
            <w:pPr>
              <w:pStyle w:val="ListParagraph"/>
              <w:numPr>
                <w:ilvl w:val="0"/>
                <w:numId w:val="13"/>
              </w:numPr>
              <w:spacing w:line="360" w:lineRule="auto"/>
            </w:pPr>
            <w:r w:rsidRPr="00FC7F98">
              <w:rPr>
                <w:rFonts w:asciiTheme="minorHAnsi" w:hAnsiTheme="minorHAnsi" w:cstheme="minorHAnsi"/>
                <w:sz w:val="36"/>
              </w:rPr>
              <w:t>All of these employers specified a lack of spoken English skills as an obstacle</w:t>
            </w:r>
          </w:p>
        </w:tc>
      </w:tr>
    </w:tbl>
    <w:p w:rsidR="00F27513" w:rsidRPr="004119E4" w:rsidRDefault="00F27513" w:rsidP="004F6FB3">
      <w:pPr>
        <w:pStyle w:val="Heading3"/>
        <w:rPr>
          <w:lang w:eastAsia="en-AU"/>
        </w:rPr>
      </w:pPr>
      <w:r w:rsidRPr="004119E4">
        <w:rPr>
          <w:lang w:eastAsia="en-AU"/>
        </w:rPr>
        <w:t>Applicants from non-English speaking backgrounds face significant barriers</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F27513" w:rsidRDefault="00F27513" w:rsidP="00F27513">
      <w:pPr>
        <w:autoSpaceDE w:val="0"/>
        <w:autoSpaceDN w:val="0"/>
        <w:adjustRightInd w:val="0"/>
        <w:rPr>
          <w:rFonts w:ascii="Calibri" w:hAnsi="Calibri" w:cs="Calibri"/>
          <w:b/>
          <w:bCs/>
          <w:color w:val="000000"/>
          <w:kern w:val="24"/>
          <w:sz w:val="24"/>
          <w:szCs w:val="24"/>
          <w:u w:val="single"/>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Almost one third (32 per cent) of employers had at least one applicant from a non-English speaking background.</w:t>
      </w:r>
    </w:p>
    <w:p w:rsidR="00F27513" w:rsidRDefault="00F27513" w:rsidP="00F27513">
      <w:pPr>
        <w:autoSpaceDE w:val="0"/>
        <w:autoSpaceDN w:val="0"/>
        <w:adjustRightInd w:val="0"/>
        <w:rPr>
          <w:rFonts w:ascii="Calibri" w:hAnsi="Times New Roman" w:cs="Calibri"/>
          <w:color w:val="000000"/>
          <w:sz w:val="24"/>
          <w:szCs w:val="24"/>
          <w:lang w:eastAsia="en-AU"/>
        </w:rPr>
      </w:pPr>
    </w:p>
    <w:p w:rsidR="00F27513" w:rsidRDefault="00F27513" w:rsidP="00F27513">
      <w:pPr>
        <w:autoSpaceDE w:val="0"/>
        <w:autoSpaceDN w:val="0"/>
        <w:adjustRightInd w:val="0"/>
        <w:rPr>
          <w:rFonts w:ascii="Calibri" w:hAnsi="Times New Roman" w:cs="Calibri"/>
          <w:color w:val="000000"/>
          <w:sz w:val="24"/>
          <w:szCs w:val="24"/>
          <w:lang w:eastAsia="en-AU"/>
        </w:rPr>
      </w:pPr>
      <w:r>
        <w:rPr>
          <w:rFonts w:ascii="Calibri" w:hAnsi="Times New Roman" w:cs="Calibri"/>
          <w:color w:val="000000"/>
          <w:sz w:val="24"/>
          <w:szCs w:val="24"/>
          <w:lang w:eastAsia="en-AU"/>
        </w:rPr>
        <w:t>Of these, almost half (47 per cent) reported lack of English language skills was a barrier to employment, with all of these employers specifying spoken English skills (or lack thereof) as an obstacle.</w:t>
      </w:r>
    </w:p>
    <w:p w:rsidR="00F27513" w:rsidRDefault="00F27513" w:rsidP="00F27513">
      <w:pPr>
        <w:autoSpaceDE w:val="0"/>
        <w:autoSpaceDN w:val="0"/>
        <w:adjustRightInd w:val="0"/>
        <w:rPr>
          <w:rFonts w:cs="Arial"/>
          <w:color w:val="000000"/>
          <w:kern w:val="24"/>
          <w:sz w:val="24"/>
          <w:szCs w:val="24"/>
          <w:lang w:eastAsia="en-AU"/>
        </w:rPr>
      </w:pPr>
    </w:p>
    <w:p w:rsidR="00F27513" w:rsidRDefault="00F27513" w:rsidP="00F27513">
      <w:pPr>
        <w:autoSpaceDE w:val="0"/>
        <w:autoSpaceDN w:val="0"/>
        <w:adjustRightInd w:val="0"/>
        <w:ind w:left="450" w:hanging="450"/>
        <w:rPr>
          <w:rFonts w:ascii="Calibri" w:hAnsi="Times New Roman" w:cs="Calibri"/>
          <w:color w:val="000000"/>
          <w:sz w:val="24"/>
          <w:szCs w:val="24"/>
          <w:lang w:eastAsia="en-AU"/>
        </w:rPr>
      </w:pPr>
    </w:p>
    <w:p w:rsidR="00F27513" w:rsidRDefault="00F27513" w:rsidP="00F27513">
      <w:pPr>
        <w:autoSpaceDE w:val="0"/>
        <w:autoSpaceDN w:val="0"/>
        <w:adjustRightInd w:val="0"/>
        <w:ind w:left="1170" w:hanging="450"/>
        <w:rPr>
          <w:rFonts w:ascii="Calibri" w:hAnsi="Times New Roman" w:cs="Calibri"/>
          <w:color w:val="000000"/>
          <w:sz w:val="20"/>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33</w:t>
      </w:r>
    </w:p>
    <w:p w:rsidR="00F27513" w:rsidRPr="00DA0AF9" w:rsidRDefault="00DA0AF9" w:rsidP="00DA0AF9">
      <w:pPr>
        <w:pStyle w:val="Heading2"/>
        <w:jc w:val="center"/>
      </w:pPr>
      <w:r w:rsidRPr="00FC7F98">
        <w:t>Recruitment Outlook</w:t>
      </w:r>
    </w:p>
    <w:tbl>
      <w:tblPr>
        <w:tblStyle w:val="TableGrid"/>
        <w:tblW w:w="0" w:type="auto"/>
        <w:tblLook w:val="04A0" w:firstRow="1" w:lastRow="0" w:firstColumn="1" w:lastColumn="0" w:noHBand="0" w:noVBand="1"/>
      </w:tblPr>
      <w:tblGrid>
        <w:gridCol w:w="9570"/>
      </w:tblGrid>
      <w:tr w:rsidR="00F80A07" w:rsidTr="00FC7F98">
        <w:trPr>
          <w:trHeight w:val="7019"/>
        </w:trPr>
        <w:tc>
          <w:tcPr>
            <w:tcW w:w="9570" w:type="dxa"/>
          </w:tcPr>
          <w:p w:rsidR="00F80A07" w:rsidRPr="00FC7F98" w:rsidRDefault="00F80A07" w:rsidP="00FC7F98">
            <w:pPr>
              <w:spacing w:before="240" w:line="360" w:lineRule="auto"/>
              <w:jc w:val="center"/>
              <w:rPr>
                <w:rFonts w:asciiTheme="minorHAnsi" w:hAnsiTheme="minorHAnsi" w:cstheme="minorHAnsi"/>
                <w:sz w:val="36"/>
              </w:rPr>
            </w:pPr>
            <w:r w:rsidRPr="00FC7F98">
              <w:rPr>
                <w:rFonts w:asciiTheme="minorHAnsi" w:hAnsiTheme="minorHAnsi" w:cstheme="minorHAnsi"/>
                <w:sz w:val="36"/>
              </w:rPr>
              <w:t>Recruitment Outlook</w:t>
            </w:r>
          </w:p>
          <w:p w:rsidR="00F80A07" w:rsidRPr="00FC7F98" w:rsidRDefault="00F80A07" w:rsidP="00F80A07">
            <w:pPr>
              <w:pStyle w:val="ListParagraph"/>
              <w:numPr>
                <w:ilvl w:val="0"/>
                <w:numId w:val="11"/>
              </w:numPr>
              <w:spacing w:line="360" w:lineRule="auto"/>
              <w:rPr>
                <w:rFonts w:asciiTheme="minorHAnsi" w:hAnsiTheme="minorHAnsi" w:cstheme="minorHAnsi"/>
                <w:sz w:val="36"/>
              </w:rPr>
            </w:pPr>
            <w:r w:rsidRPr="00FC7F98">
              <w:rPr>
                <w:rFonts w:asciiTheme="minorHAnsi" w:hAnsiTheme="minorHAnsi" w:cstheme="minorHAnsi"/>
                <w:sz w:val="36"/>
              </w:rPr>
              <w:t>Employers outlook generally cautious</w:t>
            </w:r>
          </w:p>
          <w:p w:rsidR="00F80A07" w:rsidRPr="00FC7F98" w:rsidRDefault="00F80A07" w:rsidP="00F80A07">
            <w:pPr>
              <w:pStyle w:val="ListParagraph"/>
              <w:numPr>
                <w:ilvl w:val="0"/>
                <w:numId w:val="11"/>
              </w:numPr>
              <w:spacing w:line="360" w:lineRule="auto"/>
              <w:rPr>
                <w:rFonts w:asciiTheme="minorHAnsi" w:hAnsiTheme="minorHAnsi" w:cstheme="minorHAnsi"/>
                <w:sz w:val="36"/>
              </w:rPr>
            </w:pPr>
            <w:r w:rsidRPr="00FC7F98">
              <w:rPr>
                <w:rFonts w:asciiTheme="minorHAnsi" w:hAnsiTheme="minorHAnsi" w:cstheme="minorHAnsi"/>
                <w:sz w:val="36"/>
              </w:rPr>
              <w:t>Some 35 per cent of employers expected to recruit in the next 12 months with 17 per cent expecting to increase staff numbers</w:t>
            </w:r>
          </w:p>
          <w:p w:rsidR="00F80A07" w:rsidRDefault="00F80A07" w:rsidP="00F80A07">
            <w:pPr>
              <w:pStyle w:val="ListParagraph"/>
              <w:numPr>
                <w:ilvl w:val="0"/>
                <w:numId w:val="11"/>
              </w:numPr>
              <w:spacing w:line="360" w:lineRule="auto"/>
              <w:rPr>
                <w:rFonts w:asciiTheme="minorHAnsi" w:hAnsiTheme="minorHAnsi" w:cstheme="minorHAnsi"/>
                <w:sz w:val="36"/>
              </w:rPr>
            </w:pPr>
            <w:r w:rsidRPr="00FC7F98">
              <w:rPr>
                <w:rFonts w:asciiTheme="minorHAnsi" w:hAnsiTheme="minorHAnsi" w:cstheme="minorHAnsi"/>
                <w:sz w:val="36"/>
              </w:rPr>
              <w:t>Strong recruitment expected in the Retail Trade and Health Care and Social Assistance industries</w:t>
            </w:r>
            <w:r w:rsidR="00FC7F98">
              <w:rPr>
                <w:rFonts w:asciiTheme="minorHAnsi" w:hAnsiTheme="minorHAnsi" w:cstheme="minorHAnsi"/>
                <w:sz w:val="36"/>
              </w:rPr>
              <w:t>.</w:t>
            </w:r>
          </w:p>
          <w:p w:rsidR="00FC7F98" w:rsidRPr="00FC7F98" w:rsidRDefault="00FC7F98" w:rsidP="00F80A07">
            <w:pPr>
              <w:pStyle w:val="ListParagraph"/>
              <w:numPr>
                <w:ilvl w:val="0"/>
                <w:numId w:val="11"/>
              </w:numPr>
              <w:spacing w:line="360" w:lineRule="auto"/>
              <w:rPr>
                <w:rFonts w:asciiTheme="minorHAnsi" w:hAnsiTheme="minorHAnsi" w:cstheme="minorHAnsi"/>
                <w:sz w:val="36"/>
              </w:rPr>
            </w:pPr>
            <w:r w:rsidRPr="00FC7F98">
              <w:rPr>
                <w:rFonts w:asciiTheme="minorHAnsi" w:hAnsiTheme="minorHAnsi" w:cstheme="minorHAnsi"/>
                <w:sz w:val="36"/>
              </w:rPr>
              <w:t>Broad range of occupations expected to be available</w:t>
            </w:r>
          </w:p>
          <w:p w:rsidR="00F80A07" w:rsidRDefault="00F80A07" w:rsidP="00FC7F98">
            <w:pPr>
              <w:pStyle w:val="ListParagraph"/>
              <w:spacing w:line="360" w:lineRule="auto"/>
            </w:pPr>
          </w:p>
        </w:tc>
      </w:tr>
    </w:tbl>
    <w:p w:rsidR="00F27513" w:rsidRPr="004119E4" w:rsidRDefault="00F27513" w:rsidP="004F6FB3">
      <w:pPr>
        <w:pStyle w:val="Heading3"/>
        <w:rPr>
          <w:lang w:eastAsia="en-AU"/>
        </w:rPr>
      </w:pPr>
      <w:r w:rsidRPr="004119E4">
        <w:rPr>
          <w:lang w:eastAsia="en-AU"/>
        </w:rPr>
        <w:t>Recruitment Outlook</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35 per cent of employers expected to recruit in the next 12 months.</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Only 17 per cent of employers expected to increase staff numbers in the next 12 months.</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DA0AF9" w:rsidRDefault="00F27513" w:rsidP="00DA0AF9">
      <w:pPr>
        <w:pStyle w:val="Heading1"/>
      </w:pPr>
      <w:r>
        <w:lastRenderedPageBreak/>
        <w:t>Slide 34</w:t>
      </w:r>
    </w:p>
    <w:p w:rsidR="00DA0AF9" w:rsidRPr="00DA0AF9" w:rsidRDefault="00DA0AF9" w:rsidP="00DA0AF9">
      <w:pPr>
        <w:pStyle w:val="Heading2"/>
        <w:jc w:val="center"/>
        <w:rPr>
          <w:lang w:eastAsia="en-AU"/>
        </w:rPr>
      </w:pPr>
      <w:r w:rsidRPr="004119E4">
        <w:rPr>
          <w:lang w:eastAsia="en-AU"/>
        </w:rPr>
        <w:t>Occupations employers expect to recruit for in the 12 months following the survey</w:t>
      </w:r>
    </w:p>
    <w:tbl>
      <w:tblPr>
        <w:tblW w:w="9315" w:type="dxa"/>
        <w:tblCellMar>
          <w:left w:w="0" w:type="dxa"/>
          <w:right w:w="0" w:type="dxa"/>
        </w:tblCellMar>
        <w:tblLook w:val="0600" w:firstRow="0" w:lastRow="0" w:firstColumn="0" w:lastColumn="0" w:noHBand="1" w:noVBand="1"/>
      </w:tblPr>
      <w:tblGrid>
        <w:gridCol w:w="4835"/>
        <w:gridCol w:w="4480"/>
      </w:tblGrid>
      <w:tr w:rsidR="00FC7F98" w:rsidRPr="00FC7F98" w:rsidTr="00FC7F98">
        <w:trPr>
          <w:trHeight w:val="673"/>
        </w:trPr>
        <w:tc>
          <w:tcPr>
            <w:tcW w:w="9315"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themeColor="text1"/>
                <w:kern w:val="24"/>
                <w:sz w:val="32"/>
                <w:szCs w:val="32"/>
                <w:lang w:eastAsia="en-AU"/>
              </w:rPr>
              <w:t>Higher Skill Level – Bachelor Degree or higher</w:t>
            </w:r>
          </w:p>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themeColor="text1"/>
                <w:kern w:val="24"/>
                <w:sz w:val="32"/>
                <w:szCs w:val="32"/>
                <w:lang w:eastAsia="en-AU"/>
              </w:rPr>
              <w:t>Medium Skill Level – Certificate IV to Associate Degree</w:t>
            </w:r>
          </w:p>
        </w:tc>
      </w:tr>
      <w:tr w:rsidR="00FC7F98" w:rsidRPr="00FC7F98" w:rsidTr="00FC7F98">
        <w:trPr>
          <w:trHeight w:val="490"/>
        </w:trPr>
        <w:tc>
          <w:tcPr>
            <w:tcW w:w="4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Early Childhood Teachers</w:t>
            </w:r>
          </w:p>
        </w:tc>
        <w:tc>
          <w:tcPr>
            <w:tcW w:w="4480" w:type="dxa"/>
            <w:tcBorders>
              <w:top w:val="single" w:sz="8" w:space="0" w:color="000000"/>
              <w:left w:val="single" w:sz="8" w:space="0" w:color="000000"/>
              <w:bottom w:val="single" w:sz="8" w:space="0" w:color="000000"/>
              <w:right w:val="single" w:sz="8" w:space="0" w:color="000000"/>
            </w:tcBorders>
            <w:shd w:val="clear" w:color="auto" w:fill="auto"/>
            <w:vAlign w:val="center"/>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Cabinetmakers</w:t>
            </w:r>
          </w:p>
        </w:tc>
      </w:tr>
      <w:tr w:rsidR="00FC7F98" w:rsidRPr="00FC7F98" w:rsidTr="00FC7F98">
        <w:trPr>
          <w:trHeight w:val="526"/>
        </w:trPr>
        <w:tc>
          <w:tcPr>
            <w:tcW w:w="4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Chefs</w:t>
            </w:r>
          </w:p>
        </w:tc>
        <w:tc>
          <w:tcPr>
            <w:tcW w:w="4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Pr>
                <w:rFonts w:cs="Arial"/>
                <w:sz w:val="32"/>
                <w:szCs w:val="32"/>
                <w:lang w:eastAsia="en-AU"/>
              </w:rPr>
              <w:t>-</w:t>
            </w:r>
          </w:p>
        </w:tc>
      </w:tr>
      <w:tr w:rsidR="00FC7F98" w:rsidRPr="00FC7F98" w:rsidTr="007668AD">
        <w:trPr>
          <w:trHeight w:val="706"/>
        </w:trPr>
        <w:tc>
          <w:tcPr>
            <w:tcW w:w="9315"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Theme="minorHAnsi" w:eastAsiaTheme="minorEastAsia" w:hAnsi="Calibri" w:cstheme="minorBidi"/>
                <w:color w:val="000000"/>
                <w:kern w:val="24"/>
                <w:sz w:val="32"/>
                <w:szCs w:val="32"/>
                <w:lang w:eastAsia="en-AU"/>
              </w:rPr>
              <w:t>Lower Skill Level – Compulsory Secondary Education to Certificate III</w:t>
            </w:r>
            <w:r w:rsidRPr="00FC7F98">
              <w:rPr>
                <w:rFonts w:ascii="Calibri" w:hAnsi="Calibri" w:cs="Calibri"/>
                <w:b/>
                <w:bCs/>
                <w:color w:val="000000"/>
                <w:kern w:val="24"/>
                <w:sz w:val="32"/>
                <w:szCs w:val="32"/>
                <w:lang w:eastAsia="en-AU"/>
              </w:rPr>
              <w:t> </w:t>
            </w:r>
            <w:r w:rsidRPr="00FC7F98">
              <w:rPr>
                <w:rFonts w:ascii="Calibri" w:hAnsi="Calibri" w:cs="Calibri"/>
                <w:color w:val="000000"/>
                <w:kern w:val="24"/>
                <w:sz w:val="32"/>
                <w:szCs w:val="32"/>
                <w:lang w:eastAsia="en-AU"/>
              </w:rPr>
              <w:t xml:space="preserve"> </w:t>
            </w:r>
            <w:r w:rsidRPr="00FC7F98">
              <w:rPr>
                <w:rFonts w:ascii="Calibri" w:hAnsi="Calibri" w:cs="Calibri"/>
                <w:b/>
                <w:bCs/>
                <w:color w:val="000000"/>
                <w:kern w:val="24"/>
                <w:sz w:val="32"/>
                <w:szCs w:val="32"/>
                <w:lang w:eastAsia="en-AU"/>
              </w:rPr>
              <w:t xml:space="preserve"> </w:t>
            </w:r>
          </w:p>
        </w:tc>
      </w:tr>
      <w:tr w:rsidR="00FC7F98" w:rsidRPr="00FC7F98" w:rsidTr="00FC7F98">
        <w:trPr>
          <w:trHeight w:val="544"/>
        </w:trPr>
        <w:tc>
          <w:tcPr>
            <w:tcW w:w="4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 xml:space="preserve">Sales Assistants (General) </w:t>
            </w:r>
          </w:p>
        </w:tc>
        <w:tc>
          <w:tcPr>
            <w:tcW w:w="4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Packers</w:t>
            </w:r>
          </w:p>
        </w:tc>
      </w:tr>
      <w:tr w:rsidR="00FC7F98" w:rsidRPr="00FC7F98" w:rsidTr="00FC7F98">
        <w:trPr>
          <w:trHeight w:val="524"/>
        </w:trPr>
        <w:tc>
          <w:tcPr>
            <w:tcW w:w="4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 xml:space="preserve">General Clerks </w:t>
            </w:r>
          </w:p>
        </w:tc>
        <w:tc>
          <w:tcPr>
            <w:tcW w:w="4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 xml:space="preserve">Truck Drivers </w:t>
            </w:r>
          </w:p>
        </w:tc>
      </w:tr>
      <w:tr w:rsidR="00FC7F98" w:rsidRPr="00FC7F98" w:rsidTr="00FC7F98">
        <w:trPr>
          <w:trHeight w:val="532"/>
        </w:trPr>
        <w:tc>
          <w:tcPr>
            <w:tcW w:w="4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Crop Farm Workers</w:t>
            </w:r>
          </w:p>
        </w:tc>
        <w:tc>
          <w:tcPr>
            <w:tcW w:w="4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Waiters</w:t>
            </w:r>
          </w:p>
        </w:tc>
      </w:tr>
      <w:tr w:rsidR="00FC7F98" w:rsidRPr="00FC7F98" w:rsidTr="00FC7F98">
        <w:trPr>
          <w:trHeight w:val="526"/>
        </w:trPr>
        <w:tc>
          <w:tcPr>
            <w:tcW w:w="483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Child Carers</w:t>
            </w:r>
          </w:p>
        </w:tc>
        <w:tc>
          <w:tcPr>
            <w:tcW w:w="44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FC7F98" w:rsidRPr="00FC7F98" w:rsidRDefault="00FC7F98" w:rsidP="00FC7F98">
            <w:pPr>
              <w:jc w:val="center"/>
              <w:textAlignment w:val="center"/>
              <w:rPr>
                <w:rFonts w:cs="Arial"/>
                <w:sz w:val="32"/>
                <w:szCs w:val="32"/>
                <w:lang w:eastAsia="en-AU"/>
              </w:rPr>
            </w:pPr>
            <w:r w:rsidRPr="00FC7F98">
              <w:rPr>
                <w:rFonts w:ascii="Calibri" w:hAnsi="Calibri" w:cs="Calibri"/>
                <w:color w:val="000000"/>
                <w:kern w:val="24"/>
                <w:sz w:val="32"/>
                <w:szCs w:val="32"/>
                <w:lang w:eastAsia="en-AU"/>
              </w:rPr>
              <w:t>Bar Attendants and Baristas</w:t>
            </w:r>
          </w:p>
        </w:tc>
      </w:tr>
    </w:tbl>
    <w:p w:rsidR="00F27513" w:rsidRPr="00FC7F98" w:rsidRDefault="00F27513" w:rsidP="00F27513">
      <w:pPr>
        <w:spacing w:line="360" w:lineRule="auto"/>
        <w:jc w:val="center"/>
        <w:rPr>
          <w:sz w:val="6"/>
        </w:rPr>
      </w:pPr>
    </w:p>
    <w:p w:rsidR="00F27513" w:rsidRPr="004119E4" w:rsidRDefault="00F27513" w:rsidP="004F6FB3">
      <w:pPr>
        <w:pStyle w:val="Heading3"/>
        <w:rPr>
          <w:lang w:eastAsia="en-AU"/>
        </w:rPr>
      </w:pPr>
      <w:r w:rsidRPr="004119E4">
        <w:rPr>
          <w:lang w:eastAsia="en-AU"/>
        </w:rPr>
        <w:t>Occupations employers expect to recruit for in the 12 months following the survey</w:t>
      </w:r>
    </w:p>
    <w:p w:rsidR="00F27513" w:rsidRDefault="00F27513" w:rsidP="00F27513">
      <w:pPr>
        <w:autoSpaceDE w:val="0"/>
        <w:autoSpaceDN w:val="0"/>
        <w:adjustRightInd w:val="0"/>
        <w:rPr>
          <w:rFonts w:ascii="Calibri" w:hAnsi="Calibri" w:cs="Calibri"/>
          <w:i/>
          <w:iCs/>
          <w:color w:val="000000"/>
          <w:kern w:val="24"/>
          <w:sz w:val="24"/>
          <w:szCs w:val="24"/>
          <w:lang w:eastAsia="en-AU"/>
        </w:rPr>
      </w:pPr>
      <w:r>
        <w:rPr>
          <w:rFonts w:ascii="Calibri" w:hAnsi="Calibri" w:cs="Calibri"/>
          <w:i/>
          <w:iCs/>
          <w:color w:val="000000"/>
          <w:kern w:val="24"/>
          <w:sz w:val="24"/>
          <w:szCs w:val="24"/>
          <w:lang w:eastAsia="en-AU"/>
        </w:rPr>
        <w:t>Source: Department of Employment, Survey of Employers’ Recruitment Experiences, October 2013, North Eastern Victoria Priority Employment Area</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xml:space="preserve">This slide shows the vacancies that employers most commonly expected to recruit for in the North Eastern Victoria PEA in the 12 months following the survey.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b/>
          <w:bCs/>
          <w:color w:val="000000"/>
          <w:kern w:val="24"/>
          <w:sz w:val="24"/>
          <w:szCs w:val="24"/>
          <w:lang w:eastAsia="en-AU"/>
        </w:rPr>
        <w:t> </w:t>
      </w:r>
    </w:p>
    <w:p w:rsidR="00F27513" w:rsidRPr="004119E4" w:rsidRDefault="00F27513" w:rsidP="00F27513">
      <w:pPr>
        <w:autoSpaceDE w:val="0"/>
        <w:autoSpaceDN w:val="0"/>
        <w:adjustRightInd w:val="0"/>
        <w:rPr>
          <w:rFonts w:ascii="Calibri" w:hAnsi="Calibri" w:cs="Calibri"/>
          <w:color w:val="000000"/>
          <w:kern w:val="24"/>
          <w:sz w:val="24"/>
          <w:szCs w:val="24"/>
          <w:lang w:eastAsia="en-AU"/>
        </w:rPr>
      </w:pPr>
      <w:r w:rsidRPr="004119E4">
        <w:rPr>
          <w:rFonts w:ascii="Calibri" w:hAnsi="Calibri" w:cs="Calibri"/>
          <w:bCs/>
          <w:color w:val="000000"/>
          <w:kern w:val="24"/>
          <w:sz w:val="24"/>
          <w:szCs w:val="24"/>
          <w:lang w:eastAsia="en-AU"/>
        </w:rPr>
        <w:t>Higher Skill Level (1) - Bachelor Degree or Higher</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Early Childhood Teachers</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Pr="004119E4" w:rsidRDefault="00F27513" w:rsidP="00F27513">
      <w:pPr>
        <w:autoSpaceDE w:val="0"/>
        <w:autoSpaceDN w:val="0"/>
        <w:adjustRightInd w:val="0"/>
        <w:rPr>
          <w:rFonts w:ascii="Calibri" w:hAnsi="Calibri" w:cs="Calibri"/>
          <w:color w:val="000000"/>
          <w:kern w:val="24"/>
          <w:sz w:val="24"/>
          <w:szCs w:val="24"/>
          <w:lang w:eastAsia="en-AU"/>
        </w:rPr>
      </w:pPr>
      <w:r w:rsidRPr="004119E4">
        <w:rPr>
          <w:rFonts w:ascii="Calibri" w:hAnsi="Calibri" w:cs="Calibri"/>
          <w:bCs/>
          <w:color w:val="000000"/>
          <w:kern w:val="24"/>
          <w:sz w:val="24"/>
          <w:szCs w:val="24"/>
          <w:lang w:eastAsia="en-AU"/>
        </w:rPr>
        <w:t xml:space="preserve">Medium Skill Level (2 &amp; 3) – Certificate IV to Associate Degree </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Cabinetmakers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Chefs</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 </w:t>
      </w:r>
    </w:p>
    <w:p w:rsidR="00F27513" w:rsidRPr="004119E4" w:rsidRDefault="00F27513" w:rsidP="00F27513">
      <w:pPr>
        <w:autoSpaceDE w:val="0"/>
        <w:autoSpaceDN w:val="0"/>
        <w:adjustRightInd w:val="0"/>
        <w:rPr>
          <w:rFonts w:ascii="Calibri" w:hAnsi="Calibri" w:cs="Calibri"/>
          <w:color w:val="000000"/>
          <w:kern w:val="24"/>
          <w:sz w:val="24"/>
          <w:szCs w:val="24"/>
          <w:lang w:eastAsia="en-AU"/>
        </w:rPr>
      </w:pPr>
      <w:r w:rsidRPr="004119E4">
        <w:rPr>
          <w:rFonts w:ascii="Calibri" w:hAnsi="Calibri" w:cs="Calibri"/>
          <w:bCs/>
          <w:color w:val="000000"/>
          <w:kern w:val="24"/>
          <w:sz w:val="24"/>
          <w:szCs w:val="24"/>
          <w:lang w:eastAsia="en-AU"/>
        </w:rPr>
        <w:t>Lower Skill Level (4 &amp; 5) – Compulsory Secondary Education to Certificate III</w:t>
      </w:r>
    </w:p>
    <w:p w:rsidR="00F27513" w:rsidRDefault="00F27513" w:rsidP="00F27513">
      <w:pPr>
        <w:autoSpaceDE w:val="0"/>
        <w:autoSpaceDN w:val="0"/>
        <w:adjustRightInd w:val="0"/>
        <w:rPr>
          <w:rFonts w:ascii="Calibri" w:hAnsi="Calibri" w:cs="Calibri"/>
          <w:color w:val="000000"/>
          <w:kern w:val="24"/>
          <w:sz w:val="24"/>
          <w:szCs w:val="24"/>
          <w:lang w:eastAsia="en-AU"/>
        </w:rPr>
      </w:pPr>
      <w:r>
        <w:rPr>
          <w:rFonts w:ascii="Calibri" w:hAnsi="Calibri" w:cs="Calibri"/>
          <w:color w:val="000000"/>
          <w:kern w:val="24"/>
          <w:sz w:val="24"/>
          <w:szCs w:val="24"/>
          <w:lang w:eastAsia="en-AU"/>
        </w:rPr>
        <w:t>Sales Assistants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General Clerks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Crop Farm Workers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Child Carers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Packers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Truck Drivers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Waiters</w:t>
      </w: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Bar Attendants and Baristas</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35</w:t>
      </w:r>
    </w:p>
    <w:p w:rsidR="00DA0AF9" w:rsidRPr="00DA0AF9" w:rsidRDefault="00DA0AF9" w:rsidP="00DA0AF9">
      <w:pPr>
        <w:pStyle w:val="Heading2"/>
        <w:jc w:val="center"/>
        <w:rPr>
          <w:lang w:eastAsia="en-AU"/>
        </w:rPr>
      </w:pPr>
      <w:r w:rsidRPr="004119E4">
        <w:rPr>
          <w:lang w:eastAsia="en-AU"/>
        </w:rPr>
        <w:t>Conclusion</w:t>
      </w:r>
    </w:p>
    <w:tbl>
      <w:tblPr>
        <w:tblStyle w:val="TableGrid"/>
        <w:tblW w:w="0" w:type="auto"/>
        <w:tblLook w:val="04A0" w:firstRow="1" w:lastRow="0" w:firstColumn="1" w:lastColumn="0" w:noHBand="0" w:noVBand="1"/>
      </w:tblPr>
      <w:tblGrid>
        <w:gridCol w:w="9570"/>
      </w:tblGrid>
      <w:tr w:rsidR="00F80A07" w:rsidTr="007668AD">
        <w:trPr>
          <w:trHeight w:val="7019"/>
        </w:trPr>
        <w:tc>
          <w:tcPr>
            <w:tcW w:w="9570" w:type="dxa"/>
          </w:tcPr>
          <w:p w:rsidR="00F80A07" w:rsidRPr="007668AD" w:rsidRDefault="00F80A07" w:rsidP="00F80A07">
            <w:pPr>
              <w:spacing w:line="360" w:lineRule="auto"/>
              <w:jc w:val="center"/>
              <w:rPr>
                <w:rFonts w:asciiTheme="minorHAnsi" w:hAnsiTheme="minorHAnsi" w:cstheme="minorHAnsi"/>
                <w:sz w:val="24"/>
              </w:rPr>
            </w:pPr>
            <w:r w:rsidRPr="00F80A07">
              <w:br/>
            </w:r>
            <w:r w:rsidRPr="007668AD">
              <w:rPr>
                <w:rFonts w:asciiTheme="minorHAnsi" w:hAnsiTheme="minorHAnsi" w:cstheme="minorHAnsi"/>
                <w:sz w:val="24"/>
              </w:rPr>
              <w:t xml:space="preserve">Conclusion </w:t>
            </w:r>
          </w:p>
          <w:p w:rsidR="00F80A07" w:rsidRPr="007668AD" w:rsidRDefault="00F80A07" w:rsidP="007668AD">
            <w:pPr>
              <w:pStyle w:val="ListParagraph"/>
              <w:numPr>
                <w:ilvl w:val="0"/>
                <w:numId w:val="14"/>
              </w:numPr>
              <w:ind w:hanging="357"/>
              <w:rPr>
                <w:rFonts w:asciiTheme="minorHAnsi" w:hAnsiTheme="minorHAnsi" w:cstheme="minorHAnsi"/>
                <w:sz w:val="24"/>
              </w:rPr>
            </w:pPr>
            <w:r w:rsidRPr="007668AD">
              <w:rPr>
                <w:rFonts w:asciiTheme="minorHAnsi" w:hAnsiTheme="minorHAnsi" w:cstheme="minorHAnsi"/>
                <w:sz w:val="24"/>
              </w:rPr>
              <w:t>Labour market conditions mixed</w:t>
            </w:r>
          </w:p>
          <w:p w:rsidR="00F80A07" w:rsidRPr="007668AD" w:rsidRDefault="00F80A07" w:rsidP="007668AD">
            <w:pPr>
              <w:pStyle w:val="ListParagraph"/>
              <w:numPr>
                <w:ilvl w:val="0"/>
                <w:numId w:val="15"/>
              </w:numPr>
              <w:ind w:hanging="357"/>
              <w:rPr>
                <w:rFonts w:asciiTheme="minorHAnsi" w:hAnsiTheme="minorHAnsi" w:cstheme="minorHAnsi"/>
                <w:sz w:val="24"/>
              </w:rPr>
            </w:pPr>
            <w:r w:rsidRPr="007668AD">
              <w:rPr>
                <w:rFonts w:asciiTheme="minorHAnsi" w:hAnsiTheme="minorHAnsi" w:cstheme="minorHAnsi"/>
                <w:sz w:val="24"/>
              </w:rPr>
              <w:t>Unemployment rate has decreased, but still high in the Greater Shepparton LGA</w:t>
            </w:r>
          </w:p>
          <w:p w:rsidR="00F80A07" w:rsidRPr="007668AD" w:rsidRDefault="00F80A07" w:rsidP="007668AD">
            <w:pPr>
              <w:pStyle w:val="ListParagraph"/>
              <w:numPr>
                <w:ilvl w:val="0"/>
                <w:numId w:val="15"/>
              </w:numPr>
              <w:ind w:hanging="357"/>
              <w:rPr>
                <w:rFonts w:asciiTheme="minorHAnsi" w:hAnsiTheme="minorHAnsi" w:cstheme="minorHAnsi"/>
                <w:sz w:val="24"/>
              </w:rPr>
            </w:pPr>
            <w:r w:rsidRPr="007668AD">
              <w:rPr>
                <w:rFonts w:asciiTheme="minorHAnsi" w:hAnsiTheme="minorHAnsi" w:cstheme="minorHAnsi"/>
                <w:sz w:val="24"/>
              </w:rPr>
              <w:t>Decline of full-time employing industries (Agriculture and Manufacturing)</w:t>
            </w:r>
          </w:p>
          <w:p w:rsidR="00F80A07" w:rsidRPr="007668AD" w:rsidRDefault="00F80A07" w:rsidP="007668AD">
            <w:pPr>
              <w:pStyle w:val="ListParagraph"/>
              <w:numPr>
                <w:ilvl w:val="0"/>
                <w:numId w:val="14"/>
              </w:numPr>
              <w:ind w:hanging="357"/>
              <w:rPr>
                <w:rFonts w:asciiTheme="minorHAnsi" w:hAnsiTheme="minorHAnsi" w:cstheme="minorHAnsi"/>
                <w:sz w:val="24"/>
              </w:rPr>
            </w:pPr>
            <w:r w:rsidRPr="007668AD">
              <w:rPr>
                <w:rFonts w:asciiTheme="minorHAnsi" w:hAnsiTheme="minorHAnsi" w:cstheme="minorHAnsi"/>
                <w:sz w:val="24"/>
              </w:rPr>
              <w:t>Challenges</w:t>
            </w:r>
          </w:p>
          <w:p w:rsidR="00F80A07" w:rsidRPr="007668AD" w:rsidRDefault="00F80A07" w:rsidP="007668AD">
            <w:pPr>
              <w:pStyle w:val="ListParagraph"/>
              <w:numPr>
                <w:ilvl w:val="0"/>
                <w:numId w:val="16"/>
              </w:numPr>
              <w:ind w:hanging="357"/>
              <w:rPr>
                <w:rFonts w:asciiTheme="minorHAnsi" w:hAnsiTheme="minorHAnsi" w:cstheme="minorHAnsi"/>
                <w:sz w:val="24"/>
              </w:rPr>
            </w:pPr>
            <w:r w:rsidRPr="007668AD">
              <w:rPr>
                <w:rFonts w:asciiTheme="minorHAnsi" w:hAnsiTheme="minorHAnsi" w:cstheme="minorHAnsi"/>
                <w:sz w:val="24"/>
              </w:rPr>
              <w:t xml:space="preserve">Disengaged groups: jobless families, less educated, recently arrived migrants, people with low levels of English proficiency </w:t>
            </w:r>
          </w:p>
          <w:p w:rsidR="00F80A07" w:rsidRPr="007668AD" w:rsidRDefault="00F80A07" w:rsidP="007668AD">
            <w:pPr>
              <w:pStyle w:val="ListParagraph"/>
              <w:numPr>
                <w:ilvl w:val="0"/>
                <w:numId w:val="16"/>
              </w:numPr>
              <w:ind w:hanging="357"/>
              <w:rPr>
                <w:rFonts w:asciiTheme="minorHAnsi" w:hAnsiTheme="minorHAnsi" w:cstheme="minorHAnsi"/>
                <w:sz w:val="24"/>
              </w:rPr>
            </w:pPr>
            <w:r w:rsidRPr="007668AD">
              <w:rPr>
                <w:rFonts w:asciiTheme="minorHAnsi" w:hAnsiTheme="minorHAnsi" w:cstheme="minorHAnsi"/>
                <w:sz w:val="24"/>
              </w:rPr>
              <w:t>Underutilisation of migrants</w:t>
            </w:r>
          </w:p>
          <w:p w:rsidR="00F80A07" w:rsidRPr="007668AD" w:rsidRDefault="00F80A07" w:rsidP="007668AD">
            <w:pPr>
              <w:pStyle w:val="ListParagraph"/>
              <w:numPr>
                <w:ilvl w:val="0"/>
                <w:numId w:val="16"/>
              </w:numPr>
              <w:ind w:hanging="357"/>
              <w:rPr>
                <w:rFonts w:asciiTheme="minorHAnsi" w:hAnsiTheme="minorHAnsi" w:cstheme="minorHAnsi"/>
                <w:sz w:val="24"/>
              </w:rPr>
            </w:pPr>
            <w:r w:rsidRPr="007668AD">
              <w:rPr>
                <w:rFonts w:asciiTheme="minorHAnsi" w:hAnsiTheme="minorHAnsi" w:cstheme="minorHAnsi"/>
                <w:sz w:val="24"/>
              </w:rPr>
              <w:t>Small labour supply</w:t>
            </w:r>
          </w:p>
          <w:p w:rsidR="00F80A07" w:rsidRPr="007668AD" w:rsidRDefault="00F80A07" w:rsidP="007668AD">
            <w:pPr>
              <w:pStyle w:val="ListParagraph"/>
              <w:numPr>
                <w:ilvl w:val="0"/>
                <w:numId w:val="16"/>
              </w:numPr>
              <w:ind w:hanging="357"/>
              <w:rPr>
                <w:rFonts w:asciiTheme="minorHAnsi" w:hAnsiTheme="minorHAnsi" w:cstheme="minorHAnsi"/>
                <w:sz w:val="24"/>
              </w:rPr>
            </w:pPr>
            <w:r w:rsidRPr="007668AD">
              <w:rPr>
                <w:rFonts w:asciiTheme="minorHAnsi" w:hAnsiTheme="minorHAnsi" w:cstheme="minorHAnsi"/>
                <w:sz w:val="24"/>
              </w:rPr>
              <w:t>Transition from Agriculture and Manufacturing to the services sector</w:t>
            </w:r>
          </w:p>
          <w:p w:rsidR="00F80A07" w:rsidRPr="007668AD" w:rsidRDefault="00F80A07" w:rsidP="007668AD">
            <w:pPr>
              <w:pStyle w:val="ListParagraph"/>
              <w:numPr>
                <w:ilvl w:val="0"/>
                <w:numId w:val="14"/>
              </w:numPr>
              <w:ind w:hanging="357"/>
              <w:rPr>
                <w:rFonts w:asciiTheme="minorHAnsi" w:hAnsiTheme="minorHAnsi" w:cstheme="minorHAnsi"/>
                <w:sz w:val="24"/>
              </w:rPr>
            </w:pPr>
            <w:r w:rsidRPr="007668AD">
              <w:rPr>
                <w:rFonts w:asciiTheme="minorHAnsi" w:hAnsiTheme="minorHAnsi" w:cstheme="minorHAnsi"/>
                <w:sz w:val="24"/>
              </w:rPr>
              <w:t xml:space="preserve">Opportunities  </w:t>
            </w:r>
          </w:p>
          <w:p w:rsidR="00F80A07" w:rsidRPr="007668AD" w:rsidRDefault="00F80A07" w:rsidP="007668AD">
            <w:pPr>
              <w:pStyle w:val="ListParagraph"/>
              <w:numPr>
                <w:ilvl w:val="0"/>
                <w:numId w:val="17"/>
              </w:numPr>
              <w:ind w:hanging="357"/>
              <w:rPr>
                <w:rFonts w:asciiTheme="minorHAnsi" w:hAnsiTheme="minorHAnsi" w:cstheme="minorHAnsi"/>
                <w:sz w:val="24"/>
              </w:rPr>
            </w:pPr>
            <w:r w:rsidRPr="007668AD">
              <w:rPr>
                <w:rFonts w:asciiTheme="minorHAnsi" w:hAnsiTheme="minorHAnsi" w:cstheme="minorHAnsi"/>
                <w:sz w:val="24"/>
              </w:rPr>
              <w:t>Recruitment activity picking up</w:t>
            </w:r>
          </w:p>
          <w:p w:rsidR="00F80A07" w:rsidRPr="007668AD" w:rsidRDefault="00F80A07" w:rsidP="007668AD">
            <w:pPr>
              <w:pStyle w:val="ListParagraph"/>
              <w:numPr>
                <w:ilvl w:val="0"/>
                <w:numId w:val="17"/>
              </w:numPr>
              <w:ind w:hanging="357"/>
              <w:rPr>
                <w:rFonts w:asciiTheme="minorHAnsi" w:hAnsiTheme="minorHAnsi" w:cstheme="minorHAnsi"/>
                <w:sz w:val="24"/>
              </w:rPr>
            </w:pPr>
            <w:r w:rsidRPr="007668AD">
              <w:rPr>
                <w:rFonts w:asciiTheme="minorHAnsi" w:hAnsiTheme="minorHAnsi" w:cstheme="minorHAnsi"/>
                <w:sz w:val="24"/>
              </w:rPr>
              <w:t>Growth industries (Health Care and Social Assistance)</w:t>
            </w:r>
          </w:p>
          <w:p w:rsidR="00F80A07" w:rsidRPr="007668AD" w:rsidRDefault="00F80A07" w:rsidP="007668AD">
            <w:pPr>
              <w:pStyle w:val="ListParagraph"/>
              <w:numPr>
                <w:ilvl w:val="0"/>
                <w:numId w:val="17"/>
              </w:numPr>
              <w:ind w:hanging="357"/>
              <w:rPr>
                <w:rFonts w:asciiTheme="minorHAnsi" w:hAnsiTheme="minorHAnsi" w:cstheme="minorHAnsi"/>
                <w:sz w:val="24"/>
              </w:rPr>
            </w:pPr>
            <w:r w:rsidRPr="007668AD">
              <w:rPr>
                <w:rFonts w:asciiTheme="minorHAnsi" w:hAnsiTheme="minorHAnsi" w:cstheme="minorHAnsi"/>
                <w:sz w:val="24"/>
              </w:rPr>
              <w:t>Improved opportunities for job seekers who tap into informal labour market</w:t>
            </w:r>
          </w:p>
          <w:p w:rsidR="00F80A07" w:rsidRPr="007668AD" w:rsidRDefault="00F80A07" w:rsidP="007668AD">
            <w:pPr>
              <w:pStyle w:val="ListParagraph"/>
              <w:numPr>
                <w:ilvl w:val="0"/>
                <w:numId w:val="14"/>
              </w:numPr>
              <w:ind w:hanging="357"/>
              <w:rPr>
                <w:rFonts w:asciiTheme="minorHAnsi" w:hAnsiTheme="minorHAnsi" w:cstheme="minorHAnsi"/>
                <w:sz w:val="24"/>
              </w:rPr>
            </w:pPr>
            <w:r w:rsidRPr="007668AD">
              <w:rPr>
                <w:rFonts w:asciiTheme="minorHAnsi" w:hAnsiTheme="minorHAnsi" w:cstheme="minorHAnsi"/>
                <w:sz w:val="24"/>
              </w:rPr>
              <w:t>Job seekers need to have…</w:t>
            </w:r>
          </w:p>
          <w:p w:rsidR="00F80A07" w:rsidRPr="007668AD" w:rsidRDefault="00F80A07" w:rsidP="007668AD">
            <w:pPr>
              <w:pStyle w:val="ListParagraph"/>
              <w:numPr>
                <w:ilvl w:val="0"/>
                <w:numId w:val="18"/>
              </w:numPr>
              <w:ind w:hanging="357"/>
              <w:rPr>
                <w:rFonts w:asciiTheme="minorHAnsi" w:hAnsiTheme="minorHAnsi" w:cstheme="minorHAnsi"/>
                <w:sz w:val="24"/>
              </w:rPr>
            </w:pPr>
            <w:r w:rsidRPr="007668AD">
              <w:rPr>
                <w:rFonts w:asciiTheme="minorHAnsi" w:hAnsiTheme="minorHAnsi" w:cstheme="minorHAnsi"/>
                <w:sz w:val="24"/>
              </w:rPr>
              <w:t>Employability skills</w:t>
            </w:r>
          </w:p>
          <w:p w:rsidR="00F80A07" w:rsidRPr="007668AD" w:rsidRDefault="00F80A07" w:rsidP="007668AD">
            <w:pPr>
              <w:pStyle w:val="ListParagraph"/>
              <w:numPr>
                <w:ilvl w:val="0"/>
                <w:numId w:val="18"/>
              </w:numPr>
              <w:ind w:hanging="357"/>
              <w:rPr>
                <w:rFonts w:asciiTheme="minorHAnsi" w:hAnsiTheme="minorHAnsi" w:cstheme="minorHAnsi"/>
                <w:sz w:val="24"/>
              </w:rPr>
            </w:pPr>
            <w:r w:rsidRPr="007668AD">
              <w:rPr>
                <w:rFonts w:asciiTheme="minorHAnsi" w:hAnsiTheme="minorHAnsi" w:cstheme="minorHAnsi"/>
                <w:sz w:val="24"/>
              </w:rPr>
              <w:t>Education and Training</w:t>
            </w:r>
          </w:p>
          <w:p w:rsidR="00F80A07" w:rsidRPr="007668AD" w:rsidRDefault="00F80A07" w:rsidP="007668AD">
            <w:pPr>
              <w:pStyle w:val="ListParagraph"/>
              <w:numPr>
                <w:ilvl w:val="0"/>
                <w:numId w:val="18"/>
              </w:numPr>
              <w:ind w:hanging="357"/>
              <w:rPr>
                <w:rFonts w:asciiTheme="minorHAnsi" w:hAnsiTheme="minorHAnsi" w:cstheme="minorHAnsi"/>
                <w:sz w:val="24"/>
              </w:rPr>
            </w:pPr>
            <w:r w:rsidRPr="007668AD">
              <w:rPr>
                <w:rFonts w:asciiTheme="minorHAnsi" w:hAnsiTheme="minorHAnsi" w:cstheme="minorHAnsi"/>
                <w:sz w:val="24"/>
              </w:rPr>
              <w:t xml:space="preserve">Literacy and English language skills (especially for migrants) </w:t>
            </w:r>
          </w:p>
          <w:p w:rsidR="00F80A07" w:rsidRDefault="00F80A07" w:rsidP="007668AD">
            <w:pPr>
              <w:pStyle w:val="ListParagraph"/>
              <w:numPr>
                <w:ilvl w:val="0"/>
                <w:numId w:val="14"/>
              </w:numPr>
              <w:ind w:hanging="357"/>
            </w:pPr>
            <w:r w:rsidRPr="007668AD">
              <w:rPr>
                <w:rFonts w:asciiTheme="minorHAnsi" w:hAnsiTheme="minorHAnsi" w:cstheme="minorHAnsi"/>
                <w:sz w:val="24"/>
              </w:rPr>
              <w:t>Collaboration with key stakeholders</w:t>
            </w:r>
          </w:p>
        </w:tc>
      </w:tr>
    </w:tbl>
    <w:p w:rsidR="00F27513" w:rsidRPr="004119E4" w:rsidRDefault="00F27513" w:rsidP="004F6FB3">
      <w:pPr>
        <w:pStyle w:val="Heading3"/>
        <w:rPr>
          <w:lang w:eastAsia="en-AU"/>
        </w:rPr>
      </w:pPr>
      <w:r w:rsidRPr="004119E4">
        <w:rPr>
          <w:lang w:eastAsia="en-AU"/>
        </w:rPr>
        <w:t>Conclusion</w:t>
      </w:r>
    </w:p>
    <w:p w:rsidR="00F27513" w:rsidRPr="004119E4" w:rsidRDefault="00F27513" w:rsidP="00F27513">
      <w:pPr>
        <w:numPr>
          <w:ilvl w:val="0"/>
          <w:numId w:val="4"/>
        </w:numPr>
        <w:autoSpaceDE w:val="0"/>
        <w:autoSpaceDN w:val="0"/>
        <w:adjustRightInd w:val="0"/>
        <w:ind w:left="450" w:hanging="450"/>
        <w:rPr>
          <w:rFonts w:ascii="Calibri" w:hAnsi="Times New Roman" w:cs="Calibri"/>
          <w:color w:val="000000"/>
          <w:kern w:val="24"/>
          <w:sz w:val="24"/>
          <w:szCs w:val="24"/>
          <w:lang w:eastAsia="en-AU"/>
        </w:rPr>
      </w:pPr>
      <w:r w:rsidRPr="004119E4">
        <w:rPr>
          <w:rFonts w:ascii="Calibri" w:hAnsi="Times New Roman" w:cs="Calibri"/>
          <w:bCs/>
          <w:color w:val="000000"/>
          <w:kern w:val="24"/>
          <w:sz w:val="24"/>
          <w:szCs w:val="24"/>
          <w:lang w:eastAsia="en-AU"/>
        </w:rPr>
        <w:t>Labour market conditions mixed</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 xml:space="preserve">Unemployment rate has decreased, but still high in the Greater </w:t>
      </w:r>
      <w:proofErr w:type="spellStart"/>
      <w:r>
        <w:rPr>
          <w:rFonts w:ascii="Calibri" w:hAnsi="Times New Roman" w:cs="Calibri"/>
          <w:color w:val="000000"/>
          <w:kern w:val="24"/>
          <w:sz w:val="24"/>
          <w:szCs w:val="24"/>
          <w:lang w:val="en-US" w:eastAsia="en-AU"/>
        </w:rPr>
        <w:t>Shepparton</w:t>
      </w:r>
      <w:proofErr w:type="spellEnd"/>
      <w:r>
        <w:rPr>
          <w:rFonts w:ascii="Calibri" w:hAnsi="Times New Roman" w:cs="Calibri"/>
          <w:color w:val="000000"/>
          <w:kern w:val="24"/>
          <w:sz w:val="24"/>
          <w:szCs w:val="24"/>
          <w:lang w:val="en-US" w:eastAsia="en-AU"/>
        </w:rPr>
        <w:t xml:space="preserve"> LGA</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Decline of full-time employing industries (Agriculture and Manufacturing)</w:t>
      </w:r>
    </w:p>
    <w:p w:rsidR="00F27513" w:rsidRPr="004119E4" w:rsidRDefault="00F27513" w:rsidP="00F27513">
      <w:pPr>
        <w:numPr>
          <w:ilvl w:val="0"/>
          <w:numId w:val="4"/>
        </w:numPr>
        <w:autoSpaceDE w:val="0"/>
        <w:autoSpaceDN w:val="0"/>
        <w:adjustRightInd w:val="0"/>
        <w:ind w:left="450" w:hanging="450"/>
        <w:rPr>
          <w:rFonts w:ascii="Calibri" w:hAnsi="Times New Roman" w:cs="Calibri"/>
          <w:color w:val="000000"/>
          <w:kern w:val="24"/>
          <w:sz w:val="24"/>
          <w:szCs w:val="24"/>
          <w:lang w:eastAsia="en-AU"/>
        </w:rPr>
      </w:pPr>
      <w:r w:rsidRPr="004119E4">
        <w:rPr>
          <w:rFonts w:ascii="Calibri" w:hAnsi="Times New Roman" w:cs="Calibri"/>
          <w:bCs/>
          <w:color w:val="000000"/>
          <w:kern w:val="24"/>
          <w:sz w:val="24"/>
          <w:szCs w:val="24"/>
          <w:lang w:eastAsia="en-AU"/>
        </w:rPr>
        <w:t>Challenges</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val="en-US" w:eastAsia="en-AU"/>
        </w:rPr>
      </w:pPr>
      <w:r w:rsidRPr="004119E4">
        <w:rPr>
          <w:rFonts w:ascii="Calibri" w:hAnsi="Times New Roman" w:cs="Calibri"/>
          <w:color w:val="000000"/>
          <w:kern w:val="24"/>
          <w:sz w:val="24"/>
          <w:szCs w:val="24"/>
          <w:lang w:val="en-US" w:eastAsia="en-AU"/>
        </w:rPr>
        <w:t>Disengaged</w:t>
      </w:r>
      <w:r>
        <w:rPr>
          <w:rFonts w:ascii="Calibri" w:hAnsi="Times New Roman" w:cs="Calibri"/>
          <w:color w:val="000000"/>
          <w:kern w:val="24"/>
          <w:sz w:val="24"/>
          <w:szCs w:val="24"/>
          <w:lang w:val="en-US" w:eastAsia="en-AU"/>
        </w:rPr>
        <w:t xml:space="preserve"> groups: jobless families, less educated, recently arrived migrants, people with low levels of English proficiency</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Underutilisation of migrants</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Small labour supply</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Transition from Agriculture and Manufacturing to the services sector</w:t>
      </w:r>
    </w:p>
    <w:p w:rsidR="00F27513" w:rsidRPr="004119E4" w:rsidRDefault="00F27513" w:rsidP="00F27513">
      <w:pPr>
        <w:numPr>
          <w:ilvl w:val="0"/>
          <w:numId w:val="4"/>
        </w:numPr>
        <w:autoSpaceDE w:val="0"/>
        <w:autoSpaceDN w:val="0"/>
        <w:adjustRightInd w:val="0"/>
        <w:ind w:left="450" w:hanging="450"/>
        <w:rPr>
          <w:rFonts w:ascii="Calibri" w:hAnsi="Times New Roman" w:cs="Calibri"/>
          <w:color w:val="000000"/>
          <w:kern w:val="24"/>
          <w:sz w:val="24"/>
          <w:szCs w:val="24"/>
          <w:lang w:eastAsia="en-AU"/>
        </w:rPr>
      </w:pPr>
      <w:r w:rsidRPr="004119E4">
        <w:rPr>
          <w:rFonts w:ascii="Calibri" w:hAnsi="Times New Roman" w:cs="Calibri"/>
          <w:bCs/>
          <w:color w:val="000000"/>
          <w:kern w:val="24"/>
          <w:sz w:val="24"/>
          <w:szCs w:val="24"/>
          <w:lang w:eastAsia="en-AU"/>
        </w:rPr>
        <w:t xml:space="preserve">Opportunities  </w:t>
      </w:r>
    </w:p>
    <w:p w:rsidR="00F27513" w:rsidRDefault="00F27513" w:rsidP="00F27513">
      <w:pPr>
        <w:numPr>
          <w:ilvl w:val="0"/>
          <w:numId w:val="5"/>
        </w:numPr>
        <w:autoSpaceDE w:val="0"/>
        <w:autoSpaceDN w:val="0"/>
        <w:adjustRightInd w:val="0"/>
        <w:ind w:left="1260" w:hanging="54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Recruitment activity picking up</w:t>
      </w:r>
    </w:p>
    <w:p w:rsidR="00F27513" w:rsidRDefault="00F27513" w:rsidP="00F27513">
      <w:pPr>
        <w:numPr>
          <w:ilvl w:val="0"/>
          <w:numId w:val="5"/>
        </w:numPr>
        <w:autoSpaceDE w:val="0"/>
        <w:autoSpaceDN w:val="0"/>
        <w:adjustRightInd w:val="0"/>
        <w:ind w:left="1260" w:hanging="54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Growth industries (Health Care and Social Assistance)</w:t>
      </w:r>
    </w:p>
    <w:p w:rsidR="00F27513" w:rsidRDefault="00F27513" w:rsidP="00F27513">
      <w:pPr>
        <w:numPr>
          <w:ilvl w:val="0"/>
          <w:numId w:val="5"/>
        </w:numPr>
        <w:autoSpaceDE w:val="0"/>
        <w:autoSpaceDN w:val="0"/>
        <w:adjustRightInd w:val="0"/>
        <w:ind w:left="1260" w:hanging="540"/>
        <w:rPr>
          <w:rFonts w:ascii="Calibri" w:hAnsi="Times New Roman" w:cs="Calibri"/>
          <w:color w:val="000000"/>
          <w:kern w:val="24"/>
          <w:sz w:val="24"/>
          <w:szCs w:val="24"/>
          <w:lang w:val="en-US" w:eastAsia="en-AU"/>
        </w:rPr>
      </w:pPr>
      <w:r>
        <w:rPr>
          <w:rFonts w:ascii="Calibri" w:hAnsi="Times New Roman" w:cs="Calibri"/>
          <w:color w:val="000000"/>
          <w:kern w:val="24"/>
          <w:sz w:val="24"/>
          <w:szCs w:val="24"/>
          <w:lang w:val="en-US" w:eastAsia="en-AU"/>
        </w:rPr>
        <w:t>Improved opportunities for job seekers who tap into informal labour market</w:t>
      </w:r>
    </w:p>
    <w:p w:rsidR="00F27513" w:rsidRPr="004119E4" w:rsidRDefault="00F27513" w:rsidP="00F27513">
      <w:pPr>
        <w:numPr>
          <w:ilvl w:val="0"/>
          <w:numId w:val="4"/>
        </w:numPr>
        <w:autoSpaceDE w:val="0"/>
        <w:autoSpaceDN w:val="0"/>
        <w:adjustRightInd w:val="0"/>
        <w:ind w:left="450" w:hanging="450"/>
        <w:rPr>
          <w:rFonts w:ascii="Calibri" w:hAnsi="Times New Roman" w:cs="Calibri"/>
          <w:bCs/>
          <w:color w:val="000000"/>
          <w:kern w:val="24"/>
          <w:sz w:val="24"/>
          <w:szCs w:val="24"/>
          <w:lang w:eastAsia="en-AU"/>
        </w:rPr>
      </w:pPr>
      <w:r w:rsidRPr="004119E4">
        <w:rPr>
          <w:rFonts w:ascii="Calibri" w:hAnsi="Times New Roman" w:cs="Calibri"/>
          <w:bCs/>
          <w:color w:val="000000"/>
          <w:kern w:val="24"/>
          <w:sz w:val="24"/>
          <w:szCs w:val="24"/>
          <w:lang w:eastAsia="en-AU"/>
        </w:rPr>
        <w:t>Job seekers need to have</w:t>
      </w:r>
      <w:r w:rsidRPr="004119E4">
        <w:rPr>
          <w:rFonts w:ascii="Calibri" w:hAnsi="Times New Roman" w:cs="Calibri"/>
          <w:bCs/>
          <w:color w:val="000000"/>
          <w:kern w:val="24"/>
          <w:sz w:val="24"/>
          <w:szCs w:val="24"/>
          <w:lang w:eastAsia="en-AU"/>
        </w:rPr>
        <w:t>…</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Employability skills</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Education and Training</w:t>
      </w:r>
    </w:p>
    <w:p w:rsidR="00F27513" w:rsidRDefault="00F27513" w:rsidP="00F27513">
      <w:pPr>
        <w:numPr>
          <w:ilvl w:val="0"/>
          <w:numId w:val="5"/>
        </w:numPr>
        <w:autoSpaceDE w:val="0"/>
        <w:autoSpaceDN w:val="0"/>
        <w:adjustRightInd w:val="0"/>
        <w:ind w:left="1170" w:hanging="45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 xml:space="preserve">Literacy and English language skills (especially for migrants) </w:t>
      </w:r>
    </w:p>
    <w:p w:rsidR="00F27513" w:rsidRPr="004119E4" w:rsidRDefault="00F27513" w:rsidP="00F27513">
      <w:pPr>
        <w:numPr>
          <w:ilvl w:val="0"/>
          <w:numId w:val="4"/>
        </w:numPr>
        <w:autoSpaceDE w:val="0"/>
        <w:autoSpaceDN w:val="0"/>
        <w:adjustRightInd w:val="0"/>
        <w:ind w:left="450" w:hanging="450"/>
        <w:rPr>
          <w:rFonts w:ascii="Calibri" w:hAnsi="Times New Roman" w:cs="Calibri"/>
          <w:bCs/>
          <w:color w:val="000000"/>
          <w:kern w:val="24"/>
          <w:sz w:val="24"/>
          <w:szCs w:val="24"/>
          <w:lang w:val="en-US" w:eastAsia="en-AU"/>
        </w:rPr>
      </w:pPr>
      <w:r w:rsidRPr="004119E4">
        <w:rPr>
          <w:rFonts w:ascii="Calibri" w:hAnsi="Times New Roman" w:cs="Calibri"/>
          <w:bCs/>
          <w:color w:val="000000"/>
          <w:kern w:val="24"/>
          <w:sz w:val="24"/>
          <w:szCs w:val="24"/>
          <w:lang w:eastAsia="en-AU"/>
        </w:rPr>
        <w:t>Collaboration with key stakeholders</w:t>
      </w:r>
    </w:p>
    <w:p w:rsidR="00BB2B5F" w:rsidRDefault="00F27513" w:rsidP="007668AD">
      <w:pPr>
        <w:pStyle w:val="Heading1"/>
      </w:pPr>
      <w:r>
        <w:lastRenderedPageBreak/>
        <w:t>Slide 36</w:t>
      </w:r>
    </w:p>
    <w:p w:rsidR="00DA0AF9" w:rsidRPr="00DA0AF9" w:rsidRDefault="00DA0AF9" w:rsidP="00DA0AF9">
      <w:pPr>
        <w:pStyle w:val="Heading2"/>
        <w:jc w:val="center"/>
      </w:pPr>
      <w:r>
        <w:t>Further Information</w:t>
      </w:r>
    </w:p>
    <w:tbl>
      <w:tblPr>
        <w:tblStyle w:val="TableGrid"/>
        <w:tblW w:w="0" w:type="auto"/>
        <w:tblLook w:val="04A0" w:firstRow="1" w:lastRow="0" w:firstColumn="1" w:lastColumn="0" w:noHBand="0" w:noVBand="1"/>
      </w:tblPr>
      <w:tblGrid>
        <w:gridCol w:w="9570"/>
      </w:tblGrid>
      <w:tr w:rsidR="008515A9" w:rsidTr="007668AD">
        <w:trPr>
          <w:trHeight w:val="7019"/>
        </w:trPr>
        <w:tc>
          <w:tcPr>
            <w:tcW w:w="9570" w:type="dxa"/>
          </w:tcPr>
          <w:p w:rsidR="008515A9" w:rsidRDefault="008515A9" w:rsidP="007668AD">
            <w:pPr>
              <w:spacing w:before="360" w:line="360" w:lineRule="auto"/>
            </w:pPr>
          </w:p>
          <w:p w:rsidR="008515A9" w:rsidRPr="008515A9" w:rsidRDefault="007668AD" w:rsidP="007668AD">
            <w:pPr>
              <w:numPr>
                <w:ilvl w:val="1"/>
                <w:numId w:val="19"/>
              </w:numPr>
              <w:spacing w:before="360" w:line="360" w:lineRule="auto"/>
            </w:pPr>
            <w:hyperlink r:id="rId29" w:history="1">
              <w:r w:rsidR="008515A9" w:rsidRPr="008515A9">
                <w:rPr>
                  <w:rStyle w:val="Hyperlink"/>
                </w:rPr>
                <w:t>www.employment.gov.au/regionalreports</w:t>
              </w:r>
            </w:hyperlink>
          </w:p>
          <w:p w:rsidR="008515A9" w:rsidRPr="008515A9" w:rsidRDefault="007668AD" w:rsidP="007668AD">
            <w:pPr>
              <w:numPr>
                <w:ilvl w:val="1"/>
                <w:numId w:val="19"/>
              </w:numPr>
              <w:spacing w:before="360" w:line="360" w:lineRule="auto"/>
            </w:pPr>
            <w:hyperlink r:id="rId30" w:history="1">
              <w:r w:rsidR="008515A9" w:rsidRPr="008515A9">
                <w:rPr>
                  <w:rStyle w:val="Hyperlink"/>
                </w:rPr>
                <w:t>www.lmip.gov.au</w:t>
              </w:r>
            </w:hyperlink>
          </w:p>
          <w:p w:rsidR="008515A9" w:rsidRPr="008515A9" w:rsidRDefault="007668AD" w:rsidP="007668AD">
            <w:pPr>
              <w:numPr>
                <w:ilvl w:val="1"/>
                <w:numId w:val="19"/>
              </w:numPr>
              <w:spacing w:before="360" w:line="360" w:lineRule="auto"/>
            </w:pPr>
            <w:hyperlink r:id="rId31" w:history="1">
              <w:r w:rsidR="008515A9" w:rsidRPr="008515A9">
                <w:rPr>
                  <w:rStyle w:val="Hyperlink"/>
                </w:rPr>
                <w:t>www.emplyoment.gov.au/SkillShortages</w:t>
              </w:r>
            </w:hyperlink>
          </w:p>
          <w:p w:rsidR="008515A9" w:rsidRPr="008515A9" w:rsidRDefault="007668AD" w:rsidP="007668AD">
            <w:pPr>
              <w:numPr>
                <w:ilvl w:val="1"/>
                <w:numId w:val="19"/>
              </w:numPr>
              <w:spacing w:before="360" w:line="360" w:lineRule="auto"/>
            </w:pPr>
            <w:hyperlink r:id="rId32" w:history="1">
              <w:r w:rsidR="008515A9" w:rsidRPr="008515A9">
                <w:rPr>
                  <w:rStyle w:val="Hyperlink"/>
                </w:rPr>
                <w:t>www.employment.gov.au/australianjobs</w:t>
              </w:r>
            </w:hyperlink>
          </w:p>
          <w:p w:rsidR="008515A9" w:rsidRDefault="007668AD" w:rsidP="007668AD">
            <w:pPr>
              <w:pStyle w:val="ListParagraph"/>
              <w:numPr>
                <w:ilvl w:val="0"/>
                <w:numId w:val="4"/>
              </w:numPr>
              <w:spacing w:before="360" w:line="360" w:lineRule="auto"/>
              <w:ind w:left="1440"/>
            </w:pPr>
            <w:hyperlink r:id="rId33" w:history="1">
              <w:r w:rsidR="008515A9" w:rsidRPr="008515A9">
                <w:rPr>
                  <w:rStyle w:val="Hyperlink"/>
                </w:rPr>
                <w:t>www.joboutlook.gov.au</w:t>
              </w:r>
            </w:hyperlink>
          </w:p>
        </w:tc>
      </w:tr>
    </w:tbl>
    <w:p w:rsidR="00F27513" w:rsidRPr="004119E4" w:rsidRDefault="00F27513" w:rsidP="004F6FB3">
      <w:pPr>
        <w:pStyle w:val="Heading3"/>
        <w:rPr>
          <w:lang w:eastAsia="en-AU"/>
        </w:rPr>
      </w:pPr>
      <w:r w:rsidRPr="004119E4">
        <w:rPr>
          <w:lang w:eastAsia="en-AU"/>
        </w:rPr>
        <w:t>Further Information</w:t>
      </w:r>
    </w:p>
    <w:p w:rsidR="00F27513" w:rsidRDefault="00F27513" w:rsidP="00F27513">
      <w:pPr>
        <w:autoSpaceDE w:val="0"/>
        <w:autoSpaceDN w:val="0"/>
        <w:adjustRightInd w:val="0"/>
        <w:rPr>
          <w:rFonts w:ascii="Calibri" w:hAnsi="Times New Roman" w:cs="Calibri"/>
          <w:b/>
          <w:bCs/>
          <w:color w:val="000000"/>
          <w:kern w:val="24"/>
          <w:sz w:val="24"/>
          <w:szCs w:val="24"/>
          <w:u w:val="single"/>
          <w:lang w:eastAsia="en-AU"/>
        </w:rPr>
      </w:pPr>
    </w:p>
    <w:p w:rsidR="00F27513" w:rsidRDefault="00F27513" w:rsidP="00F27513">
      <w:pPr>
        <w:autoSpaceDE w:val="0"/>
        <w:autoSpaceDN w:val="0"/>
        <w:adjustRightInd w:val="0"/>
        <w:rPr>
          <w:rFonts w:ascii="Calibri" w:hAnsi="Times New Roman" w:cs="Calibri"/>
          <w:color w:val="000000"/>
          <w:kern w:val="24"/>
          <w:sz w:val="24"/>
          <w:szCs w:val="24"/>
          <w:lang w:eastAsia="en-AU"/>
        </w:rPr>
      </w:pPr>
      <w:r>
        <w:rPr>
          <w:rFonts w:ascii="Calibri" w:hAnsi="Times New Roman" w:cs="Calibri"/>
          <w:color w:val="000000"/>
          <w:kern w:val="24"/>
          <w:sz w:val="24"/>
          <w:szCs w:val="24"/>
          <w:lang w:eastAsia="en-AU"/>
        </w:rPr>
        <w:t>More information on labour market conditions and other research on small areas can be found on these websites:</w:t>
      </w:r>
    </w:p>
    <w:p w:rsidR="00F27513" w:rsidRDefault="00F27513" w:rsidP="00F27513">
      <w:pPr>
        <w:numPr>
          <w:ilvl w:val="0"/>
          <w:numId w:val="2"/>
        </w:numPr>
        <w:autoSpaceDE w:val="0"/>
        <w:autoSpaceDN w:val="0"/>
        <w:adjustRightInd w:val="0"/>
        <w:ind w:left="270" w:hanging="270"/>
        <w:rPr>
          <w:rFonts w:ascii="Calibri" w:hAnsi="Times New Roman" w:cs="Calibri"/>
          <w:color w:val="000000"/>
          <w:kern w:val="24"/>
          <w:sz w:val="24"/>
          <w:szCs w:val="24"/>
          <w:lang w:eastAsia="en-AU"/>
        </w:rPr>
      </w:pPr>
      <w:r>
        <w:rPr>
          <w:rFonts w:ascii="Calibri" w:hAnsi="Times New Roman" w:cs="Calibri"/>
          <w:color w:val="000000"/>
          <w:kern w:val="24"/>
          <w:sz w:val="24"/>
          <w:szCs w:val="24"/>
          <w:u w:val="single"/>
          <w:lang w:eastAsia="en-AU"/>
        </w:rPr>
        <w:t>www.employment.gov.au/regionalreports</w:t>
      </w:r>
    </w:p>
    <w:p w:rsidR="00F27513" w:rsidRDefault="00F27513" w:rsidP="00F27513">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www.lmip.gov.au</w:t>
      </w:r>
    </w:p>
    <w:p w:rsidR="00F27513" w:rsidRDefault="00F27513" w:rsidP="00F27513">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www.emplyoment.gov.au/SkillShortages</w:t>
      </w:r>
    </w:p>
    <w:p w:rsidR="00F27513" w:rsidRDefault="00F27513" w:rsidP="00F27513">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www.employment.gov.au/australianjobs</w:t>
      </w:r>
    </w:p>
    <w:p w:rsidR="00F27513" w:rsidRDefault="00F27513" w:rsidP="00F27513">
      <w:pPr>
        <w:numPr>
          <w:ilvl w:val="0"/>
          <w:numId w:val="2"/>
        </w:numPr>
        <w:autoSpaceDE w:val="0"/>
        <w:autoSpaceDN w:val="0"/>
        <w:adjustRightInd w:val="0"/>
        <w:ind w:left="270" w:hanging="270"/>
        <w:rPr>
          <w:rFonts w:ascii="Calibri" w:hAnsi="Calibri" w:cs="Calibri"/>
          <w:color w:val="000000"/>
          <w:kern w:val="24"/>
          <w:sz w:val="24"/>
          <w:szCs w:val="24"/>
          <w:lang w:eastAsia="en-AU"/>
        </w:rPr>
      </w:pPr>
      <w:r>
        <w:rPr>
          <w:rFonts w:ascii="Calibri" w:hAnsi="Calibri" w:cs="Calibri"/>
          <w:color w:val="000000"/>
          <w:kern w:val="24"/>
          <w:sz w:val="24"/>
          <w:szCs w:val="24"/>
          <w:u w:val="single"/>
          <w:lang w:eastAsia="en-AU"/>
        </w:rPr>
        <w:t>www.joboutlook.gov.au</w:t>
      </w: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37</w:t>
      </w:r>
    </w:p>
    <w:p w:rsidR="00DA0AF9" w:rsidRPr="00DA0AF9" w:rsidRDefault="00DA0AF9" w:rsidP="00DA0AF9"/>
    <w:tbl>
      <w:tblPr>
        <w:tblStyle w:val="TableGrid"/>
        <w:tblW w:w="0" w:type="auto"/>
        <w:tblLook w:val="04A0" w:firstRow="1" w:lastRow="0" w:firstColumn="1" w:lastColumn="0" w:noHBand="0" w:noVBand="1"/>
      </w:tblPr>
      <w:tblGrid>
        <w:gridCol w:w="9570"/>
      </w:tblGrid>
      <w:tr w:rsidR="008515A9" w:rsidRPr="007668AD" w:rsidTr="007668AD">
        <w:trPr>
          <w:trHeight w:hRule="exact" w:val="7019"/>
        </w:trPr>
        <w:tc>
          <w:tcPr>
            <w:tcW w:w="9570" w:type="dxa"/>
          </w:tcPr>
          <w:p w:rsidR="008515A9" w:rsidRPr="007668AD" w:rsidRDefault="008515A9" w:rsidP="007668AD">
            <w:pPr>
              <w:spacing w:before="1080" w:line="360" w:lineRule="auto"/>
              <w:jc w:val="center"/>
              <w:rPr>
                <w:rFonts w:asciiTheme="minorHAnsi" w:hAnsiTheme="minorHAnsi" w:cstheme="minorHAnsi"/>
                <w:sz w:val="32"/>
              </w:rPr>
            </w:pPr>
            <w:r w:rsidRPr="007668AD">
              <w:rPr>
                <w:rFonts w:asciiTheme="minorHAnsi" w:hAnsiTheme="minorHAnsi" w:cstheme="minorHAnsi"/>
                <w:sz w:val="32"/>
              </w:rPr>
              <w:t xml:space="preserve">If you have any questions about the presentation please contact the Recruitment Analysis and Employer Surveys sections on </w:t>
            </w:r>
            <w:r w:rsidRPr="007668AD">
              <w:rPr>
                <w:rFonts w:asciiTheme="minorHAnsi" w:hAnsiTheme="minorHAnsi" w:cstheme="minorHAnsi"/>
                <w:sz w:val="32"/>
                <w:u w:val="single"/>
              </w:rPr>
              <w:t>1800 059 439</w:t>
            </w:r>
            <w:r w:rsidRPr="007668AD">
              <w:rPr>
                <w:rFonts w:asciiTheme="minorHAnsi" w:hAnsiTheme="minorHAnsi" w:cstheme="minorHAnsi"/>
                <w:sz w:val="32"/>
              </w:rPr>
              <w:t xml:space="preserve"> or email </w:t>
            </w:r>
            <w:r w:rsidRPr="007668AD">
              <w:rPr>
                <w:rFonts w:asciiTheme="minorHAnsi" w:hAnsiTheme="minorHAnsi" w:cstheme="minorHAnsi"/>
                <w:sz w:val="32"/>
                <w:u w:val="single"/>
              </w:rPr>
              <w:t>recruitmentsurveys@employment.gov.au</w:t>
            </w:r>
          </w:p>
          <w:p w:rsidR="008515A9" w:rsidRPr="007668AD" w:rsidRDefault="008515A9" w:rsidP="007668AD">
            <w:pPr>
              <w:spacing w:line="360" w:lineRule="auto"/>
              <w:jc w:val="center"/>
              <w:rPr>
                <w:rFonts w:asciiTheme="minorHAnsi" w:hAnsiTheme="minorHAnsi" w:cstheme="minorHAnsi"/>
                <w:sz w:val="32"/>
              </w:rPr>
            </w:pPr>
          </w:p>
        </w:tc>
      </w:tr>
    </w:tbl>
    <w:p w:rsidR="00F27513" w:rsidRDefault="00F27513" w:rsidP="00F27513">
      <w:pPr>
        <w:spacing w:line="360" w:lineRule="auto"/>
        <w:jc w:val="center"/>
      </w:pPr>
    </w:p>
    <w:p w:rsidR="00F27513" w:rsidRPr="004119E4" w:rsidRDefault="00F27513" w:rsidP="00F27513">
      <w:pPr>
        <w:spacing w:line="360" w:lineRule="auto"/>
        <w:jc w:val="center"/>
        <w:rPr>
          <w:rFonts w:asciiTheme="minorHAnsi" w:hAnsiTheme="minorHAnsi" w:cstheme="minorHAnsi"/>
        </w:rPr>
      </w:pPr>
    </w:p>
    <w:p w:rsidR="00F27513" w:rsidRPr="004119E4" w:rsidRDefault="00F27513" w:rsidP="00F27513">
      <w:pPr>
        <w:autoSpaceDE w:val="0"/>
        <w:autoSpaceDN w:val="0"/>
        <w:adjustRightInd w:val="0"/>
        <w:rPr>
          <w:rFonts w:asciiTheme="minorHAnsi" w:hAnsiTheme="minorHAnsi" w:cstheme="minorHAnsi"/>
          <w:color w:val="0070C0"/>
          <w:kern w:val="24"/>
          <w:sz w:val="24"/>
          <w:szCs w:val="24"/>
          <w:u w:val="single"/>
          <w:lang w:eastAsia="en-AU"/>
        </w:rPr>
      </w:pPr>
      <w:r w:rsidRPr="004119E4">
        <w:rPr>
          <w:rFonts w:asciiTheme="minorHAnsi" w:hAnsiTheme="minorHAnsi" w:cstheme="minorHAnsi"/>
          <w:color w:val="000000"/>
          <w:kern w:val="24"/>
          <w:sz w:val="24"/>
          <w:szCs w:val="24"/>
          <w:lang w:eastAsia="en-AU"/>
        </w:rPr>
        <w:t xml:space="preserve">If you have any questions about the presentation please contact the Recruitment Analysis and Employer Surveys sections on </w:t>
      </w:r>
      <w:r w:rsidRPr="004119E4">
        <w:rPr>
          <w:rFonts w:asciiTheme="minorHAnsi" w:hAnsiTheme="minorHAnsi" w:cstheme="minorHAnsi"/>
          <w:color w:val="0070C0"/>
          <w:kern w:val="24"/>
          <w:sz w:val="24"/>
          <w:szCs w:val="24"/>
          <w:u w:val="single"/>
          <w:lang w:eastAsia="en-AU"/>
        </w:rPr>
        <w:t>1800 059 439</w:t>
      </w:r>
      <w:r w:rsidRPr="004119E4">
        <w:rPr>
          <w:rFonts w:asciiTheme="minorHAnsi" w:hAnsiTheme="minorHAnsi" w:cstheme="minorHAnsi"/>
          <w:color w:val="0070C0"/>
          <w:kern w:val="24"/>
          <w:sz w:val="24"/>
          <w:szCs w:val="24"/>
          <w:lang w:eastAsia="en-AU"/>
        </w:rPr>
        <w:t xml:space="preserve"> </w:t>
      </w:r>
      <w:r w:rsidRPr="004119E4">
        <w:rPr>
          <w:rFonts w:asciiTheme="minorHAnsi" w:hAnsiTheme="minorHAnsi" w:cstheme="minorHAnsi"/>
          <w:color w:val="000000"/>
          <w:kern w:val="24"/>
          <w:sz w:val="24"/>
          <w:szCs w:val="24"/>
          <w:lang w:eastAsia="en-AU"/>
        </w:rPr>
        <w:t xml:space="preserve">or email </w:t>
      </w:r>
      <w:r w:rsidRPr="004119E4">
        <w:rPr>
          <w:rFonts w:asciiTheme="minorHAnsi" w:hAnsiTheme="minorHAnsi" w:cstheme="minorHAnsi"/>
          <w:color w:val="0070C0"/>
          <w:kern w:val="24"/>
          <w:sz w:val="24"/>
          <w:szCs w:val="24"/>
          <w:u w:val="single"/>
          <w:lang w:eastAsia="en-AU"/>
        </w:rPr>
        <w:t>recruitmentsurveys@employment.gov.au</w:t>
      </w:r>
    </w:p>
    <w:p w:rsidR="00F27513" w:rsidRDefault="00F27513" w:rsidP="00F27513">
      <w:pPr>
        <w:autoSpaceDE w:val="0"/>
        <w:autoSpaceDN w:val="0"/>
        <w:adjustRightInd w:val="0"/>
        <w:rPr>
          <w:rFonts w:ascii="Calibri" w:hAnsi="Calibri" w:cs="Calibri"/>
          <w:color w:val="000000"/>
          <w:kern w:val="24"/>
          <w:sz w:val="24"/>
          <w:szCs w:val="24"/>
          <w:lang w:eastAsia="en-AU"/>
        </w:rPr>
      </w:pPr>
    </w:p>
    <w:p w:rsidR="00F27513" w:rsidRDefault="00F27513" w:rsidP="00F27513">
      <w:pPr>
        <w:autoSpaceDE w:val="0"/>
        <w:autoSpaceDN w:val="0"/>
        <w:adjustRightInd w:val="0"/>
        <w:rPr>
          <w:rFonts w:cs="Arial"/>
          <w:sz w:val="24"/>
          <w:szCs w:val="24"/>
          <w:lang w:eastAsia="en-AU"/>
        </w:rPr>
      </w:pPr>
    </w:p>
    <w:p w:rsidR="00F27513" w:rsidRDefault="00F27513" w:rsidP="00F27513">
      <w:pPr>
        <w:spacing w:line="360" w:lineRule="auto"/>
      </w:pPr>
    </w:p>
    <w:p w:rsidR="00F27513" w:rsidRDefault="00F27513">
      <w:r>
        <w:br w:type="page"/>
      </w:r>
    </w:p>
    <w:p w:rsidR="00F27513" w:rsidRDefault="00F27513" w:rsidP="007668AD">
      <w:pPr>
        <w:pStyle w:val="Heading1"/>
      </w:pPr>
      <w:r>
        <w:lastRenderedPageBreak/>
        <w:t>Slide 38</w:t>
      </w:r>
    </w:p>
    <w:p w:rsidR="00F27513" w:rsidRDefault="007668AD" w:rsidP="00F27513">
      <w:pPr>
        <w:spacing w:line="360" w:lineRule="auto"/>
        <w:jc w:val="center"/>
      </w:pPr>
      <w:r>
        <w:rPr>
          <w:noProof/>
          <w:lang w:eastAsia="en-AU"/>
        </w:rPr>
        <w:drawing>
          <wp:inline distT="0" distB="0" distL="0" distR="0">
            <wp:extent cx="5939790" cy="4455160"/>
            <wp:effectExtent l="19050" t="19050" r="22860" b="21590"/>
            <wp:docPr id="21" name="Picture 21" descr="Australia Government Department of Employ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3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9790" cy="4455160"/>
                    </a:xfrm>
                    <a:prstGeom prst="rect">
                      <a:avLst/>
                    </a:prstGeom>
                    <a:ln>
                      <a:solidFill>
                        <a:schemeClr val="tx1"/>
                      </a:solidFill>
                    </a:ln>
                  </pic:spPr>
                </pic:pic>
              </a:graphicData>
            </a:graphic>
          </wp:inline>
        </w:drawing>
      </w:r>
    </w:p>
    <w:p w:rsidR="00F27513" w:rsidRDefault="00F27513" w:rsidP="00F27513">
      <w:pPr>
        <w:spacing w:line="360" w:lineRule="auto"/>
        <w:jc w:val="center"/>
      </w:pPr>
    </w:p>
    <w:p w:rsidR="00F27513" w:rsidRDefault="00F27513" w:rsidP="00F27513">
      <w:pPr>
        <w:spacing w:line="360" w:lineRule="auto"/>
      </w:pPr>
    </w:p>
    <w:p w:rsidR="00F27513" w:rsidRDefault="00F27513" w:rsidP="00F27513">
      <w:pPr>
        <w:spacing w:line="360" w:lineRule="auto"/>
      </w:pPr>
    </w:p>
    <w:sectPr w:rsidR="00F27513" w:rsidSect="00B4410E">
      <w:headerReference w:type="even" r:id="rId35"/>
      <w:headerReference w:type="default" r:id="rId36"/>
      <w:footerReference w:type="even" r:id="rId37"/>
      <w:footerReference w:type="default" r:id="rId38"/>
      <w:headerReference w:type="first" r:id="rId39"/>
      <w:footerReference w:type="first" r:id="rId40"/>
      <w:pgSz w:w="11906" w:h="16838" w:code="9"/>
      <w:pgMar w:top="1418" w:right="1134" w:bottom="1418" w:left="141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8AD" w:rsidRDefault="007668AD" w:rsidP="007668AD">
      <w:r>
        <w:separator/>
      </w:r>
    </w:p>
  </w:endnote>
  <w:endnote w:type="continuationSeparator" w:id="0">
    <w:p w:rsidR="007668AD" w:rsidRDefault="007668AD" w:rsidP="00766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8AD" w:rsidRDefault="007668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8AD" w:rsidRDefault="007668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8AD" w:rsidRDefault="007668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8AD" w:rsidRDefault="007668AD" w:rsidP="007668AD">
      <w:r>
        <w:separator/>
      </w:r>
    </w:p>
  </w:footnote>
  <w:footnote w:type="continuationSeparator" w:id="0">
    <w:p w:rsidR="007668AD" w:rsidRDefault="007668AD" w:rsidP="007668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8AD" w:rsidRDefault="007668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8AD" w:rsidRDefault="007668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8AD" w:rsidRDefault="007668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DE62E46"/>
    <w:lvl w:ilvl="0">
      <w:numFmt w:val="bullet"/>
      <w:lvlText w:val="*"/>
      <w:lvlJc w:val="left"/>
    </w:lvl>
  </w:abstractNum>
  <w:abstractNum w:abstractNumId="1">
    <w:nsid w:val="080E3726"/>
    <w:multiLevelType w:val="hybridMultilevel"/>
    <w:tmpl w:val="3280DEDC"/>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
    <w:nsid w:val="1286511E"/>
    <w:multiLevelType w:val="hybridMultilevel"/>
    <w:tmpl w:val="FB3CD2F4"/>
    <w:lvl w:ilvl="0" w:tplc="E9F6FEEA">
      <w:start w:val="3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D7F5511"/>
    <w:multiLevelType w:val="hybridMultilevel"/>
    <w:tmpl w:val="7BF867AA"/>
    <w:lvl w:ilvl="0" w:tplc="2DE62E46">
      <w:numFmt w:val="bullet"/>
      <w:lvlText w:val="-"/>
      <w:lvlJc w:val="left"/>
      <w:pPr>
        <w:ind w:left="1490" w:hanging="360"/>
      </w:pPr>
      <w:rPr>
        <w:rFonts w:ascii="Calibri" w:hAnsi="Calibri" w:cs="Calibri" w:hint="default"/>
        <w:sz w:val="24"/>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4">
    <w:nsid w:val="26943916"/>
    <w:multiLevelType w:val="hybridMultilevel"/>
    <w:tmpl w:val="BA061B5E"/>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nsid w:val="280C7CC9"/>
    <w:multiLevelType w:val="hybridMultilevel"/>
    <w:tmpl w:val="557AAD60"/>
    <w:lvl w:ilvl="0" w:tplc="1E864CD0">
      <w:start w:val="37"/>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BF45909"/>
    <w:multiLevelType w:val="hybridMultilevel"/>
    <w:tmpl w:val="178A4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1CA58E9"/>
    <w:multiLevelType w:val="hybridMultilevel"/>
    <w:tmpl w:val="EB165F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5C1A2C48"/>
    <w:multiLevelType w:val="hybridMultilevel"/>
    <w:tmpl w:val="41D4D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E970718"/>
    <w:multiLevelType w:val="hybridMultilevel"/>
    <w:tmpl w:val="CF44F150"/>
    <w:lvl w:ilvl="0" w:tplc="2DE62E46">
      <w:numFmt w:val="bullet"/>
      <w:lvlText w:val="-"/>
      <w:lvlJc w:val="left"/>
      <w:pPr>
        <w:ind w:left="1353" w:hanging="360"/>
      </w:pPr>
      <w:rPr>
        <w:rFonts w:ascii="Calibri" w:hAnsi="Calibri" w:cs="Calibri" w:hint="default"/>
        <w:sz w:val="24"/>
      </w:rPr>
    </w:lvl>
    <w:lvl w:ilvl="1" w:tplc="0C090003" w:tentative="1">
      <w:start w:val="1"/>
      <w:numFmt w:val="bullet"/>
      <w:lvlText w:val="o"/>
      <w:lvlJc w:val="left"/>
      <w:pPr>
        <w:ind w:left="2073" w:hanging="360"/>
      </w:pPr>
      <w:rPr>
        <w:rFonts w:ascii="Courier New" w:hAnsi="Courier New" w:cs="Courier New" w:hint="default"/>
      </w:rPr>
    </w:lvl>
    <w:lvl w:ilvl="2" w:tplc="0C090005" w:tentative="1">
      <w:start w:val="1"/>
      <w:numFmt w:val="bullet"/>
      <w:lvlText w:val=""/>
      <w:lvlJc w:val="left"/>
      <w:pPr>
        <w:ind w:left="2793" w:hanging="360"/>
      </w:pPr>
      <w:rPr>
        <w:rFonts w:ascii="Wingdings" w:hAnsi="Wingdings" w:hint="default"/>
      </w:rPr>
    </w:lvl>
    <w:lvl w:ilvl="3" w:tplc="0C090001" w:tentative="1">
      <w:start w:val="1"/>
      <w:numFmt w:val="bullet"/>
      <w:lvlText w:val=""/>
      <w:lvlJc w:val="left"/>
      <w:pPr>
        <w:ind w:left="3513" w:hanging="360"/>
      </w:pPr>
      <w:rPr>
        <w:rFonts w:ascii="Symbol" w:hAnsi="Symbol" w:hint="default"/>
      </w:rPr>
    </w:lvl>
    <w:lvl w:ilvl="4" w:tplc="0C090003" w:tentative="1">
      <w:start w:val="1"/>
      <w:numFmt w:val="bullet"/>
      <w:lvlText w:val="o"/>
      <w:lvlJc w:val="left"/>
      <w:pPr>
        <w:ind w:left="4233" w:hanging="360"/>
      </w:pPr>
      <w:rPr>
        <w:rFonts w:ascii="Courier New" w:hAnsi="Courier New" w:cs="Courier New" w:hint="default"/>
      </w:rPr>
    </w:lvl>
    <w:lvl w:ilvl="5" w:tplc="0C090005" w:tentative="1">
      <w:start w:val="1"/>
      <w:numFmt w:val="bullet"/>
      <w:lvlText w:val=""/>
      <w:lvlJc w:val="left"/>
      <w:pPr>
        <w:ind w:left="4953" w:hanging="360"/>
      </w:pPr>
      <w:rPr>
        <w:rFonts w:ascii="Wingdings" w:hAnsi="Wingdings" w:hint="default"/>
      </w:rPr>
    </w:lvl>
    <w:lvl w:ilvl="6" w:tplc="0C090001" w:tentative="1">
      <w:start w:val="1"/>
      <w:numFmt w:val="bullet"/>
      <w:lvlText w:val=""/>
      <w:lvlJc w:val="left"/>
      <w:pPr>
        <w:ind w:left="5673" w:hanging="360"/>
      </w:pPr>
      <w:rPr>
        <w:rFonts w:ascii="Symbol" w:hAnsi="Symbol" w:hint="default"/>
      </w:rPr>
    </w:lvl>
    <w:lvl w:ilvl="7" w:tplc="0C090003" w:tentative="1">
      <w:start w:val="1"/>
      <w:numFmt w:val="bullet"/>
      <w:lvlText w:val="o"/>
      <w:lvlJc w:val="left"/>
      <w:pPr>
        <w:ind w:left="6393" w:hanging="360"/>
      </w:pPr>
      <w:rPr>
        <w:rFonts w:ascii="Courier New" w:hAnsi="Courier New" w:cs="Courier New" w:hint="default"/>
      </w:rPr>
    </w:lvl>
    <w:lvl w:ilvl="8" w:tplc="0C090005" w:tentative="1">
      <w:start w:val="1"/>
      <w:numFmt w:val="bullet"/>
      <w:lvlText w:val=""/>
      <w:lvlJc w:val="left"/>
      <w:pPr>
        <w:ind w:left="7113" w:hanging="360"/>
      </w:pPr>
      <w:rPr>
        <w:rFonts w:ascii="Wingdings" w:hAnsi="Wingdings" w:hint="default"/>
      </w:rPr>
    </w:lvl>
  </w:abstractNum>
  <w:abstractNum w:abstractNumId="10">
    <w:nsid w:val="6C3B63D4"/>
    <w:multiLevelType w:val="hybridMultilevel"/>
    <w:tmpl w:val="1B7A5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EFA4B96"/>
    <w:multiLevelType w:val="hybridMultilevel"/>
    <w:tmpl w:val="02A25B00"/>
    <w:lvl w:ilvl="0" w:tplc="8D7C6D06">
      <w:start w:val="1"/>
      <w:numFmt w:val="bullet"/>
      <w:lvlText w:val="–"/>
      <w:lvlJc w:val="left"/>
      <w:pPr>
        <w:tabs>
          <w:tab w:val="num" w:pos="720"/>
        </w:tabs>
        <w:ind w:left="720" w:hanging="360"/>
      </w:pPr>
      <w:rPr>
        <w:rFonts w:ascii="Arial" w:hAnsi="Arial" w:hint="default"/>
      </w:rPr>
    </w:lvl>
    <w:lvl w:ilvl="1" w:tplc="117C4230">
      <w:start w:val="1"/>
      <w:numFmt w:val="bullet"/>
      <w:lvlText w:val="–"/>
      <w:lvlJc w:val="left"/>
      <w:pPr>
        <w:tabs>
          <w:tab w:val="num" w:pos="1440"/>
        </w:tabs>
        <w:ind w:left="1440" w:hanging="360"/>
      </w:pPr>
      <w:rPr>
        <w:rFonts w:ascii="Arial" w:hAnsi="Arial" w:hint="default"/>
      </w:rPr>
    </w:lvl>
    <w:lvl w:ilvl="2" w:tplc="C178B420" w:tentative="1">
      <w:start w:val="1"/>
      <w:numFmt w:val="bullet"/>
      <w:lvlText w:val="–"/>
      <w:lvlJc w:val="left"/>
      <w:pPr>
        <w:tabs>
          <w:tab w:val="num" w:pos="2160"/>
        </w:tabs>
        <w:ind w:left="2160" w:hanging="360"/>
      </w:pPr>
      <w:rPr>
        <w:rFonts w:ascii="Arial" w:hAnsi="Arial" w:hint="default"/>
      </w:rPr>
    </w:lvl>
    <w:lvl w:ilvl="3" w:tplc="B8EE06BA" w:tentative="1">
      <w:start w:val="1"/>
      <w:numFmt w:val="bullet"/>
      <w:lvlText w:val="–"/>
      <w:lvlJc w:val="left"/>
      <w:pPr>
        <w:tabs>
          <w:tab w:val="num" w:pos="2880"/>
        </w:tabs>
        <w:ind w:left="2880" w:hanging="360"/>
      </w:pPr>
      <w:rPr>
        <w:rFonts w:ascii="Arial" w:hAnsi="Arial" w:hint="default"/>
      </w:rPr>
    </w:lvl>
    <w:lvl w:ilvl="4" w:tplc="90B85FA2" w:tentative="1">
      <w:start w:val="1"/>
      <w:numFmt w:val="bullet"/>
      <w:lvlText w:val="–"/>
      <w:lvlJc w:val="left"/>
      <w:pPr>
        <w:tabs>
          <w:tab w:val="num" w:pos="3600"/>
        </w:tabs>
        <w:ind w:left="3600" w:hanging="360"/>
      </w:pPr>
      <w:rPr>
        <w:rFonts w:ascii="Arial" w:hAnsi="Arial" w:hint="default"/>
      </w:rPr>
    </w:lvl>
    <w:lvl w:ilvl="5" w:tplc="4D32CF5E" w:tentative="1">
      <w:start w:val="1"/>
      <w:numFmt w:val="bullet"/>
      <w:lvlText w:val="–"/>
      <w:lvlJc w:val="left"/>
      <w:pPr>
        <w:tabs>
          <w:tab w:val="num" w:pos="4320"/>
        </w:tabs>
        <w:ind w:left="4320" w:hanging="360"/>
      </w:pPr>
      <w:rPr>
        <w:rFonts w:ascii="Arial" w:hAnsi="Arial" w:hint="default"/>
      </w:rPr>
    </w:lvl>
    <w:lvl w:ilvl="6" w:tplc="ECF299CA" w:tentative="1">
      <w:start w:val="1"/>
      <w:numFmt w:val="bullet"/>
      <w:lvlText w:val="–"/>
      <w:lvlJc w:val="left"/>
      <w:pPr>
        <w:tabs>
          <w:tab w:val="num" w:pos="5040"/>
        </w:tabs>
        <w:ind w:left="5040" w:hanging="360"/>
      </w:pPr>
      <w:rPr>
        <w:rFonts w:ascii="Arial" w:hAnsi="Arial" w:hint="default"/>
      </w:rPr>
    </w:lvl>
    <w:lvl w:ilvl="7" w:tplc="56EAE27C" w:tentative="1">
      <w:start w:val="1"/>
      <w:numFmt w:val="bullet"/>
      <w:lvlText w:val="–"/>
      <w:lvlJc w:val="left"/>
      <w:pPr>
        <w:tabs>
          <w:tab w:val="num" w:pos="5760"/>
        </w:tabs>
        <w:ind w:left="5760" w:hanging="360"/>
      </w:pPr>
      <w:rPr>
        <w:rFonts w:ascii="Arial" w:hAnsi="Arial" w:hint="default"/>
      </w:rPr>
    </w:lvl>
    <w:lvl w:ilvl="8" w:tplc="64D6FD38" w:tentative="1">
      <w:start w:val="1"/>
      <w:numFmt w:val="bullet"/>
      <w:lvlText w:val="–"/>
      <w:lvlJc w:val="left"/>
      <w:pPr>
        <w:tabs>
          <w:tab w:val="num" w:pos="6480"/>
        </w:tabs>
        <w:ind w:left="6480" w:hanging="360"/>
      </w:pPr>
      <w:rPr>
        <w:rFonts w:ascii="Arial" w:hAnsi="Arial" w:hint="default"/>
      </w:rPr>
    </w:lvl>
  </w:abstractNum>
  <w:abstractNum w:abstractNumId="12">
    <w:nsid w:val="72B60566"/>
    <w:multiLevelType w:val="hybridMultilevel"/>
    <w:tmpl w:val="CF045592"/>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3">
    <w:nsid w:val="72E34F70"/>
    <w:multiLevelType w:val="hybridMultilevel"/>
    <w:tmpl w:val="A7108530"/>
    <w:lvl w:ilvl="0" w:tplc="1C0688D0">
      <w:start w:val="1"/>
      <w:numFmt w:val="bullet"/>
      <w:lvlText w:val="•"/>
      <w:lvlJc w:val="left"/>
      <w:pPr>
        <w:tabs>
          <w:tab w:val="num" w:pos="720"/>
        </w:tabs>
        <w:ind w:left="720" w:hanging="360"/>
      </w:pPr>
      <w:rPr>
        <w:rFonts w:ascii="Arial" w:hAnsi="Arial" w:hint="default"/>
      </w:rPr>
    </w:lvl>
    <w:lvl w:ilvl="1" w:tplc="09DC9EEE" w:tentative="1">
      <w:start w:val="1"/>
      <w:numFmt w:val="bullet"/>
      <w:lvlText w:val="•"/>
      <w:lvlJc w:val="left"/>
      <w:pPr>
        <w:tabs>
          <w:tab w:val="num" w:pos="1440"/>
        </w:tabs>
        <w:ind w:left="1440" w:hanging="360"/>
      </w:pPr>
      <w:rPr>
        <w:rFonts w:ascii="Arial" w:hAnsi="Arial" w:hint="default"/>
      </w:rPr>
    </w:lvl>
    <w:lvl w:ilvl="2" w:tplc="AFC81090" w:tentative="1">
      <w:start w:val="1"/>
      <w:numFmt w:val="bullet"/>
      <w:lvlText w:val="•"/>
      <w:lvlJc w:val="left"/>
      <w:pPr>
        <w:tabs>
          <w:tab w:val="num" w:pos="2160"/>
        </w:tabs>
        <w:ind w:left="2160" w:hanging="360"/>
      </w:pPr>
      <w:rPr>
        <w:rFonts w:ascii="Arial" w:hAnsi="Arial" w:hint="default"/>
      </w:rPr>
    </w:lvl>
    <w:lvl w:ilvl="3" w:tplc="A4C80706" w:tentative="1">
      <w:start w:val="1"/>
      <w:numFmt w:val="bullet"/>
      <w:lvlText w:val="•"/>
      <w:lvlJc w:val="left"/>
      <w:pPr>
        <w:tabs>
          <w:tab w:val="num" w:pos="2880"/>
        </w:tabs>
        <w:ind w:left="2880" w:hanging="360"/>
      </w:pPr>
      <w:rPr>
        <w:rFonts w:ascii="Arial" w:hAnsi="Arial" w:hint="default"/>
      </w:rPr>
    </w:lvl>
    <w:lvl w:ilvl="4" w:tplc="C85E670C" w:tentative="1">
      <w:start w:val="1"/>
      <w:numFmt w:val="bullet"/>
      <w:lvlText w:val="•"/>
      <w:lvlJc w:val="left"/>
      <w:pPr>
        <w:tabs>
          <w:tab w:val="num" w:pos="3600"/>
        </w:tabs>
        <w:ind w:left="3600" w:hanging="360"/>
      </w:pPr>
      <w:rPr>
        <w:rFonts w:ascii="Arial" w:hAnsi="Arial" w:hint="default"/>
      </w:rPr>
    </w:lvl>
    <w:lvl w:ilvl="5" w:tplc="B596D866" w:tentative="1">
      <w:start w:val="1"/>
      <w:numFmt w:val="bullet"/>
      <w:lvlText w:val="•"/>
      <w:lvlJc w:val="left"/>
      <w:pPr>
        <w:tabs>
          <w:tab w:val="num" w:pos="4320"/>
        </w:tabs>
        <w:ind w:left="4320" w:hanging="360"/>
      </w:pPr>
      <w:rPr>
        <w:rFonts w:ascii="Arial" w:hAnsi="Arial" w:hint="default"/>
      </w:rPr>
    </w:lvl>
    <w:lvl w:ilvl="6" w:tplc="5040329A" w:tentative="1">
      <w:start w:val="1"/>
      <w:numFmt w:val="bullet"/>
      <w:lvlText w:val="•"/>
      <w:lvlJc w:val="left"/>
      <w:pPr>
        <w:tabs>
          <w:tab w:val="num" w:pos="5040"/>
        </w:tabs>
        <w:ind w:left="5040" w:hanging="360"/>
      </w:pPr>
      <w:rPr>
        <w:rFonts w:ascii="Arial" w:hAnsi="Arial" w:hint="default"/>
      </w:rPr>
    </w:lvl>
    <w:lvl w:ilvl="7" w:tplc="962A61E4" w:tentative="1">
      <w:start w:val="1"/>
      <w:numFmt w:val="bullet"/>
      <w:lvlText w:val="•"/>
      <w:lvlJc w:val="left"/>
      <w:pPr>
        <w:tabs>
          <w:tab w:val="num" w:pos="5760"/>
        </w:tabs>
        <w:ind w:left="5760" w:hanging="360"/>
      </w:pPr>
      <w:rPr>
        <w:rFonts w:ascii="Arial" w:hAnsi="Arial" w:hint="default"/>
      </w:rPr>
    </w:lvl>
    <w:lvl w:ilvl="8" w:tplc="F24ABA54" w:tentative="1">
      <w:start w:val="1"/>
      <w:numFmt w:val="bullet"/>
      <w:lvlText w:val="•"/>
      <w:lvlJc w:val="left"/>
      <w:pPr>
        <w:tabs>
          <w:tab w:val="num" w:pos="6480"/>
        </w:tabs>
        <w:ind w:left="6480" w:hanging="360"/>
      </w:pPr>
      <w:rPr>
        <w:rFonts w:ascii="Arial" w:hAnsi="Arial" w:hint="default"/>
      </w:rPr>
    </w:lvl>
  </w:abstractNum>
  <w:abstractNum w:abstractNumId="14">
    <w:nsid w:val="7DDD64E7"/>
    <w:multiLevelType w:val="hybridMultilevel"/>
    <w:tmpl w:val="FBA211E2"/>
    <w:lvl w:ilvl="0" w:tplc="0C090003">
      <w:start w:val="1"/>
      <w:numFmt w:val="bullet"/>
      <w:lvlText w:val="o"/>
      <w:lvlJc w:val="left"/>
      <w:pPr>
        <w:ind w:left="927" w:hanging="360"/>
      </w:pPr>
      <w:rPr>
        <w:rFonts w:ascii="Courier New" w:hAnsi="Courier New" w:cs="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Calibri" w:hAnsi="Calibri" w:cs="Calibri" w:hint="default"/>
          <w:sz w:val="24"/>
        </w:rPr>
      </w:lvl>
    </w:lvlOverride>
  </w:num>
  <w:num w:numId="4">
    <w:abstractNumId w:val="0"/>
    <w:lvlOverride w:ilvl="0">
      <w:lvl w:ilvl="0">
        <w:numFmt w:val="bullet"/>
        <w:lvlText w:val="–"/>
        <w:lvlJc w:val="left"/>
        <w:pPr>
          <w:ind w:left="720" w:hanging="360"/>
        </w:pPr>
        <w:rPr>
          <w:rFonts w:ascii="Calibri" w:hAnsi="Calibri" w:cs="Calibri" w:hint="default"/>
          <w:sz w:val="24"/>
        </w:rPr>
      </w:lvl>
    </w:lvlOverride>
  </w:num>
  <w:num w:numId="5">
    <w:abstractNumId w:val="0"/>
    <w:lvlOverride w:ilvl="0">
      <w:lvl w:ilvl="0">
        <w:numFmt w:val="bullet"/>
        <w:lvlText w:val="o"/>
        <w:legacy w:legacy="1" w:legacySpace="0" w:legacyIndent="0"/>
        <w:lvlJc w:val="left"/>
        <w:rPr>
          <w:rFonts w:ascii="Courier New" w:hAnsi="Courier New" w:cs="Courier New" w:hint="default"/>
          <w:sz w:val="24"/>
        </w:rPr>
      </w:lvl>
    </w:lvlOverride>
  </w:num>
  <w:num w:numId="6">
    <w:abstractNumId w:val="5"/>
  </w:num>
  <w:num w:numId="7">
    <w:abstractNumId w:val="2"/>
  </w:num>
  <w:num w:numId="8">
    <w:abstractNumId w:val="13"/>
  </w:num>
  <w:num w:numId="9">
    <w:abstractNumId w:val="7"/>
  </w:num>
  <w:num w:numId="10">
    <w:abstractNumId w:val="9"/>
  </w:num>
  <w:num w:numId="11">
    <w:abstractNumId w:val="8"/>
  </w:num>
  <w:num w:numId="12">
    <w:abstractNumId w:val="10"/>
  </w:num>
  <w:num w:numId="13">
    <w:abstractNumId w:val="3"/>
  </w:num>
  <w:num w:numId="14">
    <w:abstractNumId w:val="6"/>
  </w:num>
  <w:num w:numId="15">
    <w:abstractNumId w:val="12"/>
  </w:num>
  <w:num w:numId="16">
    <w:abstractNumId w:val="14"/>
  </w:num>
  <w:num w:numId="17">
    <w:abstractNumId w:val="4"/>
  </w:num>
  <w:num w:numId="18">
    <w:abstractNumId w:val="1"/>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F27513"/>
    <w:rsid w:val="0004065C"/>
    <w:rsid w:val="00073AB7"/>
    <w:rsid w:val="00097EC9"/>
    <w:rsid w:val="001004F6"/>
    <w:rsid w:val="001176E6"/>
    <w:rsid w:val="00163C07"/>
    <w:rsid w:val="001961DD"/>
    <w:rsid w:val="002E6F2D"/>
    <w:rsid w:val="002F1147"/>
    <w:rsid w:val="0030015A"/>
    <w:rsid w:val="00333689"/>
    <w:rsid w:val="00401903"/>
    <w:rsid w:val="004119E4"/>
    <w:rsid w:val="00495346"/>
    <w:rsid w:val="004F6FB3"/>
    <w:rsid w:val="00581B5A"/>
    <w:rsid w:val="005C210C"/>
    <w:rsid w:val="005D236C"/>
    <w:rsid w:val="00655694"/>
    <w:rsid w:val="00737AB0"/>
    <w:rsid w:val="00744E1A"/>
    <w:rsid w:val="007668AD"/>
    <w:rsid w:val="007D76ED"/>
    <w:rsid w:val="008515A9"/>
    <w:rsid w:val="008628A8"/>
    <w:rsid w:val="008C371E"/>
    <w:rsid w:val="008C672C"/>
    <w:rsid w:val="00936612"/>
    <w:rsid w:val="009A0A17"/>
    <w:rsid w:val="00A35BAC"/>
    <w:rsid w:val="00A73341"/>
    <w:rsid w:val="00AE601D"/>
    <w:rsid w:val="00B11517"/>
    <w:rsid w:val="00B4410E"/>
    <w:rsid w:val="00BB2B5F"/>
    <w:rsid w:val="00BE1BC0"/>
    <w:rsid w:val="00C056B9"/>
    <w:rsid w:val="00C149E0"/>
    <w:rsid w:val="00C33FD8"/>
    <w:rsid w:val="00CD7F7F"/>
    <w:rsid w:val="00CF2AB3"/>
    <w:rsid w:val="00D03A11"/>
    <w:rsid w:val="00D876EE"/>
    <w:rsid w:val="00DA0AF9"/>
    <w:rsid w:val="00DD319C"/>
    <w:rsid w:val="00DD5AEA"/>
    <w:rsid w:val="00DF57F6"/>
    <w:rsid w:val="00E65DE5"/>
    <w:rsid w:val="00EC20BB"/>
    <w:rsid w:val="00F167D9"/>
    <w:rsid w:val="00F27513"/>
    <w:rsid w:val="00F80A07"/>
    <w:rsid w:val="00FA7DC2"/>
    <w:rsid w:val="00FC7F98"/>
    <w:rsid w:val="00FD16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7668AD"/>
    <w:pPr>
      <w:keepNext/>
      <w:spacing w:before="240" w:after="60"/>
      <w:outlineLvl w:val="0"/>
    </w:pPr>
    <w:rPr>
      <w:rFonts w:ascii="Calibri" w:eastAsia="Batang" w:hAnsi="Calibri" w:cs="Arial"/>
      <w:bCs/>
      <w:sz w:val="24"/>
      <w:szCs w:val="32"/>
    </w:rPr>
  </w:style>
  <w:style w:type="paragraph" w:styleId="Heading2">
    <w:name w:val="heading 2"/>
    <w:basedOn w:val="Normal"/>
    <w:next w:val="Normal"/>
    <w:qFormat/>
    <w:rsid w:val="007668AD"/>
    <w:pPr>
      <w:keepNext/>
      <w:spacing w:before="240" w:after="60"/>
      <w:outlineLvl w:val="1"/>
    </w:pPr>
    <w:rPr>
      <w:rFonts w:ascii="Calibri" w:hAnsi="Calibri" w:cs="Arial"/>
      <w:bCs/>
      <w:iCs/>
      <w:sz w:val="24"/>
      <w:szCs w:val="28"/>
    </w:rPr>
  </w:style>
  <w:style w:type="paragraph" w:styleId="Heading3">
    <w:name w:val="heading 3"/>
    <w:basedOn w:val="Normal"/>
    <w:next w:val="Normal"/>
    <w:qFormat/>
    <w:rsid w:val="002E6F2D"/>
    <w:pPr>
      <w:keepNext/>
      <w:spacing w:before="240" w:after="60"/>
      <w:outlineLvl w:val="2"/>
    </w:pPr>
    <w:rPr>
      <w:rFonts w:asciiTheme="minorHAnsi" w:hAnsiTheme="minorHAnsi" w:cs="Arial"/>
      <w:b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table" w:styleId="TableGrid">
    <w:name w:val="Table Grid"/>
    <w:basedOn w:val="TableNormal"/>
    <w:uiPriority w:val="59"/>
    <w:rsid w:val="00B11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319C"/>
    <w:rPr>
      <w:rFonts w:ascii="Tahoma" w:hAnsi="Tahoma" w:cs="Tahoma"/>
      <w:sz w:val="16"/>
      <w:szCs w:val="16"/>
    </w:rPr>
  </w:style>
  <w:style w:type="character" w:customStyle="1" w:styleId="BalloonTextChar">
    <w:name w:val="Balloon Text Char"/>
    <w:basedOn w:val="DefaultParagraphFont"/>
    <w:link w:val="BalloonText"/>
    <w:uiPriority w:val="99"/>
    <w:semiHidden/>
    <w:rsid w:val="00DD319C"/>
    <w:rPr>
      <w:rFonts w:ascii="Tahoma" w:hAnsi="Tahoma" w:cs="Tahoma"/>
      <w:sz w:val="16"/>
      <w:szCs w:val="16"/>
      <w:lang w:eastAsia="en-US"/>
    </w:rPr>
  </w:style>
  <w:style w:type="paragraph" w:styleId="NormalWeb">
    <w:name w:val="Normal (Web)"/>
    <w:basedOn w:val="Normal"/>
    <w:uiPriority w:val="99"/>
    <w:unhideWhenUsed/>
    <w:rsid w:val="00DD319C"/>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936612"/>
    <w:pPr>
      <w:ind w:left="720"/>
      <w:contextualSpacing/>
    </w:pPr>
  </w:style>
  <w:style w:type="character" w:styleId="Hyperlink">
    <w:name w:val="Hyperlink"/>
    <w:basedOn w:val="DefaultParagraphFont"/>
    <w:uiPriority w:val="99"/>
    <w:unhideWhenUsed/>
    <w:rsid w:val="008515A9"/>
    <w:rPr>
      <w:color w:val="0000FF" w:themeColor="hyperlink"/>
      <w:u w:val="single"/>
    </w:rPr>
  </w:style>
  <w:style w:type="paragraph" w:styleId="Header">
    <w:name w:val="header"/>
    <w:basedOn w:val="Normal"/>
    <w:link w:val="HeaderChar"/>
    <w:uiPriority w:val="99"/>
    <w:unhideWhenUsed/>
    <w:rsid w:val="007668AD"/>
    <w:pPr>
      <w:tabs>
        <w:tab w:val="center" w:pos="4513"/>
        <w:tab w:val="right" w:pos="9026"/>
      </w:tabs>
    </w:pPr>
  </w:style>
  <w:style w:type="character" w:customStyle="1" w:styleId="HeaderChar">
    <w:name w:val="Header Char"/>
    <w:basedOn w:val="DefaultParagraphFont"/>
    <w:link w:val="Header"/>
    <w:uiPriority w:val="99"/>
    <w:rsid w:val="007668AD"/>
    <w:rPr>
      <w:rFonts w:ascii="Arial" w:hAnsi="Arial"/>
      <w:sz w:val="22"/>
      <w:lang w:eastAsia="en-US"/>
    </w:rPr>
  </w:style>
  <w:style w:type="paragraph" w:styleId="Footer">
    <w:name w:val="footer"/>
    <w:basedOn w:val="Normal"/>
    <w:link w:val="FooterChar"/>
    <w:uiPriority w:val="99"/>
    <w:unhideWhenUsed/>
    <w:rsid w:val="007668AD"/>
    <w:pPr>
      <w:tabs>
        <w:tab w:val="center" w:pos="4513"/>
        <w:tab w:val="right" w:pos="9026"/>
      </w:tabs>
    </w:pPr>
  </w:style>
  <w:style w:type="character" w:customStyle="1" w:styleId="FooterChar">
    <w:name w:val="Footer Char"/>
    <w:basedOn w:val="DefaultParagraphFont"/>
    <w:link w:val="Footer"/>
    <w:uiPriority w:val="99"/>
    <w:rsid w:val="007668AD"/>
    <w:rPr>
      <w:rFonts w:ascii="Arial" w:hAnsi="Arial"/>
      <w:sz w:val="22"/>
      <w:lang w:eastAsia="en-US"/>
    </w:rPr>
  </w:style>
  <w:style w:type="paragraph" w:styleId="Title">
    <w:name w:val="Title"/>
    <w:basedOn w:val="Normal"/>
    <w:next w:val="Normal"/>
    <w:link w:val="TitleChar"/>
    <w:uiPriority w:val="10"/>
    <w:qFormat/>
    <w:rsid w:val="00DA0AF9"/>
    <w:pPr>
      <w:spacing w:after="120"/>
      <w:contextualSpacing/>
    </w:pPr>
    <w:rPr>
      <w:rFonts w:asciiTheme="minorHAnsi" w:eastAsiaTheme="majorEastAsia" w:hAnsiTheme="minorHAnsi" w:cstheme="majorBidi"/>
      <w:sz w:val="32"/>
      <w:szCs w:val="52"/>
    </w:rPr>
  </w:style>
  <w:style w:type="character" w:customStyle="1" w:styleId="TitleChar">
    <w:name w:val="Title Char"/>
    <w:basedOn w:val="DefaultParagraphFont"/>
    <w:link w:val="Title"/>
    <w:uiPriority w:val="10"/>
    <w:rsid w:val="00DA0AF9"/>
    <w:rPr>
      <w:rFonts w:asciiTheme="minorHAnsi" w:eastAsiaTheme="majorEastAsia" w:hAnsiTheme="minorHAnsi" w:cstheme="majorBidi"/>
      <w:sz w:val="3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sz w:val="22"/>
      <w:lang w:eastAsia="en-US"/>
    </w:rPr>
  </w:style>
  <w:style w:type="paragraph" w:styleId="Heading1">
    <w:name w:val="heading 1"/>
    <w:basedOn w:val="Normal"/>
    <w:next w:val="Normal"/>
    <w:qFormat/>
    <w:rsid w:val="007668AD"/>
    <w:pPr>
      <w:keepNext/>
      <w:spacing w:before="240" w:after="60"/>
      <w:outlineLvl w:val="0"/>
    </w:pPr>
    <w:rPr>
      <w:rFonts w:ascii="Calibri" w:eastAsia="Batang" w:hAnsi="Calibri" w:cs="Arial"/>
      <w:bCs/>
      <w:sz w:val="24"/>
      <w:szCs w:val="32"/>
    </w:rPr>
  </w:style>
  <w:style w:type="paragraph" w:styleId="Heading2">
    <w:name w:val="heading 2"/>
    <w:basedOn w:val="Normal"/>
    <w:next w:val="Normal"/>
    <w:qFormat/>
    <w:rsid w:val="007668AD"/>
    <w:pPr>
      <w:keepNext/>
      <w:spacing w:before="240" w:after="60"/>
      <w:outlineLvl w:val="1"/>
    </w:pPr>
    <w:rPr>
      <w:rFonts w:ascii="Calibri" w:hAnsi="Calibri" w:cs="Arial"/>
      <w:bCs/>
      <w:iCs/>
      <w:sz w:val="24"/>
      <w:szCs w:val="28"/>
    </w:rPr>
  </w:style>
  <w:style w:type="paragraph" w:styleId="Heading3">
    <w:name w:val="heading 3"/>
    <w:basedOn w:val="Normal"/>
    <w:next w:val="Normal"/>
    <w:qFormat/>
    <w:rsid w:val="002E6F2D"/>
    <w:pPr>
      <w:keepNext/>
      <w:spacing w:before="240" w:after="60"/>
      <w:outlineLvl w:val="2"/>
    </w:pPr>
    <w:rPr>
      <w:rFonts w:asciiTheme="minorHAnsi" w:hAnsiTheme="minorHAnsi" w:cs="Arial"/>
      <w:b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table" w:styleId="TableGrid">
    <w:name w:val="Table Grid"/>
    <w:basedOn w:val="TableNormal"/>
    <w:uiPriority w:val="59"/>
    <w:rsid w:val="00B115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D319C"/>
    <w:rPr>
      <w:rFonts w:ascii="Tahoma" w:hAnsi="Tahoma" w:cs="Tahoma"/>
      <w:sz w:val="16"/>
      <w:szCs w:val="16"/>
    </w:rPr>
  </w:style>
  <w:style w:type="character" w:customStyle="1" w:styleId="BalloonTextChar">
    <w:name w:val="Balloon Text Char"/>
    <w:basedOn w:val="DefaultParagraphFont"/>
    <w:link w:val="BalloonText"/>
    <w:uiPriority w:val="99"/>
    <w:semiHidden/>
    <w:rsid w:val="00DD319C"/>
    <w:rPr>
      <w:rFonts w:ascii="Tahoma" w:hAnsi="Tahoma" w:cs="Tahoma"/>
      <w:sz w:val="16"/>
      <w:szCs w:val="16"/>
      <w:lang w:eastAsia="en-US"/>
    </w:rPr>
  </w:style>
  <w:style w:type="paragraph" w:styleId="NormalWeb">
    <w:name w:val="Normal (Web)"/>
    <w:basedOn w:val="Normal"/>
    <w:uiPriority w:val="99"/>
    <w:unhideWhenUsed/>
    <w:rsid w:val="00DD319C"/>
    <w:pPr>
      <w:spacing w:before="100" w:beforeAutospacing="1" w:after="100" w:afterAutospacing="1"/>
    </w:pPr>
    <w:rPr>
      <w:rFonts w:ascii="Times New Roman" w:hAnsi="Times New Roman"/>
      <w:sz w:val="24"/>
      <w:szCs w:val="24"/>
      <w:lang w:eastAsia="en-AU"/>
    </w:rPr>
  </w:style>
  <w:style w:type="paragraph" w:styleId="ListParagraph">
    <w:name w:val="List Paragraph"/>
    <w:basedOn w:val="Normal"/>
    <w:uiPriority w:val="34"/>
    <w:qFormat/>
    <w:rsid w:val="00936612"/>
    <w:pPr>
      <w:ind w:left="720"/>
      <w:contextualSpacing/>
    </w:pPr>
  </w:style>
  <w:style w:type="character" w:styleId="Hyperlink">
    <w:name w:val="Hyperlink"/>
    <w:basedOn w:val="DefaultParagraphFont"/>
    <w:uiPriority w:val="99"/>
    <w:unhideWhenUsed/>
    <w:rsid w:val="008515A9"/>
    <w:rPr>
      <w:color w:val="0000FF" w:themeColor="hyperlink"/>
      <w:u w:val="single"/>
    </w:rPr>
  </w:style>
  <w:style w:type="paragraph" w:styleId="Header">
    <w:name w:val="header"/>
    <w:basedOn w:val="Normal"/>
    <w:link w:val="HeaderChar"/>
    <w:uiPriority w:val="99"/>
    <w:unhideWhenUsed/>
    <w:rsid w:val="007668AD"/>
    <w:pPr>
      <w:tabs>
        <w:tab w:val="center" w:pos="4513"/>
        <w:tab w:val="right" w:pos="9026"/>
      </w:tabs>
    </w:pPr>
  </w:style>
  <w:style w:type="character" w:customStyle="1" w:styleId="HeaderChar">
    <w:name w:val="Header Char"/>
    <w:basedOn w:val="DefaultParagraphFont"/>
    <w:link w:val="Header"/>
    <w:uiPriority w:val="99"/>
    <w:rsid w:val="007668AD"/>
    <w:rPr>
      <w:rFonts w:ascii="Arial" w:hAnsi="Arial"/>
      <w:sz w:val="22"/>
      <w:lang w:eastAsia="en-US"/>
    </w:rPr>
  </w:style>
  <w:style w:type="paragraph" w:styleId="Footer">
    <w:name w:val="footer"/>
    <w:basedOn w:val="Normal"/>
    <w:link w:val="FooterChar"/>
    <w:uiPriority w:val="99"/>
    <w:unhideWhenUsed/>
    <w:rsid w:val="007668AD"/>
    <w:pPr>
      <w:tabs>
        <w:tab w:val="center" w:pos="4513"/>
        <w:tab w:val="right" w:pos="9026"/>
      </w:tabs>
    </w:pPr>
  </w:style>
  <w:style w:type="character" w:customStyle="1" w:styleId="FooterChar">
    <w:name w:val="Footer Char"/>
    <w:basedOn w:val="DefaultParagraphFont"/>
    <w:link w:val="Footer"/>
    <w:uiPriority w:val="99"/>
    <w:rsid w:val="007668AD"/>
    <w:rPr>
      <w:rFonts w:ascii="Arial" w:hAnsi="Arial"/>
      <w:sz w:val="22"/>
      <w:lang w:eastAsia="en-US"/>
    </w:rPr>
  </w:style>
  <w:style w:type="paragraph" w:styleId="Title">
    <w:name w:val="Title"/>
    <w:basedOn w:val="Normal"/>
    <w:next w:val="Normal"/>
    <w:link w:val="TitleChar"/>
    <w:uiPriority w:val="10"/>
    <w:qFormat/>
    <w:rsid w:val="00DA0AF9"/>
    <w:pPr>
      <w:spacing w:after="120"/>
      <w:contextualSpacing/>
    </w:pPr>
    <w:rPr>
      <w:rFonts w:asciiTheme="minorHAnsi" w:eastAsiaTheme="majorEastAsia" w:hAnsiTheme="minorHAnsi" w:cstheme="majorBidi"/>
      <w:sz w:val="32"/>
      <w:szCs w:val="52"/>
    </w:rPr>
  </w:style>
  <w:style w:type="character" w:customStyle="1" w:styleId="TitleChar">
    <w:name w:val="Title Char"/>
    <w:basedOn w:val="DefaultParagraphFont"/>
    <w:link w:val="Title"/>
    <w:uiPriority w:val="10"/>
    <w:rsid w:val="00DA0AF9"/>
    <w:rPr>
      <w:rFonts w:asciiTheme="minorHAnsi" w:eastAsiaTheme="majorEastAsia" w:hAnsiTheme="minorHAnsi" w:cstheme="majorBidi"/>
      <w:sz w:val="3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269800">
      <w:bodyDiv w:val="1"/>
      <w:marLeft w:val="0"/>
      <w:marRight w:val="0"/>
      <w:marTop w:val="0"/>
      <w:marBottom w:val="0"/>
      <w:divBdr>
        <w:top w:val="none" w:sz="0" w:space="0" w:color="auto"/>
        <w:left w:val="none" w:sz="0" w:space="0" w:color="auto"/>
        <w:bottom w:val="none" w:sz="0" w:space="0" w:color="auto"/>
        <w:right w:val="none" w:sz="0" w:space="0" w:color="auto"/>
      </w:divBdr>
      <w:divsChild>
        <w:div w:id="1504010238">
          <w:marLeft w:val="446"/>
          <w:marRight w:val="0"/>
          <w:marTop w:val="0"/>
          <w:marBottom w:val="0"/>
          <w:divBdr>
            <w:top w:val="none" w:sz="0" w:space="0" w:color="auto"/>
            <w:left w:val="none" w:sz="0" w:space="0" w:color="auto"/>
            <w:bottom w:val="none" w:sz="0" w:space="0" w:color="auto"/>
            <w:right w:val="none" w:sz="0" w:space="0" w:color="auto"/>
          </w:divBdr>
        </w:div>
        <w:div w:id="187332232">
          <w:marLeft w:val="446"/>
          <w:marRight w:val="0"/>
          <w:marTop w:val="0"/>
          <w:marBottom w:val="0"/>
          <w:divBdr>
            <w:top w:val="none" w:sz="0" w:space="0" w:color="auto"/>
            <w:left w:val="none" w:sz="0" w:space="0" w:color="auto"/>
            <w:bottom w:val="none" w:sz="0" w:space="0" w:color="auto"/>
            <w:right w:val="none" w:sz="0" w:space="0" w:color="auto"/>
          </w:divBdr>
        </w:div>
        <w:div w:id="1672442962">
          <w:marLeft w:val="446"/>
          <w:marRight w:val="0"/>
          <w:marTop w:val="0"/>
          <w:marBottom w:val="0"/>
          <w:divBdr>
            <w:top w:val="none" w:sz="0" w:space="0" w:color="auto"/>
            <w:left w:val="none" w:sz="0" w:space="0" w:color="auto"/>
            <w:bottom w:val="none" w:sz="0" w:space="0" w:color="auto"/>
            <w:right w:val="none" w:sz="0" w:space="0" w:color="auto"/>
          </w:divBdr>
        </w:div>
        <w:div w:id="1984969557">
          <w:marLeft w:val="446"/>
          <w:marRight w:val="0"/>
          <w:marTop w:val="0"/>
          <w:marBottom w:val="0"/>
          <w:divBdr>
            <w:top w:val="none" w:sz="0" w:space="0" w:color="auto"/>
            <w:left w:val="none" w:sz="0" w:space="0" w:color="auto"/>
            <w:bottom w:val="none" w:sz="0" w:space="0" w:color="auto"/>
            <w:right w:val="none" w:sz="0" w:space="0" w:color="auto"/>
          </w:divBdr>
        </w:div>
        <w:div w:id="2095083188">
          <w:marLeft w:val="446"/>
          <w:marRight w:val="0"/>
          <w:marTop w:val="0"/>
          <w:marBottom w:val="0"/>
          <w:divBdr>
            <w:top w:val="none" w:sz="0" w:space="0" w:color="auto"/>
            <w:left w:val="none" w:sz="0" w:space="0" w:color="auto"/>
            <w:bottom w:val="none" w:sz="0" w:space="0" w:color="auto"/>
            <w:right w:val="none" w:sz="0" w:space="0" w:color="auto"/>
          </w:divBdr>
        </w:div>
      </w:divsChild>
    </w:div>
    <w:div w:id="217938502">
      <w:bodyDiv w:val="1"/>
      <w:marLeft w:val="0"/>
      <w:marRight w:val="0"/>
      <w:marTop w:val="0"/>
      <w:marBottom w:val="0"/>
      <w:divBdr>
        <w:top w:val="none" w:sz="0" w:space="0" w:color="auto"/>
        <w:left w:val="none" w:sz="0" w:space="0" w:color="auto"/>
        <w:bottom w:val="none" w:sz="0" w:space="0" w:color="auto"/>
        <w:right w:val="none" w:sz="0" w:space="0" w:color="auto"/>
      </w:divBdr>
    </w:div>
    <w:div w:id="233703219">
      <w:bodyDiv w:val="1"/>
      <w:marLeft w:val="0"/>
      <w:marRight w:val="0"/>
      <w:marTop w:val="0"/>
      <w:marBottom w:val="0"/>
      <w:divBdr>
        <w:top w:val="none" w:sz="0" w:space="0" w:color="auto"/>
        <w:left w:val="none" w:sz="0" w:space="0" w:color="auto"/>
        <w:bottom w:val="none" w:sz="0" w:space="0" w:color="auto"/>
        <w:right w:val="none" w:sz="0" w:space="0" w:color="auto"/>
      </w:divBdr>
    </w:div>
    <w:div w:id="318653146">
      <w:bodyDiv w:val="1"/>
      <w:marLeft w:val="0"/>
      <w:marRight w:val="0"/>
      <w:marTop w:val="0"/>
      <w:marBottom w:val="0"/>
      <w:divBdr>
        <w:top w:val="none" w:sz="0" w:space="0" w:color="auto"/>
        <w:left w:val="none" w:sz="0" w:space="0" w:color="auto"/>
        <w:bottom w:val="none" w:sz="0" w:space="0" w:color="auto"/>
        <w:right w:val="none" w:sz="0" w:space="0" w:color="auto"/>
      </w:divBdr>
    </w:div>
    <w:div w:id="414860976">
      <w:bodyDiv w:val="1"/>
      <w:marLeft w:val="0"/>
      <w:marRight w:val="0"/>
      <w:marTop w:val="0"/>
      <w:marBottom w:val="0"/>
      <w:divBdr>
        <w:top w:val="none" w:sz="0" w:space="0" w:color="auto"/>
        <w:left w:val="none" w:sz="0" w:space="0" w:color="auto"/>
        <w:bottom w:val="none" w:sz="0" w:space="0" w:color="auto"/>
        <w:right w:val="none" w:sz="0" w:space="0" w:color="auto"/>
      </w:divBdr>
    </w:div>
    <w:div w:id="503012884">
      <w:bodyDiv w:val="1"/>
      <w:marLeft w:val="0"/>
      <w:marRight w:val="0"/>
      <w:marTop w:val="0"/>
      <w:marBottom w:val="0"/>
      <w:divBdr>
        <w:top w:val="none" w:sz="0" w:space="0" w:color="auto"/>
        <w:left w:val="none" w:sz="0" w:space="0" w:color="auto"/>
        <w:bottom w:val="none" w:sz="0" w:space="0" w:color="auto"/>
        <w:right w:val="none" w:sz="0" w:space="0" w:color="auto"/>
      </w:divBdr>
    </w:div>
    <w:div w:id="789126983">
      <w:bodyDiv w:val="1"/>
      <w:marLeft w:val="0"/>
      <w:marRight w:val="0"/>
      <w:marTop w:val="0"/>
      <w:marBottom w:val="0"/>
      <w:divBdr>
        <w:top w:val="none" w:sz="0" w:space="0" w:color="auto"/>
        <w:left w:val="none" w:sz="0" w:space="0" w:color="auto"/>
        <w:bottom w:val="none" w:sz="0" w:space="0" w:color="auto"/>
        <w:right w:val="none" w:sz="0" w:space="0" w:color="auto"/>
      </w:divBdr>
    </w:div>
    <w:div w:id="810369157">
      <w:bodyDiv w:val="1"/>
      <w:marLeft w:val="0"/>
      <w:marRight w:val="0"/>
      <w:marTop w:val="0"/>
      <w:marBottom w:val="0"/>
      <w:divBdr>
        <w:top w:val="none" w:sz="0" w:space="0" w:color="auto"/>
        <w:left w:val="none" w:sz="0" w:space="0" w:color="auto"/>
        <w:bottom w:val="none" w:sz="0" w:space="0" w:color="auto"/>
        <w:right w:val="none" w:sz="0" w:space="0" w:color="auto"/>
      </w:divBdr>
    </w:div>
    <w:div w:id="826827324">
      <w:bodyDiv w:val="1"/>
      <w:marLeft w:val="0"/>
      <w:marRight w:val="0"/>
      <w:marTop w:val="0"/>
      <w:marBottom w:val="0"/>
      <w:divBdr>
        <w:top w:val="none" w:sz="0" w:space="0" w:color="auto"/>
        <w:left w:val="none" w:sz="0" w:space="0" w:color="auto"/>
        <w:bottom w:val="none" w:sz="0" w:space="0" w:color="auto"/>
        <w:right w:val="none" w:sz="0" w:space="0" w:color="auto"/>
      </w:divBdr>
      <w:divsChild>
        <w:div w:id="421532121">
          <w:marLeft w:val="446"/>
          <w:marRight w:val="0"/>
          <w:marTop w:val="0"/>
          <w:marBottom w:val="0"/>
          <w:divBdr>
            <w:top w:val="none" w:sz="0" w:space="0" w:color="auto"/>
            <w:left w:val="none" w:sz="0" w:space="0" w:color="auto"/>
            <w:bottom w:val="none" w:sz="0" w:space="0" w:color="auto"/>
            <w:right w:val="none" w:sz="0" w:space="0" w:color="auto"/>
          </w:divBdr>
        </w:div>
        <w:div w:id="938215146">
          <w:marLeft w:val="1166"/>
          <w:marRight w:val="0"/>
          <w:marTop w:val="0"/>
          <w:marBottom w:val="0"/>
          <w:divBdr>
            <w:top w:val="none" w:sz="0" w:space="0" w:color="auto"/>
            <w:left w:val="none" w:sz="0" w:space="0" w:color="auto"/>
            <w:bottom w:val="none" w:sz="0" w:space="0" w:color="auto"/>
            <w:right w:val="none" w:sz="0" w:space="0" w:color="auto"/>
          </w:divBdr>
        </w:div>
        <w:div w:id="1096907165">
          <w:marLeft w:val="1166"/>
          <w:marRight w:val="0"/>
          <w:marTop w:val="0"/>
          <w:marBottom w:val="0"/>
          <w:divBdr>
            <w:top w:val="none" w:sz="0" w:space="0" w:color="auto"/>
            <w:left w:val="none" w:sz="0" w:space="0" w:color="auto"/>
            <w:bottom w:val="none" w:sz="0" w:space="0" w:color="auto"/>
            <w:right w:val="none" w:sz="0" w:space="0" w:color="auto"/>
          </w:divBdr>
        </w:div>
        <w:div w:id="270019928">
          <w:marLeft w:val="446"/>
          <w:marRight w:val="0"/>
          <w:marTop w:val="0"/>
          <w:marBottom w:val="0"/>
          <w:divBdr>
            <w:top w:val="none" w:sz="0" w:space="0" w:color="auto"/>
            <w:left w:val="none" w:sz="0" w:space="0" w:color="auto"/>
            <w:bottom w:val="none" w:sz="0" w:space="0" w:color="auto"/>
            <w:right w:val="none" w:sz="0" w:space="0" w:color="auto"/>
          </w:divBdr>
        </w:div>
        <w:div w:id="1874347959">
          <w:marLeft w:val="1166"/>
          <w:marRight w:val="0"/>
          <w:marTop w:val="0"/>
          <w:marBottom w:val="0"/>
          <w:divBdr>
            <w:top w:val="none" w:sz="0" w:space="0" w:color="auto"/>
            <w:left w:val="none" w:sz="0" w:space="0" w:color="auto"/>
            <w:bottom w:val="none" w:sz="0" w:space="0" w:color="auto"/>
            <w:right w:val="none" w:sz="0" w:space="0" w:color="auto"/>
          </w:divBdr>
        </w:div>
        <w:div w:id="229655352">
          <w:marLeft w:val="1166"/>
          <w:marRight w:val="0"/>
          <w:marTop w:val="0"/>
          <w:marBottom w:val="0"/>
          <w:divBdr>
            <w:top w:val="none" w:sz="0" w:space="0" w:color="auto"/>
            <w:left w:val="none" w:sz="0" w:space="0" w:color="auto"/>
            <w:bottom w:val="none" w:sz="0" w:space="0" w:color="auto"/>
            <w:right w:val="none" w:sz="0" w:space="0" w:color="auto"/>
          </w:divBdr>
        </w:div>
        <w:div w:id="605038232">
          <w:marLeft w:val="1166"/>
          <w:marRight w:val="0"/>
          <w:marTop w:val="0"/>
          <w:marBottom w:val="0"/>
          <w:divBdr>
            <w:top w:val="none" w:sz="0" w:space="0" w:color="auto"/>
            <w:left w:val="none" w:sz="0" w:space="0" w:color="auto"/>
            <w:bottom w:val="none" w:sz="0" w:space="0" w:color="auto"/>
            <w:right w:val="none" w:sz="0" w:space="0" w:color="auto"/>
          </w:divBdr>
        </w:div>
        <w:div w:id="1399549717">
          <w:marLeft w:val="1166"/>
          <w:marRight w:val="0"/>
          <w:marTop w:val="0"/>
          <w:marBottom w:val="0"/>
          <w:divBdr>
            <w:top w:val="none" w:sz="0" w:space="0" w:color="auto"/>
            <w:left w:val="none" w:sz="0" w:space="0" w:color="auto"/>
            <w:bottom w:val="none" w:sz="0" w:space="0" w:color="auto"/>
            <w:right w:val="none" w:sz="0" w:space="0" w:color="auto"/>
          </w:divBdr>
        </w:div>
        <w:div w:id="1834880842">
          <w:marLeft w:val="446"/>
          <w:marRight w:val="0"/>
          <w:marTop w:val="0"/>
          <w:marBottom w:val="0"/>
          <w:divBdr>
            <w:top w:val="none" w:sz="0" w:space="0" w:color="auto"/>
            <w:left w:val="none" w:sz="0" w:space="0" w:color="auto"/>
            <w:bottom w:val="none" w:sz="0" w:space="0" w:color="auto"/>
            <w:right w:val="none" w:sz="0" w:space="0" w:color="auto"/>
          </w:divBdr>
        </w:div>
        <w:div w:id="889265322">
          <w:marLeft w:val="1267"/>
          <w:marRight w:val="0"/>
          <w:marTop w:val="0"/>
          <w:marBottom w:val="0"/>
          <w:divBdr>
            <w:top w:val="none" w:sz="0" w:space="0" w:color="auto"/>
            <w:left w:val="none" w:sz="0" w:space="0" w:color="auto"/>
            <w:bottom w:val="none" w:sz="0" w:space="0" w:color="auto"/>
            <w:right w:val="none" w:sz="0" w:space="0" w:color="auto"/>
          </w:divBdr>
        </w:div>
        <w:div w:id="898244642">
          <w:marLeft w:val="1267"/>
          <w:marRight w:val="0"/>
          <w:marTop w:val="0"/>
          <w:marBottom w:val="0"/>
          <w:divBdr>
            <w:top w:val="none" w:sz="0" w:space="0" w:color="auto"/>
            <w:left w:val="none" w:sz="0" w:space="0" w:color="auto"/>
            <w:bottom w:val="none" w:sz="0" w:space="0" w:color="auto"/>
            <w:right w:val="none" w:sz="0" w:space="0" w:color="auto"/>
          </w:divBdr>
        </w:div>
        <w:div w:id="1978795457">
          <w:marLeft w:val="1267"/>
          <w:marRight w:val="0"/>
          <w:marTop w:val="0"/>
          <w:marBottom w:val="0"/>
          <w:divBdr>
            <w:top w:val="none" w:sz="0" w:space="0" w:color="auto"/>
            <w:left w:val="none" w:sz="0" w:space="0" w:color="auto"/>
            <w:bottom w:val="none" w:sz="0" w:space="0" w:color="auto"/>
            <w:right w:val="none" w:sz="0" w:space="0" w:color="auto"/>
          </w:divBdr>
        </w:div>
        <w:div w:id="450513917">
          <w:marLeft w:val="446"/>
          <w:marRight w:val="0"/>
          <w:marTop w:val="0"/>
          <w:marBottom w:val="0"/>
          <w:divBdr>
            <w:top w:val="none" w:sz="0" w:space="0" w:color="auto"/>
            <w:left w:val="none" w:sz="0" w:space="0" w:color="auto"/>
            <w:bottom w:val="none" w:sz="0" w:space="0" w:color="auto"/>
            <w:right w:val="none" w:sz="0" w:space="0" w:color="auto"/>
          </w:divBdr>
        </w:div>
        <w:div w:id="142621946">
          <w:marLeft w:val="1166"/>
          <w:marRight w:val="0"/>
          <w:marTop w:val="86"/>
          <w:marBottom w:val="0"/>
          <w:divBdr>
            <w:top w:val="none" w:sz="0" w:space="0" w:color="auto"/>
            <w:left w:val="none" w:sz="0" w:space="0" w:color="auto"/>
            <w:bottom w:val="none" w:sz="0" w:space="0" w:color="auto"/>
            <w:right w:val="none" w:sz="0" w:space="0" w:color="auto"/>
          </w:divBdr>
        </w:div>
        <w:div w:id="1180269686">
          <w:marLeft w:val="1166"/>
          <w:marRight w:val="0"/>
          <w:marTop w:val="86"/>
          <w:marBottom w:val="0"/>
          <w:divBdr>
            <w:top w:val="none" w:sz="0" w:space="0" w:color="auto"/>
            <w:left w:val="none" w:sz="0" w:space="0" w:color="auto"/>
            <w:bottom w:val="none" w:sz="0" w:space="0" w:color="auto"/>
            <w:right w:val="none" w:sz="0" w:space="0" w:color="auto"/>
          </w:divBdr>
        </w:div>
        <w:div w:id="34626805">
          <w:marLeft w:val="1166"/>
          <w:marRight w:val="0"/>
          <w:marTop w:val="86"/>
          <w:marBottom w:val="0"/>
          <w:divBdr>
            <w:top w:val="none" w:sz="0" w:space="0" w:color="auto"/>
            <w:left w:val="none" w:sz="0" w:space="0" w:color="auto"/>
            <w:bottom w:val="none" w:sz="0" w:space="0" w:color="auto"/>
            <w:right w:val="none" w:sz="0" w:space="0" w:color="auto"/>
          </w:divBdr>
        </w:div>
        <w:div w:id="1651711927">
          <w:marLeft w:val="446"/>
          <w:marRight w:val="0"/>
          <w:marTop w:val="0"/>
          <w:marBottom w:val="0"/>
          <w:divBdr>
            <w:top w:val="none" w:sz="0" w:space="0" w:color="auto"/>
            <w:left w:val="none" w:sz="0" w:space="0" w:color="auto"/>
            <w:bottom w:val="none" w:sz="0" w:space="0" w:color="auto"/>
            <w:right w:val="none" w:sz="0" w:space="0" w:color="auto"/>
          </w:divBdr>
        </w:div>
      </w:divsChild>
    </w:div>
    <w:div w:id="877670196">
      <w:bodyDiv w:val="1"/>
      <w:marLeft w:val="0"/>
      <w:marRight w:val="0"/>
      <w:marTop w:val="0"/>
      <w:marBottom w:val="0"/>
      <w:divBdr>
        <w:top w:val="none" w:sz="0" w:space="0" w:color="auto"/>
        <w:left w:val="none" w:sz="0" w:space="0" w:color="auto"/>
        <w:bottom w:val="none" w:sz="0" w:space="0" w:color="auto"/>
        <w:right w:val="none" w:sz="0" w:space="0" w:color="auto"/>
      </w:divBdr>
    </w:div>
    <w:div w:id="1110976090">
      <w:bodyDiv w:val="1"/>
      <w:marLeft w:val="0"/>
      <w:marRight w:val="0"/>
      <w:marTop w:val="0"/>
      <w:marBottom w:val="0"/>
      <w:divBdr>
        <w:top w:val="none" w:sz="0" w:space="0" w:color="auto"/>
        <w:left w:val="none" w:sz="0" w:space="0" w:color="auto"/>
        <w:bottom w:val="none" w:sz="0" w:space="0" w:color="auto"/>
        <w:right w:val="none" w:sz="0" w:space="0" w:color="auto"/>
      </w:divBdr>
    </w:div>
    <w:div w:id="1306817147">
      <w:bodyDiv w:val="1"/>
      <w:marLeft w:val="0"/>
      <w:marRight w:val="0"/>
      <w:marTop w:val="0"/>
      <w:marBottom w:val="0"/>
      <w:divBdr>
        <w:top w:val="none" w:sz="0" w:space="0" w:color="auto"/>
        <w:left w:val="none" w:sz="0" w:space="0" w:color="auto"/>
        <w:bottom w:val="none" w:sz="0" w:space="0" w:color="auto"/>
        <w:right w:val="none" w:sz="0" w:space="0" w:color="auto"/>
      </w:divBdr>
    </w:div>
    <w:div w:id="1326009242">
      <w:bodyDiv w:val="1"/>
      <w:marLeft w:val="0"/>
      <w:marRight w:val="0"/>
      <w:marTop w:val="0"/>
      <w:marBottom w:val="0"/>
      <w:divBdr>
        <w:top w:val="none" w:sz="0" w:space="0" w:color="auto"/>
        <w:left w:val="none" w:sz="0" w:space="0" w:color="auto"/>
        <w:bottom w:val="none" w:sz="0" w:space="0" w:color="auto"/>
        <w:right w:val="none" w:sz="0" w:space="0" w:color="auto"/>
      </w:divBdr>
    </w:div>
    <w:div w:id="1499803084">
      <w:bodyDiv w:val="1"/>
      <w:marLeft w:val="0"/>
      <w:marRight w:val="0"/>
      <w:marTop w:val="0"/>
      <w:marBottom w:val="0"/>
      <w:divBdr>
        <w:top w:val="none" w:sz="0" w:space="0" w:color="auto"/>
        <w:left w:val="none" w:sz="0" w:space="0" w:color="auto"/>
        <w:bottom w:val="none" w:sz="0" w:space="0" w:color="auto"/>
        <w:right w:val="none" w:sz="0" w:space="0" w:color="auto"/>
      </w:divBdr>
    </w:div>
    <w:div w:id="1786774076">
      <w:bodyDiv w:val="1"/>
      <w:marLeft w:val="0"/>
      <w:marRight w:val="0"/>
      <w:marTop w:val="0"/>
      <w:marBottom w:val="0"/>
      <w:divBdr>
        <w:top w:val="none" w:sz="0" w:space="0" w:color="auto"/>
        <w:left w:val="none" w:sz="0" w:space="0" w:color="auto"/>
        <w:bottom w:val="none" w:sz="0" w:space="0" w:color="auto"/>
        <w:right w:val="none" w:sz="0" w:space="0" w:color="auto"/>
      </w:divBdr>
      <w:divsChild>
        <w:div w:id="1617641201">
          <w:marLeft w:val="1166"/>
          <w:marRight w:val="0"/>
          <w:marTop w:val="96"/>
          <w:marBottom w:val="0"/>
          <w:divBdr>
            <w:top w:val="none" w:sz="0" w:space="0" w:color="auto"/>
            <w:left w:val="none" w:sz="0" w:space="0" w:color="auto"/>
            <w:bottom w:val="none" w:sz="0" w:space="0" w:color="auto"/>
            <w:right w:val="none" w:sz="0" w:space="0" w:color="auto"/>
          </w:divBdr>
        </w:div>
        <w:div w:id="230191284">
          <w:marLeft w:val="1166"/>
          <w:marRight w:val="0"/>
          <w:marTop w:val="96"/>
          <w:marBottom w:val="0"/>
          <w:divBdr>
            <w:top w:val="none" w:sz="0" w:space="0" w:color="auto"/>
            <w:left w:val="none" w:sz="0" w:space="0" w:color="auto"/>
            <w:bottom w:val="none" w:sz="0" w:space="0" w:color="auto"/>
            <w:right w:val="none" w:sz="0" w:space="0" w:color="auto"/>
          </w:divBdr>
        </w:div>
        <w:div w:id="2018537154">
          <w:marLeft w:val="1166"/>
          <w:marRight w:val="0"/>
          <w:marTop w:val="96"/>
          <w:marBottom w:val="0"/>
          <w:divBdr>
            <w:top w:val="none" w:sz="0" w:space="0" w:color="auto"/>
            <w:left w:val="none" w:sz="0" w:space="0" w:color="auto"/>
            <w:bottom w:val="none" w:sz="0" w:space="0" w:color="auto"/>
            <w:right w:val="none" w:sz="0" w:space="0" w:color="auto"/>
          </w:divBdr>
        </w:div>
        <w:div w:id="1453745181">
          <w:marLeft w:val="1166"/>
          <w:marRight w:val="0"/>
          <w:marTop w:val="96"/>
          <w:marBottom w:val="0"/>
          <w:divBdr>
            <w:top w:val="none" w:sz="0" w:space="0" w:color="auto"/>
            <w:left w:val="none" w:sz="0" w:space="0" w:color="auto"/>
            <w:bottom w:val="none" w:sz="0" w:space="0" w:color="auto"/>
            <w:right w:val="none" w:sz="0" w:space="0" w:color="auto"/>
          </w:divBdr>
        </w:div>
        <w:div w:id="95441648">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employment.gov.au/regionalrepor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deewr.gov.au/australianjobs"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customXml" Target="../customXml/item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emplyoment.gov.au/SkillShortages" TargetMode="External"/><Relationship Id="rId44"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lmip.gov.au/" TargetMode="External"/><Relationship Id="rId35" Type="http://schemas.openxmlformats.org/officeDocument/2006/relationships/header" Target="header1.xml"/><Relationship Id="rId43" Type="http://schemas.openxmlformats.org/officeDocument/2006/relationships/customXml" Target="../customXml/item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joboutlook.gov.au/" TargetMode="External"/><Relationship Id="rId38"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5D07AD-2896-49AE-8A9C-4A0B2BB19213}"/>
</file>

<file path=customXml/itemProps2.xml><?xml version="1.0" encoding="utf-8"?>
<ds:datastoreItem xmlns:ds="http://schemas.openxmlformats.org/officeDocument/2006/customXml" ds:itemID="{2585A5FC-DB52-4F70-BA5E-CA4E66F49330}"/>
</file>

<file path=customXml/itemProps3.xml><?xml version="1.0" encoding="utf-8"?>
<ds:datastoreItem xmlns:ds="http://schemas.openxmlformats.org/officeDocument/2006/customXml" ds:itemID="{52D95B7D-F129-400D-9CB9-467E129D378A}"/>
</file>

<file path=customXml/itemProps4.xml><?xml version="1.0" encoding="utf-8"?>
<ds:datastoreItem xmlns:ds="http://schemas.openxmlformats.org/officeDocument/2006/customXml" ds:itemID="{0F686AD8-AAB5-45AB-82F7-2C92CAFDCBA8}"/>
</file>

<file path=docProps/app.xml><?xml version="1.0" encoding="utf-8"?>
<Properties xmlns="http://schemas.openxmlformats.org/officeDocument/2006/extended-properties" xmlns:vt="http://schemas.openxmlformats.org/officeDocument/2006/docPropsVTypes">
  <Template>A64CF4F9.dotm</Template>
  <TotalTime>925</TotalTime>
  <Pages>39</Pages>
  <Words>4698</Words>
  <Characters>26265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30902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Sebastian Lavers</dc:creator>
  <cp:lastModifiedBy>Preshant Joseph</cp:lastModifiedBy>
  <cp:revision>22</cp:revision>
  <dcterms:created xsi:type="dcterms:W3CDTF">2014-11-05T21:47:00Z</dcterms:created>
  <dcterms:modified xsi:type="dcterms:W3CDTF">2014-12-16T02:55:00Z</dcterms:modified>
</cp:coreProperties>
</file>