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F5A" w:rsidRPr="00862129" w:rsidRDefault="00862129" w:rsidP="00862129">
      <w:pPr>
        <w:jc w:val="center"/>
        <w:rPr>
          <w:rFonts w:ascii="Calibri" w:hAnsi="Calibri" w:cs="Calibri"/>
          <w:b/>
          <w:sz w:val="28"/>
          <w:szCs w:val="28"/>
        </w:rPr>
      </w:pPr>
      <w:r w:rsidRPr="00862129">
        <w:rPr>
          <w:rFonts w:ascii="Calibri" w:hAnsi="Calibri" w:cs="Calibri"/>
          <w:b/>
          <w:sz w:val="28"/>
          <w:szCs w:val="28"/>
        </w:rPr>
        <w:t>Results</w:t>
      </w:r>
      <w:r w:rsidR="00A25726" w:rsidRPr="00862129">
        <w:rPr>
          <w:rFonts w:ascii="Calibri" w:hAnsi="Calibri" w:cs="Calibri"/>
          <w:b/>
          <w:sz w:val="28"/>
          <w:szCs w:val="28"/>
        </w:rPr>
        <w:t xml:space="preserve"> of </w:t>
      </w:r>
      <w:r w:rsidRPr="00862129">
        <w:rPr>
          <w:rFonts w:ascii="Calibri" w:hAnsi="Calibri" w:cs="Calibri"/>
          <w:b/>
          <w:sz w:val="28"/>
          <w:szCs w:val="28"/>
        </w:rPr>
        <w:t xml:space="preserve">the </w:t>
      </w:r>
      <w:r w:rsidR="00A25726" w:rsidRPr="00862129">
        <w:rPr>
          <w:rFonts w:ascii="Calibri" w:hAnsi="Calibri" w:cs="Calibri"/>
          <w:b/>
          <w:sz w:val="28"/>
          <w:szCs w:val="28"/>
        </w:rPr>
        <w:t xml:space="preserve">Review of </w:t>
      </w:r>
      <w:r w:rsidRPr="00862129">
        <w:rPr>
          <w:rFonts w:ascii="Calibri" w:hAnsi="Calibri" w:cs="Calibri"/>
          <w:b/>
          <w:sz w:val="28"/>
          <w:szCs w:val="28"/>
        </w:rPr>
        <w:t xml:space="preserve">the </w:t>
      </w:r>
      <w:r w:rsidR="00A25726" w:rsidRPr="00862129">
        <w:rPr>
          <w:rFonts w:ascii="Calibri" w:hAnsi="Calibri" w:cs="Calibri"/>
          <w:b/>
          <w:sz w:val="28"/>
          <w:szCs w:val="28"/>
        </w:rPr>
        <w:t>Le</w:t>
      </w:r>
      <w:r w:rsidR="00D51CA4">
        <w:rPr>
          <w:rFonts w:ascii="Calibri" w:hAnsi="Calibri" w:cs="Calibri"/>
          <w:b/>
          <w:sz w:val="28"/>
          <w:szCs w:val="28"/>
        </w:rPr>
        <w:t>ading Indicator of Employment</w:t>
      </w:r>
    </w:p>
    <w:p w:rsidR="00C02F5A" w:rsidRDefault="00C02F5A">
      <w:pPr>
        <w:rPr>
          <w:rFonts w:ascii="Calibri" w:hAnsi="Calibri" w:cs="Calibri"/>
        </w:rPr>
      </w:pPr>
    </w:p>
    <w:p w:rsidR="00862129" w:rsidRPr="000D497E" w:rsidRDefault="00862129" w:rsidP="000D497E">
      <w:pPr>
        <w:jc w:val="center"/>
        <w:rPr>
          <w:rFonts w:asciiTheme="minorHAnsi" w:hAnsiTheme="minorHAnsi" w:cstheme="minorHAnsi"/>
          <w:i/>
          <w:iCs/>
        </w:rPr>
      </w:pPr>
      <w:r w:rsidRPr="000D497E">
        <w:rPr>
          <w:rFonts w:asciiTheme="minorHAnsi" w:hAnsiTheme="minorHAnsi" w:cstheme="minorHAnsi"/>
          <w:i/>
          <w:iCs/>
        </w:rPr>
        <w:t>By Dr Greg Connolly and Ben Ryland</w:t>
      </w:r>
      <w:r w:rsidR="00D51CA4">
        <w:rPr>
          <w:rFonts w:asciiTheme="minorHAnsi" w:hAnsiTheme="minorHAnsi" w:cstheme="minorHAnsi"/>
          <w:i/>
          <w:iCs/>
        </w:rPr>
        <w:t>*</w:t>
      </w:r>
    </w:p>
    <w:p w:rsidR="0034336B" w:rsidRDefault="00862129" w:rsidP="00862129">
      <w:pPr>
        <w:jc w:val="center"/>
        <w:rPr>
          <w:rFonts w:asciiTheme="minorHAnsi" w:hAnsiTheme="minorHAnsi" w:cstheme="minorHAnsi"/>
          <w:i/>
          <w:iCs/>
        </w:rPr>
      </w:pPr>
      <w:r w:rsidRPr="00862129">
        <w:rPr>
          <w:rFonts w:asciiTheme="minorHAnsi" w:hAnsiTheme="minorHAnsi" w:cstheme="minorHAnsi"/>
          <w:i/>
          <w:iCs/>
        </w:rPr>
        <w:t>Labour Economics Section</w:t>
      </w:r>
      <w:r w:rsidR="000D497E">
        <w:rPr>
          <w:rFonts w:asciiTheme="minorHAnsi" w:hAnsiTheme="minorHAnsi" w:cstheme="minorHAnsi"/>
          <w:i/>
          <w:iCs/>
        </w:rPr>
        <w:t>,</w:t>
      </w:r>
      <w:r w:rsidRPr="00862129">
        <w:rPr>
          <w:rFonts w:asciiTheme="minorHAnsi" w:hAnsiTheme="minorHAnsi" w:cstheme="minorHAnsi"/>
          <w:i/>
          <w:iCs/>
        </w:rPr>
        <w:t xml:space="preserve"> Economics Branch, </w:t>
      </w:r>
      <w:r w:rsidR="0034336B">
        <w:rPr>
          <w:rFonts w:asciiTheme="minorHAnsi" w:hAnsiTheme="minorHAnsi" w:cstheme="minorHAnsi"/>
          <w:i/>
          <w:iCs/>
        </w:rPr>
        <w:t>SP&amp;ESG</w:t>
      </w:r>
      <w:r w:rsidRPr="00862129">
        <w:rPr>
          <w:rFonts w:asciiTheme="minorHAnsi" w:hAnsiTheme="minorHAnsi" w:cstheme="minorHAnsi"/>
          <w:i/>
          <w:iCs/>
        </w:rPr>
        <w:t xml:space="preserve">, </w:t>
      </w:r>
    </w:p>
    <w:p w:rsidR="00862129" w:rsidRPr="00862129" w:rsidRDefault="0034336B" w:rsidP="00862129">
      <w:pPr>
        <w:jc w:val="center"/>
        <w:rPr>
          <w:rFonts w:asciiTheme="minorHAnsi" w:hAnsiTheme="minorHAnsi" w:cstheme="minorHAnsi"/>
          <w:i/>
          <w:iCs/>
        </w:rPr>
      </w:pPr>
      <w:r>
        <w:rPr>
          <w:rFonts w:asciiTheme="minorHAnsi" w:hAnsiTheme="minorHAnsi" w:cstheme="minorHAnsi"/>
        </w:rPr>
        <w:t>Department of Employment</w:t>
      </w:r>
      <w:r w:rsidR="00862129" w:rsidRPr="00862129">
        <w:rPr>
          <w:rFonts w:asciiTheme="minorHAnsi" w:hAnsiTheme="minorHAnsi" w:cstheme="minorHAnsi"/>
          <w:i/>
          <w:iCs/>
        </w:rPr>
        <w:t>,</w:t>
      </w:r>
    </w:p>
    <w:p w:rsidR="00862129" w:rsidRPr="00862129" w:rsidRDefault="00862129" w:rsidP="00862129">
      <w:pPr>
        <w:jc w:val="center"/>
        <w:rPr>
          <w:rFonts w:asciiTheme="minorHAnsi" w:hAnsiTheme="minorHAnsi" w:cstheme="minorHAnsi"/>
        </w:rPr>
      </w:pPr>
      <w:r w:rsidRPr="00862129">
        <w:rPr>
          <w:rFonts w:asciiTheme="minorHAnsi" w:hAnsiTheme="minorHAnsi" w:cstheme="minorHAnsi"/>
          <w:i/>
          <w:iCs/>
        </w:rPr>
        <w:t xml:space="preserve">Loc. Code </w:t>
      </w:r>
      <w:r w:rsidR="008A5030">
        <w:rPr>
          <w:rFonts w:asciiTheme="minorHAnsi" w:hAnsiTheme="minorHAnsi" w:cstheme="minorHAnsi"/>
          <w:i/>
          <w:iCs/>
        </w:rPr>
        <w:t>C10MT</w:t>
      </w:r>
      <w:r w:rsidR="0034336B">
        <w:rPr>
          <w:rFonts w:asciiTheme="minorHAnsi" w:hAnsiTheme="minorHAnsi" w:cstheme="minorHAnsi"/>
          <w:i/>
          <w:iCs/>
        </w:rPr>
        <w:t>5, GPO Box 9880</w:t>
      </w:r>
      <w:r w:rsidRPr="00862129">
        <w:rPr>
          <w:rFonts w:asciiTheme="minorHAnsi" w:hAnsiTheme="minorHAnsi" w:cstheme="minorHAnsi"/>
          <w:i/>
          <w:iCs/>
        </w:rPr>
        <w:t>, Canberra ACT 2601</w:t>
      </w:r>
    </w:p>
    <w:p w:rsidR="00862129" w:rsidRPr="00862129" w:rsidRDefault="00862129" w:rsidP="00862129">
      <w:pPr>
        <w:jc w:val="center"/>
        <w:rPr>
          <w:rFonts w:asciiTheme="minorHAnsi" w:hAnsiTheme="minorHAnsi" w:cstheme="minorHAnsi"/>
        </w:rPr>
      </w:pPr>
    </w:p>
    <w:p w:rsidR="00D51CA4" w:rsidRDefault="008A5030" w:rsidP="00862129">
      <w:pPr>
        <w:widowControl w:val="0"/>
        <w:jc w:val="center"/>
        <w:rPr>
          <w:rFonts w:asciiTheme="minorHAnsi" w:hAnsiTheme="minorHAnsi" w:cstheme="minorHAnsi"/>
        </w:rPr>
      </w:pPr>
      <w:r>
        <w:rPr>
          <w:rFonts w:asciiTheme="minorHAnsi" w:hAnsiTheme="minorHAnsi" w:cstheme="minorHAnsi"/>
        </w:rPr>
        <w:t>January 2015 Revision of a</w:t>
      </w:r>
      <w:r w:rsidR="00B301C2">
        <w:rPr>
          <w:rFonts w:asciiTheme="minorHAnsi" w:hAnsiTheme="minorHAnsi" w:cstheme="minorHAnsi"/>
        </w:rPr>
        <w:t xml:space="preserve"> Paper p</w:t>
      </w:r>
      <w:bookmarkStart w:id="0" w:name="_GoBack"/>
      <w:bookmarkEnd w:id="0"/>
      <w:r>
        <w:rPr>
          <w:rFonts w:asciiTheme="minorHAnsi" w:hAnsiTheme="minorHAnsi" w:cstheme="minorHAnsi"/>
        </w:rPr>
        <w:t>resented</w:t>
      </w:r>
      <w:r w:rsidR="0034336B">
        <w:rPr>
          <w:rFonts w:asciiTheme="minorHAnsi" w:hAnsiTheme="minorHAnsi" w:cstheme="minorHAnsi"/>
        </w:rPr>
        <w:t xml:space="preserve"> at </w:t>
      </w:r>
      <w:r w:rsidR="00D51CA4">
        <w:rPr>
          <w:rFonts w:asciiTheme="minorHAnsi" w:hAnsiTheme="minorHAnsi" w:cstheme="minorHAnsi"/>
        </w:rPr>
        <w:t xml:space="preserve">the </w:t>
      </w:r>
    </w:p>
    <w:p w:rsidR="00862129" w:rsidRPr="00862129" w:rsidRDefault="00D51CA4" w:rsidP="00862129">
      <w:pPr>
        <w:widowControl w:val="0"/>
        <w:jc w:val="center"/>
        <w:rPr>
          <w:rFonts w:asciiTheme="minorHAnsi" w:hAnsiTheme="minorHAnsi" w:cstheme="minorHAnsi"/>
        </w:rPr>
      </w:pPr>
      <w:r>
        <w:rPr>
          <w:rFonts w:asciiTheme="minorHAnsi" w:hAnsiTheme="minorHAnsi" w:cstheme="minorHAnsi"/>
        </w:rPr>
        <w:t>Australian Labour Market Research Workshop</w:t>
      </w:r>
      <w:r w:rsidR="00862129" w:rsidRPr="00862129">
        <w:rPr>
          <w:rFonts w:asciiTheme="minorHAnsi" w:hAnsiTheme="minorHAnsi" w:cstheme="minorHAnsi"/>
        </w:rPr>
        <w:t>,</w:t>
      </w:r>
      <w:r>
        <w:rPr>
          <w:rFonts w:asciiTheme="minorHAnsi" w:hAnsiTheme="minorHAnsi" w:cstheme="minorHAnsi"/>
        </w:rPr>
        <w:t xml:space="preserve"> Fremantle, WA</w:t>
      </w:r>
    </w:p>
    <w:p w:rsidR="00862129" w:rsidRPr="00862129" w:rsidRDefault="00D51CA4" w:rsidP="00862129">
      <w:pPr>
        <w:widowControl w:val="0"/>
        <w:jc w:val="center"/>
        <w:rPr>
          <w:rFonts w:asciiTheme="minorHAnsi" w:hAnsiTheme="minorHAnsi" w:cstheme="minorHAnsi"/>
        </w:rPr>
      </w:pPr>
      <w:r>
        <w:rPr>
          <w:rFonts w:asciiTheme="minorHAnsi" w:hAnsiTheme="minorHAnsi" w:cstheme="minorHAnsi"/>
        </w:rPr>
        <w:t>10-11 November</w:t>
      </w:r>
      <w:r w:rsidR="0034336B">
        <w:rPr>
          <w:rFonts w:asciiTheme="minorHAnsi" w:hAnsiTheme="minorHAnsi" w:cstheme="minorHAnsi"/>
        </w:rPr>
        <w:t xml:space="preserve"> 2014</w:t>
      </w:r>
    </w:p>
    <w:p w:rsidR="00862129" w:rsidRPr="00862129" w:rsidRDefault="00862129" w:rsidP="00862129">
      <w:pPr>
        <w:rPr>
          <w:rFonts w:asciiTheme="minorHAnsi" w:hAnsiTheme="minorHAnsi" w:cstheme="minorHAnsi"/>
        </w:rPr>
      </w:pPr>
    </w:p>
    <w:p w:rsidR="00862129" w:rsidRPr="00862129" w:rsidRDefault="00862129" w:rsidP="00862129">
      <w:pPr>
        <w:pStyle w:val="Heading2"/>
        <w:jc w:val="center"/>
        <w:rPr>
          <w:rFonts w:asciiTheme="minorHAnsi" w:hAnsiTheme="minorHAnsi" w:cstheme="minorHAnsi"/>
          <w:b w:val="0"/>
          <w:bCs w:val="0"/>
          <w:i/>
          <w:iCs/>
        </w:rPr>
      </w:pPr>
      <w:r w:rsidRPr="00862129">
        <w:rPr>
          <w:rFonts w:asciiTheme="minorHAnsi" w:hAnsiTheme="minorHAnsi" w:cstheme="minorHAnsi"/>
          <w:b w:val="0"/>
          <w:bCs w:val="0"/>
          <w:i/>
          <w:iCs/>
        </w:rPr>
        <w:t xml:space="preserve">Abstract:  </w:t>
      </w:r>
    </w:p>
    <w:p w:rsidR="00097A20" w:rsidRPr="00097A20" w:rsidRDefault="0034336B" w:rsidP="00097A20">
      <w:pPr>
        <w:pStyle w:val="Heading2"/>
      </w:pPr>
      <w:r>
        <w:rPr>
          <w:rFonts w:asciiTheme="minorHAnsi" w:hAnsiTheme="minorHAnsi" w:cstheme="minorHAnsi"/>
          <w:b w:val="0"/>
          <w:i/>
        </w:rPr>
        <w:t xml:space="preserve">The results of the final stage of the latest review of the Department of Employment’s </w:t>
      </w:r>
      <w:r w:rsidR="00862129" w:rsidRPr="00862129">
        <w:rPr>
          <w:rFonts w:asciiTheme="minorHAnsi" w:hAnsiTheme="minorHAnsi" w:cstheme="minorHAnsi"/>
          <w:b w:val="0"/>
          <w:i/>
        </w:rPr>
        <w:t xml:space="preserve">Leading Indicator of Employment </w:t>
      </w:r>
      <w:r w:rsidR="00404085">
        <w:rPr>
          <w:rFonts w:asciiTheme="minorHAnsi" w:hAnsiTheme="minorHAnsi" w:cstheme="minorHAnsi"/>
          <w:b w:val="0"/>
          <w:i/>
        </w:rPr>
        <w:t>(Indicator</w:t>
      </w:r>
      <w:r w:rsidR="00862129" w:rsidRPr="00862129">
        <w:rPr>
          <w:rFonts w:asciiTheme="minorHAnsi" w:hAnsiTheme="minorHAnsi" w:cstheme="minorHAnsi"/>
          <w:b w:val="0"/>
          <w:i/>
        </w:rPr>
        <w:t xml:space="preserve">) </w:t>
      </w:r>
      <w:r>
        <w:rPr>
          <w:rFonts w:asciiTheme="minorHAnsi" w:hAnsiTheme="minorHAnsi" w:cstheme="minorHAnsi"/>
          <w:b w:val="0"/>
          <w:i/>
        </w:rPr>
        <w:t xml:space="preserve">are presented in this paper. This review was foreshadowed in Connolly and Lee (2008) </w:t>
      </w:r>
      <w:r w:rsidR="00F90968">
        <w:rPr>
          <w:rFonts w:asciiTheme="minorHAnsi" w:hAnsiTheme="minorHAnsi" w:cstheme="minorHAnsi"/>
          <w:b w:val="0"/>
          <w:i/>
        </w:rPr>
        <w:t xml:space="preserve">and stated more specifically in Connolly, Lee and Stevens (2013). It </w:t>
      </w:r>
      <w:r>
        <w:rPr>
          <w:rFonts w:asciiTheme="minorHAnsi" w:hAnsiTheme="minorHAnsi" w:cstheme="minorHAnsi"/>
          <w:b w:val="0"/>
          <w:i/>
        </w:rPr>
        <w:t xml:space="preserve">has involved a broader consideration of alternative components, especially international series, than previous reviews. </w:t>
      </w:r>
      <w:r w:rsidR="0011053E">
        <w:rPr>
          <w:rFonts w:asciiTheme="minorHAnsi" w:hAnsiTheme="minorHAnsi" w:cstheme="minorHAnsi"/>
          <w:b w:val="0"/>
          <w:i/>
        </w:rPr>
        <w:t xml:space="preserve">This broader consideration was needed in the light of </w:t>
      </w:r>
      <w:r w:rsidR="00097A20">
        <w:rPr>
          <w:rFonts w:asciiTheme="minorHAnsi" w:hAnsiTheme="minorHAnsi" w:cstheme="minorHAnsi"/>
          <w:b w:val="0"/>
          <w:i/>
        </w:rPr>
        <w:t xml:space="preserve">the effects of the Global Recession and </w:t>
      </w:r>
      <w:r w:rsidR="0011053E">
        <w:rPr>
          <w:rFonts w:asciiTheme="minorHAnsi" w:hAnsiTheme="minorHAnsi" w:cstheme="minorHAnsi"/>
          <w:b w:val="0"/>
          <w:i/>
        </w:rPr>
        <w:t xml:space="preserve">structural changes in the economy and the labour market (such as the shift from advertising jobs in newspapers to </w:t>
      </w:r>
      <w:r w:rsidR="00404085">
        <w:rPr>
          <w:rFonts w:asciiTheme="minorHAnsi" w:hAnsiTheme="minorHAnsi" w:cstheme="minorHAnsi"/>
          <w:b w:val="0"/>
          <w:i/>
        </w:rPr>
        <w:t xml:space="preserve">internet </w:t>
      </w:r>
      <w:r w:rsidR="0011053E">
        <w:rPr>
          <w:rFonts w:asciiTheme="minorHAnsi" w:hAnsiTheme="minorHAnsi" w:cstheme="minorHAnsi"/>
          <w:b w:val="0"/>
          <w:i/>
        </w:rPr>
        <w:t>advertising)</w:t>
      </w:r>
      <w:r w:rsidR="00097A20">
        <w:rPr>
          <w:rFonts w:asciiTheme="minorHAnsi" w:hAnsiTheme="minorHAnsi" w:cstheme="minorHAnsi"/>
          <w:b w:val="0"/>
          <w:i/>
        </w:rPr>
        <w:t xml:space="preserve">. </w:t>
      </w:r>
    </w:p>
    <w:p w:rsidR="0034336B" w:rsidRDefault="0034336B" w:rsidP="00862129">
      <w:pPr>
        <w:pStyle w:val="Heading2"/>
        <w:rPr>
          <w:rFonts w:asciiTheme="minorHAnsi" w:hAnsiTheme="minorHAnsi" w:cstheme="minorHAnsi"/>
          <w:b w:val="0"/>
          <w:i/>
        </w:rPr>
      </w:pPr>
    </w:p>
    <w:p w:rsidR="00862129" w:rsidRPr="00862129" w:rsidRDefault="0034336B" w:rsidP="00862129">
      <w:pPr>
        <w:pStyle w:val="Heading2"/>
        <w:rPr>
          <w:rFonts w:asciiTheme="minorHAnsi" w:hAnsiTheme="minorHAnsi" w:cstheme="minorHAnsi"/>
          <w:b w:val="0"/>
          <w:i/>
        </w:rPr>
      </w:pPr>
      <w:r>
        <w:rPr>
          <w:rFonts w:asciiTheme="minorHAnsi" w:hAnsiTheme="minorHAnsi" w:cstheme="minorHAnsi"/>
          <w:b w:val="0"/>
          <w:i/>
        </w:rPr>
        <w:t>This final stage draws on previous stage</w:t>
      </w:r>
      <w:r w:rsidR="000D497E">
        <w:rPr>
          <w:rFonts w:asciiTheme="minorHAnsi" w:hAnsiTheme="minorHAnsi" w:cstheme="minorHAnsi"/>
          <w:b w:val="0"/>
          <w:i/>
        </w:rPr>
        <w:t>s of the Review</w:t>
      </w:r>
      <w:r>
        <w:rPr>
          <w:rFonts w:asciiTheme="minorHAnsi" w:hAnsiTheme="minorHAnsi" w:cstheme="minorHAnsi"/>
          <w:b w:val="0"/>
          <w:i/>
        </w:rPr>
        <w:t xml:space="preserve"> (</w:t>
      </w:r>
      <w:r w:rsidR="000D497E">
        <w:rPr>
          <w:rFonts w:asciiTheme="minorHAnsi" w:hAnsiTheme="minorHAnsi" w:cstheme="minorHAnsi"/>
          <w:b w:val="0"/>
          <w:i/>
        </w:rPr>
        <w:t xml:space="preserve">summarised in </w:t>
      </w:r>
      <w:r>
        <w:rPr>
          <w:rFonts w:asciiTheme="minorHAnsi" w:hAnsiTheme="minorHAnsi" w:cstheme="minorHAnsi"/>
          <w:b w:val="0"/>
          <w:i/>
        </w:rPr>
        <w:t>Labour Eco</w:t>
      </w:r>
      <w:r w:rsidR="00097A20">
        <w:rPr>
          <w:rFonts w:asciiTheme="minorHAnsi" w:hAnsiTheme="minorHAnsi" w:cstheme="minorHAnsi"/>
          <w:b w:val="0"/>
          <w:i/>
        </w:rPr>
        <w:t>nomics Section 2014) where the current components and alternative</w:t>
      </w:r>
      <w:r>
        <w:rPr>
          <w:rFonts w:asciiTheme="minorHAnsi" w:hAnsiTheme="minorHAnsi" w:cstheme="minorHAnsi"/>
          <w:b w:val="0"/>
          <w:i/>
        </w:rPr>
        <w:t xml:space="preserve"> series were considered individually, leading to a shortlist of potential components. </w:t>
      </w:r>
      <w:r w:rsidR="00097A20">
        <w:rPr>
          <w:rFonts w:asciiTheme="minorHAnsi" w:hAnsiTheme="minorHAnsi" w:cstheme="minorHAnsi"/>
          <w:b w:val="0"/>
          <w:i/>
        </w:rPr>
        <w:t xml:space="preserve">In the final stage, </w:t>
      </w:r>
      <w:r w:rsidR="00D827DF">
        <w:rPr>
          <w:rFonts w:asciiTheme="minorHAnsi" w:hAnsiTheme="minorHAnsi" w:cstheme="minorHAnsi"/>
          <w:b w:val="0"/>
          <w:i/>
        </w:rPr>
        <w:t xml:space="preserve">we tested </w:t>
      </w:r>
      <w:r w:rsidR="00097A20">
        <w:rPr>
          <w:rFonts w:asciiTheme="minorHAnsi" w:hAnsiTheme="minorHAnsi" w:cstheme="minorHAnsi"/>
          <w:b w:val="0"/>
          <w:i/>
        </w:rPr>
        <w:t xml:space="preserve">combinations of the shortlisted individual series against each other and </w:t>
      </w:r>
      <w:r w:rsidR="00D827DF">
        <w:rPr>
          <w:rFonts w:asciiTheme="minorHAnsi" w:hAnsiTheme="minorHAnsi" w:cstheme="minorHAnsi"/>
          <w:b w:val="0"/>
          <w:i/>
        </w:rPr>
        <w:t xml:space="preserve">chose </w:t>
      </w:r>
      <w:r w:rsidR="00097A20">
        <w:rPr>
          <w:rFonts w:asciiTheme="minorHAnsi" w:hAnsiTheme="minorHAnsi" w:cstheme="minorHAnsi"/>
          <w:b w:val="0"/>
          <w:i/>
        </w:rPr>
        <w:t>the preferred new</w:t>
      </w:r>
      <w:r w:rsidR="00404085">
        <w:rPr>
          <w:rFonts w:asciiTheme="minorHAnsi" w:hAnsiTheme="minorHAnsi" w:cstheme="minorHAnsi"/>
          <w:b w:val="0"/>
          <w:i/>
        </w:rPr>
        <w:t xml:space="preserve"> Indicator</w:t>
      </w:r>
      <w:r w:rsidR="00097A20">
        <w:rPr>
          <w:rFonts w:asciiTheme="minorHAnsi" w:hAnsiTheme="minorHAnsi" w:cstheme="minorHAnsi"/>
          <w:b w:val="0"/>
          <w:i/>
        </w:rPr>
        <w:t xml:space="preserve">. A number of alternative methods, ranging from the simple (equal weightings on each component) to the very sophisticated (Kalman Filtering, with time-varying parameters estimated econometrically for each component) were used to establish the weights on each component. Somewhat surprisingly, the </w:t>
      </w:r>
      <w:r w:rsidR="0011053E">
        <w:rPr>
          <w:rFonts w:asciiTheme="minorHAnsi" w:hAnsiTheme="minorHAnsi" w:cstheme="minorHAnsi"/>
          <w:b w:val="0"/>
          <w:i/>
        </w:rPr>
        <w:t xml:space="preserve">weights for the preferred new </w:t>
      </w:r>
      <w:r w:rsidR="00404085">
        <w:rPr>
          <w:rFonts w:asciiTheme="minorHAnsi" w:hAnsiTheme="minorHAnsi" w:cstheme="minorHAnsi"/>
          <w:b w:val="0"/>
          <w:i/>
        </w:rPr>
        <w:t>Indicator</w:t>
      </w:r>
      <w:r w:rsidR="0011053E">
        <w:rPr>
          <w:rFonts w:asciiTheme="minorHAnsi" w:hAnsiTheme="minorHAnsi" w:cstheme="minorHAnsi"/>
          <w:b w:val="0"/>
          <w:i/>
        </w:rPr>
        <w:t xml:space="preserve"> were determined by the simplest method; namely, equal weighting</w:t>
      </w:r>
      <w:r w:rsidR="00862129" w:rsidRPr="00862129">
        <w:rPr>
          <w:rFonts w:asciiTheme="minorHAnsi" w:hAnsiTheme="minorHAnsi" w:cstheme="minorHAnsi"/>
          <w:b w:val="0"/>
          <w:i/>
        </w:rPr>
        <w:t xml:space="preserve">.  </w:t>
      </w:r>
    </w:p>
    <w:p w:rsidR="00862129" w:rsidRPr="00862129" w:rsidRDefault="00862129" w:rsidP="00862129">
      <w:pPr>
        <w:pStyle w:val="Heading2"/>
        <w:jc w:val="center"/>
        <w:rPr>
          <w:rFonts w:asciiTheme="minorHAnsi" w:hAnsiTheme="minorHAnsi" w:cstheme="minorHAnsi"/>
          <w:b w:val="0"/>
          <w:i/>
        </w:rPr>
      </w:pPr>
    </w:p>
    <w:p w:rsidR="00862129" w:rsidRPr="00862129" w:rsidRDefault="00862129" w:rsidP="00862129">
      <w:pPr>
        <w:pStyle w:val="Heading2"/>
        <w:rPr>
          <w:rFonts w:asciiTheme="minorHAnsi" w:hAnsiTheme="minorHAnsi" w:cstheme="minorHAnsi"/>
          <w:b w:val="0"/>
          <w:i/>
        </w:rPr>
      </w:pPr>
      <w:r w:rsidRPr="00862129">
        <w:rPr>
          <w:rFonts w:asciiTheme="minorHAnsi" w:hAnsiTheme="minorHAnsi" w:cstheme="minorHAnsi"/>
          <w:b w:val="0"/>
          <w:i/>
        </w:rPr>
        <w:t xml:space="preserve">The </w:t>
      </w:r>
      <w:r w:rsidR="0011053E">
        <w:rPr>
          <w:rFonts w:asciiTheme="minorHAnsi" w:hAnsiTheme="minorHAnsi" w:cstheme="minorHAnsi"/>
          <w:b w:val="0"/>
          <w:i/>
        </w:rPr>
        <w:t xml:space="preserve">preferred new </w:t>
      </w:r>
      <w:r w:rsidR="00404085">
        <w:rPr>
          <w:rFonts w:asciiTheme="minorHAnsi" w:hAnsiTheme="minorHAnsi" w:cstheme="minorHAnsi"/>
          <w:b w:val="0"/>
          <w:i/>
        </w:rPr>
        <w:t>Indicator</w:t>
      </w:r>
      <w:r w:rsidRPr="00862129">
        <w:rPr>
          <w:rFonts w:asciiTheme="minorHAnsi" w:hAnsiTheme="minorHAnsi" w:cstheme="minorHAnsi"/>
          <w:b w:val="0"/>
          <w:i/>
        </w:rPr>
        <w:t xml:space="preserve"> is composed of </w:t>
      </w:r>
      <w:r w:rsidR="0011053E">
        <w:rPr>
          <w:rFonts w:asciiTheme="minorHAnsi" w:hAnsiTheme="minorHAnsi" w:cstheme="minorHAnsi"/>
          <w:b w:val="0"/>
          <w:i/>
        </w:rPr>
        <w:t>five mon</w:t>
      </w:r>
      <w:r w:rsidR="005A7FB0">
        <w:rPr>
          <w:rFonts w:asciiTheme="minorHAnsi" w:hAnsiTheme="minorHAnsi" w:cstheme="minorHAnsi"/>
          <w:b w:val="0"/>
          <w:i/>
        </w:rPr>
        <w:t>thly series. The following two</w:t>
      </w:r>
      <w:r w:rsidR="0011053E">
        <w:rPr>
          <w:rFonts w:asciiTheme="minorHAnsi" w:hAnsiTheme="minorHAnsi" w:cstheme="minorHAnsi"/>
          <w:b w:val="0"/>
          <w:i/>
        </w:rPr>
        <w:t xml:space="preserve"> are components of the current </w:t>
      </w:r>
      <w:r w:rsidR="00404085">
        <w:rPr>
          <w:rFonts w:asciiTheme="minorHAnsi" w:hAnsiTheme="minorHAnsi" w:cstheme="minorHAnsi"/>
          <w:b w:val="0"/>
          <w:i/>
        </w:rPr>
        <w:t>Indicator</w:t>
      </w:r>
      <w:r w:rsidR="0011053E">
        <w:rPr>
          <w:rFonts w:asciiTheme="minorHAnsi" w:hAnsiTheme="minorHAnsi" w:cstheme="minorHAnsi"/>
          <w:b w:val="0"/>
          <w:i/>
        </w:rPr>
        <w:t xml:space="preserve">: the </w:t>
      </w:r>
      <w:r w:rsidR="0011053E" w:rsidRPr="0011053E">
        <w:rPr>
          <w:rFonts w:asciiTheme="minorHAnsi" w:hAnsiTheme="minorHAnsi" w:cstheme="minorHAnsi"/>
          <w:b w:val="0"/>
          <w:i/>
        </w:rPr>
        <w:t>Westpac-Melbourne Institute Leading Index of Economic Activity</w:t>
      </w:r>
      <w:r w:rsidR="0011053E">
        <w:rPr>
          <w:rFonts w:asciiTheme="minorHAnsi" w:hAnsiTheme="minorHAnsi" w:cstheme="minorHAnsi"/>
          <w:b w:val="0"/>
          <w:i/>
        </w:rPr>
        <w:t xml:space="preserve">; and the </w:t>
      </w:r>
      <w:r w:rsidR="0011053E" w:rsidRPr="0011053E">
        <w:rPr>
          <w:rFonts w:asciiTheme="minorHAnsi" w:hAnsiTheme="minorHAnsi" w:cstheme="minorHAnsi"/>
          <w:b w:val="0"/>
          <w:i/>
        </w:rPr>
        <w:t>Westpac-Melbourne Institute Consumer Sentiment Index</w:t>
      </w:r>
      <w:r w:rsidRPr="00862129">
        <w:rPr>
          <w:rFonts w:asciiTheme="minorHAnsi" w:hAnsiTheme="minorHAnsi" w:cstheme="minorHAnsi"/>
          <w:b w:val="0"/>
          <w:i/>
        </w:rPr>
        <w:t xml:space="preserve">. </w:t>
      </w:r>
      <w:r w:rsidR="0011053E">
        <w:rPr>
          <w:rFonts w:asciiTheme="minorHAnsi" w:hAnsiTheme="minorHAnsi" w:cstheme="minorHAnsi"/>
          <w:b w:val="0"/>
          <w:i/>
        </w:rPr>
        <w:t>The following two international series were added: the US Yield Difference; and the official (NBSC) Purchasing Managers Index for the Output of Manufacturing in China.</w:t>
      </w:r>
      <w:r w:rsidR="000D497E">
        <w:rPr>
          <w:rFonts w:asciiTheme="minorHAnsi" w:hAnsiTheme="minorHAnsi" w:cstheme="minorHAnsi"/>
          <w:b w:val="0"/>
          <w:i/>
        </w:rPr>
        <w:t xml:space="preserve"> </w:t>
      </w:r>
      <w:r w:rsidR="005A7FB0">
        <w:rPr>
          <w:rFonts w:asciiTheme="minorHAnsi" w:hAnsiTheme="minorHAnsi" w:cstheme="minorHAnsi"/>
          <w:b w:val="0"/>
          <w:i/>
        </w:rPr>
        <w:t>Another domestic series, the NAB Forward Ord</w:t>
      </w:r>
      <w:r w:rsidR="00D51CA4">
        <w:rPr>
          <w:rFonts w:asciiTheme="minorHAnsi" w:hAnsiTheme="minorHAnsi" w:cstheme="minorHAnsi"/>
          <w:b w:val="0"/>
          <w:i/>
        </w:rPr>
        <w:t>ers Index, has been added, but two</w:t>
      </w:r>
      <w:r w:rsidR="000D497E">
        <w:rPr>
          <w:rFonts w:asciiTheme="minorHAnsi" w:hAnsiTheme="minorHAnsi" w:cstheme="minorHAnsi"/>
          <w:b w:val="0"/>
          <w:i/>
        </w:rPr>
        <w:t xml:space="preserve"> e</w:t>
      </w:r>
      <w:r w:rsidR="00701DBC">
        <w:rPr>
          <w:rFonts w:asciiTheme="minorHAnsi" w:hAnsiTheme="minorHAnsi" w:cstheme="minorHAnsi"/>
          <w:b w:val="0"/>
          <w:i/>
        </w:rPr>
        <w:t>xisting component</w:t>
      </w:r>
      <w:r w:rsidR="00D51CA4">
        <w:rPr>
          <w:rFonts w:asciiTheme="minorHAnsi" w:hAnsiTheme="minorHAnsi" w:cstheme="minorHAnsi"/>
          <w:b w:val="0"/>
          <w:i/>
        </w:rPr>
        <w:t>s</w:t>
      </w:r>
      <w:r w:rsidR="000D497E">
        <w:rPr>
          <w:rFonts w:asciiTheme="minorHAnsi" w:hAnsiTheme="minorHAnsi" w:cstheme="minorHAnsi"/>
          <w:b w:val="0"/>
          <w:i/>
        </w:rPr>
        <w:t>, the ANZ Newspaper Job Advertisements series</w:t>
      </w:r>
      <w:r w:rsidR="00D51CA4">
        <w:rPr>
          <w:rFonts w:asciiTheme="minorHAnsi" w:hAnsiTheme="minorHAnsi" w:cstheme="minorHAnsi"/>
          <w:b w:val="0"/>
          <w:i/>
        </w:rPr>
        <w:t xml:space="preserve"> and the Employment Outlook Index from the Dun and Bradstreet </w:t>
      </w:r>
      <w:r w:rsidR="00D51CA4" w:rsidRPr="00D51CA4">
        <w:rPr>
          <w:rFonts w:asciiTheme="minorHAnsi" w:hAnsiTheme="minorHAnsi" w:cstheme="minorHAnsi"/>
          <w:b w:val="0"/>
          <w:i/>
          <w:u w:val="single"/>
        </w:rPr>
        <w:t>National Business Expectations Survey</w:t>
      </w:r>
      <w:r w:rsidR="000D497E">
        <w:rPr>
          <w:rFonts w:asciiTheme="minorHAnsi" w:hAnsiTheme="minorHAnsi" w:cstheme="minorHAnsi"/>
          <w:b w:val="0"/>
          <w:i/>
        </w:rPr>
        <w:t>, ha</w:t>
      </w:r>
      <w:r w:rsidR="00D51CA4">
        <w:rPr>
          <w:rFonts w:asciiTheme="minorHAnsi" w:hAnsiTheme="minorHAnsi" w:cstheme="minorHAnsi"/>
          <w:b w:val="0"/>
          <w:i/>
        </w:rPr>
        <w:t>ve</w:t>
      </w:r>
      <w:r w:rsidR="000D497E">
        <w:rPr>
          <w:rFonts w:asciiTheme="minorHAnsi" w:hAnsiTheme="minorHAnsi" w:cstheme="minorHAnsi"/>
          <w:b w:val="0"/>
          <w:i/>
        </w:rPr>
        <w:t xml:space="preserve"> been removed.</w:t>
      </w:r>
    </w:p>
    <w:p w:rsidR="00862129" w:rsidRPr="00862129" w:rsidRDefault="00862129" w:rsidP="00862129">
      <w:pPr>
        <w:rPr>
          <w:rFonts w:asciiTheme="minorHAnsi" w:hAnsiTheme="minorHAnsi" w:cstheme="minorHAnsi"/>
        </w:rPr>
      </w:pPr>
    </w:p>
    <w:p w:rsidR="00862129" w:rsidRPr="008A5030" w:rsidRDefault="00862129" w:rsidP="00862129">
      <w:pPr>
        <w:pBdr>
          <w:top w:val="single" w:sz="6" w:space="1" w:color="auto"/>
          <w:left w:val="single" w:sz="6" w:space="1" w:color="auto"/>
          <w:bottom w:val="single" w:sz="6" w:space="1" w:color="auto"/>
          <w:right w:val="single" w:sz="6" w:space="1" w:color="auto"/>
        </w:pBdr>
        <w:rPr>
          <w:rFonts w:ascii="Calibri" w:hAnsi="Calibri" w:cs="Calibri"/>
          <w:sz w:val="20"/>
          <w:szCs w:val="20"/>
        </w:rPr>
      </w:pPr>
      <w:r w:rsidRPr="008A5030">
        <w:rPr>
          <w:rFonts w:ascii="Calibri" w:hAnsi="Calibri" w:cs="Calibri"/>
          <w:sz w:val="20"/>
          <w:szCs w:val="20"/>
        </w:rPr>
        <w:t>Note:  This paper reflects the authors’ views and does not nec</w:t>
      </w:r>
      <w:r w:rsidR="000D497E" w:rsidRPr="008A5030">
        <w:rPr>
          <w:rFonts w:ascii="Calibri" w:hAnsi="Calibri" w:cs="Calibri"/>
          <w:sz w:val="20"/>
          <w:szCs w:val="20"/>
        </w:rPr>
        <w:t>essarily represent those of Department of Employment or the Australian</w:t>
      </w:r>
      <w:r w:rsidR="00D51CA4" w:rsidRPr="008A5030">
        <w:rPr>
          <w:rFonts w:ascii="Calibri" w:hAnsi="Calibri" w:cs="Calibri"/>
          <w:sz w:val="20"/>
          <w:szCs w:val="20"/>
        </w:rPr>
        <w:t xml:space="preserve"> Government. Mr Ryland has retired since contributing to this paper. </w:t>
      </w:r>
      <w:r w:rsidRPr="008A5030">
        <w:rPr>
          <w:rFonts w:ascii="Calibri" w:hAnsi="Calibri" w:cs="Calibri"/>
          <w:sz w:val="20"/>
          <w:szCs w:val="20"/>
        </w:rPr>
        <w:t xml:space="preserve">The authors would like to </w:t>
      </w:r>
      <w:r w:rsidR="00D51CA4" w:rsidRPr="008A5030">
        <w:rPr>
          <w:rFonts w:ascii="Calibri" w:hAnsi="Calibri" w:cs="Calibri"/>
          <w:sz w:val="20"/>
          <w:szCs w:val="20"/>
        </w:rPr>
        <w:t>thank other members of the Labour Economics</w:t>
      </w:r>
      <w:r w:rsidR="000D497E" w:rsidRPr="008A5030">
        <w:rPr>
          <w:rFonts w:ascii="Calibri" w:hAnsi="Calibri" w:cs="Calibri"/>
          <w:sz w:val="20"/>
          <w:szCs w:val="20"/>
        </w:rPr>
        <w:t xml:space="preserve"> Section</w:t>
      </w:r>
      <w:r w:rsidR="00D51CA4" w:rsidRPr="008A5030">
        <w:rPr>
          <w:rFonts w:ascii="Calibri" w:hAnsi="Calibri" w:cs="Calibri"/>
          <w:sz w:val="20"/>
          <w:szCs w:val="20"/>
        </w:rPr>
        <w:t xml:space="preserve"> in the Department of Employment</w:t>
      </w:r>
      <w:r w:rsidRPr="008A5030">
        <w:rPr>
          <w:rFonts w:ascii="Calibri" w:hAnsi="Calibri" w:cs="Calibri"/>
          <w:sz w:val="20"/>
          <w:szCs w:val="20"/>
        </w:rPr>
        <w:t xml:space="preserve"> for </w:t>
      </w:r>
      <w:r w:rsidR="00D51CA4" w:rsidRPr="008A5030">
        <w:rPr>
          <w:rFonts w:ascii="Calibri" w:hAnsi="Calibri" w:cs="Calibri"/>
          <w:sz w:val="20"/>
          <w:szCs w:val="20"/>
        </w:rPr>
        <w:t xml:space="preserve">their </w:t>
      </w:r>
      <w:r w:rsidRPr="008A5030">
        <w:rPr>
          <w:rFonts w:ascii="Calibri" w:hAnsi="Calibri" w:cs="Calibri"/>
          <w:sz w:val="20"/>
          <w:szCs w:val="20"/>
        </w:rPr>
        <w:t>assistance with this review.</w:t>
      </w:r>
      <w:r w:rsidR="008A5030" w:rsidRPr="008A5030">
        <w:rPr>
          <w:rFonts w:ascii="Calibri" w:hAnsi="Calibri" w:cs="Calibri"/>
          <w:sz w:val="20"/>
          <w:szCs w:val="20"/>
        </w:rPr>
        <w:t xml:space="preserve"> They would also like to thank their discussant, Dr Tom Karmel, and other contributors to the discussion at the Australian Labour Market Research Workshop in Fremantle in November 2014 and other reviewers of earlier drafts of this paper. </w:t>
      </w:r>
    </w:p>
    <w:p w:rsidR="00862129" w:rsidRPr="009707F7" w:rsidRDefault="00862129" w:rsidP="00862129">
      <w:pPr>
        <w:pStyle w:val="Heading2"/>
        <w:jc w:val="center"/>
        <w:rPr>
          <w:b w:val="0"/>
          <w:bCs w:val="0"/>
          <w:i/>
          <w:iCs/>
        </w:rPr>
      </w:pPr>
    </w:p>
    <w:p w:rsidR="00862129" w:rsidRPr="000D497E" w:rsidRDefault="000D497E">
      <w:pPr>
        <w:rPr>
          <w:rFonts w:ascii="Calibri" w:hAnsi="Calibri" w:cs="Calibri"/>
          <w:b/>
        </w:rPr>
      </w:pPr>
      <w:r w:rsidRPr="000D497E">
        <w:rPr>
          <w:rFonts w:ascii="Calibri" w:hAnsi="Calibri" w:cs="Calibri"/>
          <w:b/>
        </w:rPr>
        <w:t>Introduction</w:t>
      </w:r>
    </w:p>
    <w:p w:rsidR="00862129" w:rsidRDefault="00862129">
      <w:pPr>
        <w:rPr>
          <w:rFonts w:ascii="Calibri" w:hAnsi="Calibri" w:cs="Calibri"/>
        </w:rPr>
      </w:pPr>
    </w:p>
    <w:p w:rsidR="00FE76F1" w:rsidRPr="008811C6" w:rsidRDefault="003E204B" w:rsidP="00404085">
      <w:pPr>
        <w:pStyle w:val="Heading2"/>
        <w:rPr>
          <w:rFonts w:asciiTheme="minorHAnsi" w:hAnsiTheme="minorHAnsi" w:cstheme="minorHAnsi"/>
          <w:b w:val="0"/>
        </w:rPr>
      </w:pPr>
      <w:r>
        <w:rPr>
          <w:rFonts w:asciiTheme="minorHAnsi" w:hAnsiTheme="minorHAnsi" w:cstheme="minorHAnsi"/>
          <w:b w:val="0"/>
        </w:rPr>
        <w:t>The latest R</w:t>
      </w:r>
      <w:r w:rsidR="00404085" w:rsidRPr="008811C6">
        <w:rPr>
          <w:rFonts w:asciiTheme="minorHAnsi" w:hAnsiTheme="minorHAnsi" w:cstheme="minorHAnsi"/>
          <w:b w:val="0"/>
        </w:rPr>
        <w:t>eview of the Department of Employment’s Leading Indicator of Employment (Indicator)</w:t>
      </w:r>
      <w:r w:rsidR="00FE76F1" w:rsidRPr="008811C6">
        <w:rPr>
          <w:rFonts w:asciiTheme="minorHAnsi" w:hAnsiTheme="minorHAnsi" w:cstheme="minorHAnsi"/>
          <w:b w:val="0"/>
        </w:rPr>
        <w:t>, which has been in operation since July 2007,</w:t>
      </w:r>
      <w:r w:rsidR="00404085" w:rsidRPr="008811C6">
        <w:rPr>
          <w:rFonts w:asciiTheme="minorHAnsi" w:hAnsiTheme="minorHAnsi" w:cstheme="minorHAnsi"/>
          <w:b w:val="0"/>
        </w:rPr>
        <w:t xml:space="preserve"> was foreshadowed in Connolly and Lee (2008)</w:t>
      </w:r>
      <w:r w:rsidR="00F90968">
        <w:rPr>
          <w:rStyle w:val="FootnoteReference"/>
          <w:rFonts w:asciiTheme="minorHAnsi" w:hAnsiTheme="minorHAnsi" w:cstheme="minorHAnsi"/>
          <w:b w:val="0"/>
        </w:rPr>
        <w:footnoteReference w:id="1"/>
      </w:r>
      <w:r w:rsidR="00404085" w:rsidRPr="008811C6">
        <w:rPr>
          <w:rFonts w:asciiTheme="minorHAnsi" w:hAnsiTheme="minorHAnsi" w:cstheme="minorHAnsi"/>
          <w:b w:val="0"/>
        </w:rPr>
        <w:t>.</w:t>
      </w:r>
      <w:r w:rsidR="00FE76F1" w:rsidRPr="008811C6">
        <w:rPr>
          <w:rFonts w:asciiTheme="minorHAnsi" w:hAnsiTheme="minorHAnsi" w:cstheme="minorHAnsi"/>
          <w:b w:val="0"/>
        </w:rPr>
        <w:t xml:space="preserve"> In that paper, they suggested that a review would be required as a result of the effects of the Global Recession on the economy and the labour market</w:t>
      </w:r>
      <w:r w:rsidR="008811C6">
        <w:rPr>
          <w:rFonts w:asciiTheme="minorHAnsi" w:hAnsiTheme="minorHAnsi" w:cstheme="minorHAnsi"/>
          <w:b w:val="0"/>
        </w:rPr>
        <w:t xml:space="preserve"> and the associated poor performance of the current Indicator around this time</w:t>
      </w:r>
      <w:r w:rsidR="00FE76F1" w:rsidRPr="008811C6">
        <w:rPr>
          <w:rFonts w:asciiTheme="minorHAnsi" w:hAnsiTheme="minorHAnsi" w:cstheme="minorHAnsi"/>
          <w:b w:val="0"/>
        </w:rPr>
        <w:t>. Reflecting the effects of international influences in the Global Recession on the Australian labour market, they also stated that “consideration could be given to including offshore indicators in a future version of the Indicator” (the current Indicator consists entirely of Australian component series</w:t>
      </w:r>
      <w:r w:rsidR="00BE76A9">
        <w:rPr>
          <w:rFonts w:asciiTheme="minorHAnsi" w:hAnsiTheme="minorHAnsi" w:cstheme="minorHAnsi"/>
          <w:b w:val="0"/>
        </w:rPr>
        <w:t>)</w:t>
      </w:r>
      <w:r w:rsidR="00FE76F1" w:rsidRPr="008811C6">
        <w:rPr>
          <w:rFonts w:asciiTheme="minorHAnsi" w:hAnsiTheme="minorHAnsi" w:cstheme="minorHAnsi"/>
          <w:b w:val="0"/>
        </w:rPr>
        <w:t xml:space="preserve">. </w:t>
      </w:r>
      <w:r w:rsidR="00D827DF">
        <w:rPr>
          <w:rFonts w:asciiTheme="minorHAnsi" w:hAnsiTheme="minorHAnsi" w:cstheme="minorHAnsi"/>
          <w:b w:val="0"/>
        </w:rPr>
        <w:t>We adopted t</w:t>
      </w:r>
      <w:r w:rsidR="008811C6" w:rsidRPr="008811C6">
        <w:rPr>
          <w:rFonts w:asciiTheme="minorHAnsi" w:hAnsiTheme="minorHAnsi" w:cstheme="minorHAnsi"/>
          <w:b w:val="0"/>
        </w:rPr>
        <w:t xml:space="preserve">his suggestion, with a wide range of overseas variables examined in the latest Review. </w:t>
      </w:r>
    </w:p>
    <w:p w:rsidR="00FE76F1" w:rsidRDefault="00FE76F1" w:rsidP="00404085">
      <w:pPr>
        <w:pStyle w:val="Heading2"/>
        <w:rPr>
          <w:rFonts w:asciiTheme="minorHAnsi" w:hAnsiTheme="minorHAnsi" w:cstheme="minorHAnsi"/>
          <w:b w:val="0"/>
        </w:rPr>
      </w:pPr>
    </w:p>
    <w:p w:rsidR="003E204B" w:rsidRPr="003E204B" w:rsidRDefault="003E204B" w:rsidP="003E204B">
      <w:pPr>
        <w:rPr>
          <w:rFonts w:asciiTheme="minorHAnsi" w:hAnsiTheme="minorHAnsi" w:cstheme="minorHAnsi"/>
          <w:bCs/>
          <w:szCs w:val="20"/>
          <w:lang w:eastAsia="en-US"/>
        </w:rPr>
      </w:pPr>
      <w:r w:rsidRPr="003E204B">
        <w:rPr>
          <w:rFonts w:asciiTheme="minorHAnsi" w:hAnsiTheme="minorHAnsi" w:cstheme="minorHAnsi"/>
          <w:bCs/>
          <w:szCs w:val="20"/>
          <w:lang w:eastAsia="en-US"/>
        </w:rPr>
        <w:t xml:space="preserve">The Review was stated more specifically in </w:t>
      </w:r>
      <w:r>
        <w:rPr>
          <w:rFonts w:asciiTheme="minorHAnsi" w:hAnsiTheme="minorHAnsi" w:cstheme="minorHAnsi"/>
        </w:rPr>
        <w:t>Connolly,</w:t>
      </w:r>
      <w:r w:rsidRPr="008811C6">
        <w:rPr>
          <w:rFonts w:asciiTheme="minorHAnsi" w:hAnsiTheme="minorHAnsi" w:cstheme="minorHAnsi"/>
        </w:rPr>
        <w:t xml:space="preserve"> Lee</w:t>
      </w:r>
      <w:r>
        <w:rPr>
          <w:rFonts w:asciiTheme="minorHAnsi" w:hAnsiTheme="minorHAnsi" w:cstheme="minorHAnsi"/>
        </w:rPr>
        <w:t xml:space="preserve"> and O’Gorman</w:t>
      </w:r>
      <w:r w:rsidRPr="008811C6">
        <w:rPr>
          <w:rFonts w:asciiTheme="minorHAnsi" w:hAnsiTheme="minorHAnsi" w:cstheme="minorHAnsi"/>
        </w:rPr>
        <w:t xml:space="preserve"> (20</w:t>
      </w:r>
      <w:r>
        <w:rPr>
          <w:rFonts w:asciiTheme="minorHAnsi" w:hAnsiTheme="minorHAnsi" w:cstheme="minorHAnsi"/>
        </w:rPr>
        <w:t>12</w:t>
      </w:r>
      <w:r w:rsidRPr="008811C6">
        <w:rPr>
          <w:rFonts w:asciiTheme="minorHAnsi" w:hAnsiTheme="minorHAnsi" w:cstheme="minorHAnsi"/>
        </w:rPr>
        <w:t>)</w:t>
      </w:r>
      <w:r>
        <w:rPr>
          <w:rFonts w:asciiTheme="minorHAnsi" w:hAnsiTheme="minorHAnsi" w:cstheme="minorHAnsi"/>
        </w:rPr>
        <w:t xml:space="preserve"> and </w:t>
      </w:r>
      <w:r w:rsidRPr="003E204B">
        <w:rPr>
          <w:rFonts w:asciiTheme="minorHAnsi" w:hAnsiTheme="minorHAnsi" w:cstheme="minorHAnsi"/>
        </w:rPr>
        <w:t>Connolly, Lee and Stevens (2013).</w:t>
      </w:r>
    </w:p>
    <w:p w:rsidR="003E204B" w:rsidRPr="003E204B" w:rsidRDefault="003E204B" w:rsidP="003E204B">
      <w:pPr>
        <w:rPr>
          <w:lang w:eastAsia="en-US"/>
        </w:rPr>
      </w:pPr>
    </w:p>
    <w:p w:rsidR="008811C6" w:rsidRPr="00BF492A" w:rsidRDefault="00BF492A" w:rsidP="008811C6">
      <w:pPr>
        <w:rPr>
          <w:rFonts w:ascii="Calibri" w:hAnsi="Calibri" w:cs="Calibri"/>
          <w:lang w:eastAsia="en-US"/>
        </w:rPr>
      </w:pPr>
      <w:r>
        <w:rPr>
          <w:rFonts w:ascii="Calibri" w:hAnsi="Calibri" w:cs="Calibri"/>
          <w:lang w:eastAsia="en-US"/>
        </w:rPr>
        <w:t>Apart from the Global Recession, a</w:t>
      </w:r>
      <w:r w:rsidR="008811C6">
        <w:rPr>
          <w:rFonts w:ascii="Calibri" w:hAnsi="Calibri" w:cs="Calibri"/>
          <w:lang w:eastAsia="en-US"/>
        </w:rPr>
        <w:t xml:space="preserve">nother reason why this </w:t>
      </w:r>
      <w:r>
        <w:rPr>
          <w:rFonts w:ascii="Calibri" w:hAnsi="Calibri" w:cs="Calibri"/>
          <w:lang w:eastAsia="en-US"/>
        </w:rPr>
        <w:t>R</w:t>
      </w:r>
      <w:r w:rsidR="008811C6">
        <w:rPr>
          <w:rFonts w:ascii="Calibri" w:hAnsi="Calibri" w:cs="Calibri"/>
          <w:lang w:eastAsia="en-US"/>
        </w:rPr>
        <w:t>e</w:t>
      </w:r>
      <w:r>
        <w:rPr>
          <w:rFonts w:ascii="Calibri" w:hAnsi="Calibri" w:cs="Calibri"/>
          <w:lang w:eastAsia="en-US"/>
        </w:rPr>
        <w:t xml:space="preserve">view is required is the effects of </w:t>
      </w:r>
      <w:r w:rsidRPr="00BF492A">
        <w:rPr>
          <w:rFonts w:asciiTheme="minorHAnsi" w:hAnsiTheme="minorHAnsi" w:cstheme="minorHAnsi"/>
        </w:rPr>
        <w:t>structural changes in the economy and the labour market</w:t>
      </w:r>
      <w:r>
        <w:rPr>
          <w:rFonts w:asciiTheme="minorHAnsi" w:hAnsiTheme="minorHAnsi" w:cstheme="minorHAnsi"/>
        </w:rPr>
        <w:t>; especially</w:t>
      </w:r>
      <w:r w:rsidRPr="00BF492A">
        <w:rPr>
          <w:rFonts w:asciiTheme="minorHAnsi" w:hAnsiTheme="minorHAnsi" w:cstheme="minorHAnsi"/>
        </w:rPr>
        <w:t xml:space="preserve"> the shift from advertising jobs in newspapers to advertising over the internet</w:t>
      </w:r>
      <w:r>
        <w:rPr>
          <w:rFonts w:asciiTheme="minorHAnsi" w:hAnsiTheme="minorHAnsi" w:cstheme="minorHAnsi"/>
        </w:rPr>
        <w:t xml:space="preserve">. One of the components of the current indicator is </w:t>
      </w:r>
      <w:r w:rsidRPr="00BF492A">
        <w:rPr>
          <w:rFonts w:asciiTheme="minorHAnsi" w:hAnsiTheme="minorHAnsi" w:cstheme="minorHAnsi"/>
        </w:rPr>
        <w:t>the ANZ Newspaper Job Advertisements series</w:t>
      </w:r>
      <w:r>
        <w:rPr>
          <w:rFonts w:asciiTheme="minorHAnsi" w:hAnsiTheme="minorHAnsi" w:cstheme="minorHAnsi"/>
        </w:rPr>
        <w:t xml:space="preserve">, but as at April 2014, </w:t>
      </w:r>
      <w:r w:rsidRPr="00BF492A">
        <w:rPr>
          <w:rFonts w:asciiTheme="minorHAnsi" w:hAnsiTheme="minorHAnsi" w:cstheme="minorHAnsi"/>
        </w:rPr>
        <w:t>Newspaper Job Advertisements</w:t>
      </w:r>
      <w:r>
        <w:rPr>
          <w:rFonts w:asciiTheme="minorHAnsi" w:hAnsiTheme="minorHAnsi" w:cstheme="minorHAnsi"/>
        </w:rPr>
        <w:t xml:space="preserve"> only represented 2.7 per cent of the total of ANZ Newspaper and Internet Job Advertisements, in seasonally adjusted terms. </w:t>
      </w:r>
    </w:p>
    <w:p w:rsidR="008811C6" w:rsidRDefault="008811C6" w:rsidP="008811C6">
      <w:pPr>
        <w:rPr>
          <w:rFonts w:ascii="Calibri" w:hAnsi="Calibri" w:cs="Calibri"/>
          <w:lang w:eastAsia="en-US"/>
        </w:rPr>
      </w:pPr>
    </w:p>
    <w:p w:rsidR="007919DC" w:rsidRDefault="00D04A6E" w:rsidP="008811C6">
      <w:pPr>
        <w:rPr>
          <w:rFonts w:ascii="Calibri" w:hAnsi="Calibri" w:cs="Calibri"/>
        </w:rPr>
      </w:pPr>
      <w:r w:rsidRPr="00D04A6E">
        <w:rPr>
          <w:rFonts w:ascii="Calibri" w:hAnsi="Calibri" w:cs="Calibri"/>
          <w:lang w:eastAsia="en-US"/>
        </w:rPr>
        <w:t xml:space="preserve">As with the </w:t>
      </w:r>
      <w:r>
        <w:rPr>
          <w:rFonts w:ascii="Calibri" w:hAnsi="Calibri" w:cs="Calibri"/>
          <w:lang w:eastAsia="en-US"/>
        </w:rPr>
        <w:t>previous</w:t>
      </w:r>
      <w:r w:rsidRPr="00D04A6E">
        <w:rPr>
          <w:rFonts w:ascii="Calibri" w:hAnsi="Calibri" w:cs="Calibri"/>
        </w:rPr>
        <w:t xml:space="preserve"> review of the Indicator, </w:t>
      </w:r>
      <w:r w:rsidR="00D827DF">
        <w:rPr>
          <w:rFonts w:ascii="Calibri" w:hAnsi="Calibri" w:cs="Calibri"/>
        </w:rPr>
        <w:t xml:space="preserve">we decided </w:t>
      </w:r>
      <w:r w:rsidRPr="00D04A6E">
        <w:rPr>
          <w:rFonts w:ascii="Calibri" w:hAnsi="Calibri" w:cs="Calibri"/>
        </w:rPr>
        <w:t>to use only monthly series as components. This follows problems of lack of timeliness and large jumps in the Indicator when series were eventually released</w:t>
      </w:r>
      <w:r w:rsidR="00D827DF">
        <w:rPr>
          <w:rFonts w:ascii="Calibri" w:hAnsi="Calibri" w:cs="Calibri"/>
        </w:rPr>
        <w:t>, which were</w:t>
      </w:r>
      <w:r w:rsidRPr="00D04A6E">
        <w:rPr>
          <w:rFonts w:ascii="Calibri" w:hAnsi="Calibri" w:cs="Calibri"/>
        </w:rPr>
        <w:t xml:space="preserve"> experienced with </w:t>
      </w:r>
      <w:r>
        <w:rPr>
          <w:rFonts w:ascii="Calibri" w:hAnsi="Calibri" w:cs="Calibri"/>
        </w:rPr>
        <w:t xml:space="preserve">some </w:t>
      </w:r>
      <w:r w:rsidRPr="00D04A6E">
        <w:rPr>
          <w:rFonts w:ascii="Calibri" w:hAnsi="Calibri" w:cs="Calibri"/>
        </w:rPr>
        <w:t>previous versions of the Indicator when quarterly series (such as real GDP and the ABS Job Vacancy series) were used.</w:t>
      </w:r>
      <w:r w:rsidR="003E4D7A">
        <w:rPr>
          <w:rFonts w:ascii="Calibri" w:hAnsi="Calibri" w:cs="Calibri"/>
        </w:rPr>
        <w:t xml:space="preserve"> </w:t>
      </w:r>
      <w:r w:rsidR="007919DC">
        <w:rPr>
          <w:rFonts w:ascii="Calibri" w:hAnsi="Calibri" w:cs="Calibri"/>
        </w:rPr>
        <w:t xml:space="preserve">It is interesting to see that the Melbourne Institute has taken the same approach of removing quarterly series and only using monthly series in its formation of its new Leading Index of Economic </w:t>
      </w:r>
      <w:r w:rsidR="00BE76A9">
        <w:rPr>
          <w:rFonts w:ascii="Calibri" w:hAnsi="Calibri" w:cs="Calibri"/>
        </w:rPr>
        <w:t>Activity, which</w:t>
      </w:r>
      <w:r w:rsidR="007919DC">
        <w:rPr>
          <w:rFonts w:ascii="Calibri" w:hAnsi="Calibri" w:cs="Calibri"/>
        </w:rPr>
        <w:t xml:space="preserve"> it publishes in conjunction with Westpac Bank.</w:t>
      </w:r>
    </w:p>
    <w:p w:rsidR="007919DC" w:rsidRDefault="007919DC" w:rsidP="008811C6">
      <w:pPr>
        <w:rPr>
          <w:rFonts w:ascii="Calibri" w:hAnsi="Calibri" w:cs="Calibri"/>
        </w:rPr>
      </w:pPr>
    </w:p>
    <w:p w:rsidR="00E2323A" w:rsidRDefault="005670D9" w:rsidP="008811C6">
      <w:pPr>
        <w:rPr>
          <w:rFonts w:ascii="Calibri" w:hAnsi="Calibri" w:cs="Calibri"/>
        </w:rPr>
      </w:pPr>
      <w:r>
        <w:rPr>
          <w:rFonts w:ascii="Calibri" w:hAnsi="Calibri" w:cs="Calibri"/>
        </w:rPr>
        <w:t>The exclusion of quarterly series such as the two mentioned above also reduces the potential problems with the effects of data revisions and data gaps on the proposed leading indicator of employment. Real GDP is one of the most often revised statistics released by the ABS (partly because it has many components). There is a gap of five quarters in the ABS job vacancy series</w:t>
      </w:r>
      <w:r w:rsidR="00E2323A">
        <w:rPr>
          <w:rStyle w:val="FootnoteReference"/>
          <w:rFonts w:ascii="Calibri" w:hAnsi="Calibri" w:cs="Calibri"/>
        </w:rPr>
        <w:footnoteReference w:id="2"/>
      </w:r>
      <w:r>
        <w:rPr>
          <w:rFonts w:ascii="Calibri" w:hAnsi="Calibri" w:cs="Calibri"/>
        </w:rPr>
        <w:t xml:space="preserve">. While estimates have been made </w:t>
      </w:r>
      <w:r w:rsidR="00E2323A">
        <w:rPr>
          <w:rFonts w:ascii="Calibri" w:hAnsi="Calibri" w:cs="Calibri"/>
        </w:rPr>
        <w:t xml:space="preserve">for this gap (such as Connolly and Tang 2011), exclusion of the ABS job vacancy series from the list of potential components eliminates this potential problem. </w:t>
      </w:r>
    </w:p>
    <w:p w:rsidR="00E2323A" w:rsidRDefault="00E2323A" w:rsidP="008811C6">
      <w:pPr>
        <w:rPr>
          <w:rFonts w:ascii="Calibri" w:hAnsi="Calibri" w:cs="Calibri"/>
        </w:rPr>
      </w:pPr>
    </w:p>
    <w:p w:rsidR="005670D9" w:rsidRDefault="00E2323A" w:rsidP="008811C6">
      <w:pPr>
        <w:rPr>
          <w:rFonts w:ascii="Calibri" w:hAnsi="Calibri" w:cs="Calibri"/>
        </w:rPr>
      </w:pPr>
      <w:r>
        <w:rPr>
          <w:rFonts w:ascii="Calibri" w:hAnsi="Calibri" w:cs="Calibri"/>
        </w:rPr>
        <w:t xml:space="preserve">One particular problem is the end-point problem; namely, that the most recent values of the leading indicator and cyclical employment are revised whenever a new </w:t>
      </w:r>
      <w:r>
        <w:rPr>
          <w:rFonts w:ascii="Calibri" w:hAnsi="Calibri" w:cs="Calibri"/>
        </w:rPr>
        <w:lastRenderedPageBreak/>
        <w:t>month of data is added to the series or recent data are revised. This is likely to have a very minor effect on the results of this analysis (because the end-point problem u</w:t>
      </w:r>
      <w:r w:rsidR="003F559E">
        <w:rPr>
          <w:rFonts w:ascii="Calibri" w:hAnsi="Calibri" w:cs="Calibri"/>
        </w:rPr>
        <w:t>sually only affects the last seven</w:t>
      </w:r>
      <w:r>
        <w:rPr>
          <w:rFonts w:ascii="Calibri" w:hAnsi="Calibri" w:cs="Calibri"/>
        </w:rPr>
        <w:t xml:space="preserve"> or so monthly observations and there are </w:t>
      </w:r>
      <w:r w:rsidR="00032F56">
        <w:rPr>
          <w:rFonts w:ascii="Calibri" w:hAnsi="Calibri" w:cs="Calibri"/>
        </w:rPr>
        <w:t>199</w:t>
      </w:r>
      <w:r w:rsidR="003F559E">
        <w:rPr>
          <w:rFonts w:ascii="Calibri" w:hAnsi="Calibri" w:cs="Calibri"/>
        </w:rPr>
        <w:t xml:space="preserve"> observations in the sample used for this analysis) and so has not been specifically addressed in this analysis. However, in the actual implementation of the new Indicator, consideration will be given to methods of reducing the end-point problem (such as smoothing around ARIMA forecasts of the components instead of using the final terms of the Henderson 13-term centred moving average to determine the last few month’s values of the components). </w:t>
      </w:r>
    </w:p>
    <w:p w:rsidR="005670D9" w:rsidRDefault="005670D9" w:rsidP="008811C6">
      <w:pPr>
        <w:rPr>
          <w:rFonts w:ascii="Calibri" w:hAnsi="Calibri" w:cs="Calibri"/>
        </w:rPr>
      </w:pPr>
    </w:p>
    <w:p w:rsidR="00D04A6E" w:rsidRPr="00D04A6E" w:rsidRDefault="003E4D7A" w:rsidP="008811C6">
      <w:pPr>
        <w:rPr>
          <w:rFonts w:ascii="Calibri" w:hAnsi="Calibri" w:cs="Calibri"/>
          <w:lang w:eastAsia="en-US"/>
        </w:rPr>
      </w:pPr>
      <w:r>
        <w:rPr>
          <w:rFonts w:ascii="Calibri" w:hAnsi="Calibri" w:cs="Calibri"/>
        </w:rPr>
        <w:t xml:space="preserve">The methods and aims used in deriving a new Indicator were the same as for the current Indicator; namely, to obtain a composite leading indicator of cyclical employment that has predictive power for peaks and troughs in cyclical employment with a lead time of </w:t>
      </w:r>
      <w:r w:rsidR="00142174">
        <w:rPr>
          <w:rFonts w:ascii="Calibri" w:hAnsi="Calibri" w:cs="Calibri"/>
        </w:rPr>
        <w:t xml:space="preserve">more than </w:t>
      </w:r>
      <w:r>
        <w:rPr>
          <w:rFonts w:ascii="Calibri" w:hAnsi="Calibri" w:cs="Calibri"/>
        </w:rPr>
        <w:t>six months (because the usual convention is that it takes at least six monthly moves in the same direction following a peak or trough, before a change in direction can be confirmed</w:t>
      </w:r>
      <w:r w:rsidR="00142174">
        <w:rPr>
          <w:rFonts w:ascii="Calibri" w:hAnsi="Calibri" w:cs="Calibri"/>
        </w:rPr>
        <w:t>, and lags in data</w:t>
      </w:r>
      <w:r w:rsidR="00956F3B">
        <w:rPr>
          <w:rFonts w:ascii="Calibri" w:hAnsi="Calibri" w:cs="Calibri"/>
        </w:rPr>
        <w:t xml:space="preserve"> availability after the month to which it refers</w:t>
      </w:r>
      <w:r>
        <w:rPr>
          <w:rFonts w:ascii="Calibri" w:hAnsi="Calibri" w:cs="Calibri"/>
        </w:rPr>
        <w:t>)</w:t>
      </w:r>
      <w:r w:rsidR="007919DC">
        <w:rPr>
          <w:rFonts w:ascii="Calibri" w:hAnsi="Calibri" w:cs="Calibri"/>
        </w:rPr>
        <w:t>, and so if the lead time is six months</w:t>
      </w:r>
      <w:r w:rsidR="00956F3B">
        <w:rPr>
          <w:rFonts w:ascii="Calibri" w:hAnsi="Calibri" w:cs="Calibri"/>
        </w:rPr>
        <w:t xml:space="preserve"> or less</w:t>
      </w:r>
      <w:r w:rsidR="007919DC">
        <w:rPr>
          <w:rFonts w:ascii="Calibri" w:hAnsi="Calibri" w:cs="Calibri"/>
        </w:rPr>
        <w:t>, the Indicator</w:t>
      </w:r>
      <w:r w:rsidR="00956F3B">
        <w:rPr>
          <w:rFonts w:ascii="Calibri" w:hAnsi="Calibri" w:cs="Calibri"/>
        </w:rPr>
        <w:t xml:space="preserve"> will not give advance warning of turning points, and</w:t>
      </w:r>
      <w:r w:rsidR="007919DC">
        <w:rPr>
          <w:rFonts w:ascii="Calibri" w:hAnsi="Calibri" w:cs="Calibri"/>
        </w:rPr>
        <w:t xml:space="preserve"> is not much use for policy or programme purposes</w:t>
      </w:r>
      <w:r>
        <w:rPr>
          <w:rFonts w:ascii="Calibri" w:hAnsi="Calibri" w:cs="Calibri"/>
        </w:rPr>
        <w:t xml:space="preserve">. </w:t>
      </w:r>
      <w:r w:rsidR="000475DD">
        <w:rPr>
          <w:rFonts w:ascii="Calibri" w:hAnsi="Calibri" w:cs="Calibri"/>
        </w:rPr>
        <w:t xml:space="preserve">The cyclical components of employment, its explanatory variables and alternative leading indicators are determined in the same way as for the current Indicator; namely, by subtracting the one-year centred moving average (representing the short-term trend) from the six-year centred moving average (representing the long-term trend), then normalising and standardising the result. </w:t>
      </w:r>
      <w:r w:rsidR="0042141C">
        <w:rPr>
          <w:rFonts w:ascii="Calibri" w:hAnsi="Calibri" w:cs="Calibri"/>
        </w:rPr>
        <w:t xml:space="preserve">Further information on the methodology used for the current Indicator is available in </w:t>
      </w:r>
      <w:r w:rsidR="00F90968" w:rsidRPr="00F90968">
        <w:rPr>
          <w:rFonts w:asciiTheme="minorHAnsi" w:hAnsiTheme="minorHAnsi" w:cstheme="minorHAnsi"/>
        </w:rPr>
        <w:t>Connolly and Stevens</w:t>
      </w:r>
      <w:r w:rsidR="00F90968">
        <w:rPr>
          <w:rFonts w:asciiTheme="minorHAnsi" w:hAnsiTheme="minorHAnsi" w:cstheme="minorHAnsi"/>
        </w:rPr>
        <w:t xml:space="preserve"> (2013)</w:t>
      </w:r>
      <w:r w:rsidR="0042141C">
        <w:rPr>
          <w:rFonts w:asciiTheme="minorHAnsi" w:hAnsiTheme="minorHAnsi" w:cstheme="minorHAnsi"/>
        </w:rPr>
        <w:t xml:space="preserve">. </w:t>
      </w:r>
    </w:p>
    <w:p w:rsidR="00D04A6E" w:rsidRDefault="00D04A6E" w:rsidP="008811C6">
      <w:pPr>
        <w:rPr>
          <w:rFonts w:ascii="Calibri" w:hAnsi="Calibri" w:cs="Calibri"/>
          <w:lang w:eastAsia="en-US"/>
        </w:rPr>
      </w:pPr>
    </w:p>
    <w:p w:rsidR="00D04A6E" w:rsidRDefault="00D04A6E" w:rsidP="008811C6">
      <w:pPr>
        <w:rPr>
          <w:rFonts w:asciiTheme="minorHAnsi" w:hAnsiTheme="minorHAnsi" w:cstheme="minorHAnsi"/>
        </w:rPr>
      </w:pPr>
      <w:r>
        <w:rPr>
          <w:rFonts w:ascii="Calibri" w:hAnsi="Calibri" w:cs="Calibri"/>
          <w:lang w:eastAsia="en-US"/>
        </w:rPr>
        <w:t>The four current components (</w:t>
      </w:r>
      <w:r w:rsidRPr="00BF492A">
        <w:rPr>
          <w:rFonts w:asciiTheme="minorHAnsi" w:hAnsiTheme="minorHAnsi" w:cstheme="minorHAnsi"/>
        </w:rPr>
        <w:t>ANZ Newspaper Job Advertisements</w:t>
      </w:r>
      <w:r>
        <w:rPr>
          <w:rFonts w:asciiTheme="minorHAnsi" w:hAnsiTheme="minorHAnsi" w:cstheme="minorHAnsi"/>
        </w:rPr>
        <w:t xml:space="preserve">, </w:t>
      </w:r>
      <w:r w:rsidRPr="00D04A6E">
        <w:rPr>
          <w:rFonts w:asciiTheme="minorHAnsi" w:hAnsiTheme="minorHAnsi" w:cstheme="minorHAnsi"/>
        </w:rPr>
        <w:t xml:space="preserve">the </w:t>
      </w:r>
      <w:r w:rsidRPr="00D04A6E">
        <w:rPr>
          <w:rFonts w:asciiTheme="minorHAnsi" w:hAnsiTheme="minorHAnsi" w:cstheme="minorHAnsi"/>
          <w:szCs w:val="20"/>
        </w:rPr>
        <w:t>Dun &amp; Bradstreet Employment Expectations Index</w:t>
      </w:r>
      <w:r>
        <w:rPr>
          <w:rFonts w:asciiTheme="minorHAnsi" w:hAnsiTheme="minorHAnsi" w:cstheme="minorHAnsi"/>
        </w:rPr>
        <w:t>,</w:t>
      </w:r>
      <w:r w:rsidRPr="00D04A6E">
        <w:rPr>
          <w:rFonts w:asciiTheme="minorHAnsi" w:hAnsiTheme="minorHAnsi" w:cstheme="minorHAnsi"/>
        </w:rPr>
        <w:t xml:space="preserve"> the </w:t>
      </w:r>
      <w:r w:rsidRPr="00D04A6E">
        <w:rPr>
          <w:rFonts w:asciiTheme="minorHAnsi" w:hAnsiTheme="minorHAnsi" w:cstheme="minorHAnsi"/>
          <w:szCs w:val="20"/>
        </w:rPr>
        <w:t>Westpac-Melbourne Institute [new] Leading Index of Economic Activity</w:t>
      </w:r>
      <w:r w:rsidRPr="00D04A6E">
        <w:rPr>
          <w:rFonts w:asciiTheme="minorHAnsi" w:hAnsiTheme="minorHAnsi" w:cstheme="minorHAnsi"/>
        </w:rPr>
        <w:t xml:space="preserve"> and the </w:t>
      </w:r>
      <w:r w:rsidRPr="00D04A6E">
        <w:rPr>
          <w:rFonts w:asciiTheme="minorHAnsi" w:hAnsiTheme="minorHAnsi" w:cstheme="minorHAnsi"/>
          <w:szCs w:val="20"/>
        </w:rPr>
        <w:t>Westpac-Melbourne Institute Consumer Sentiment Index</w:t>
      </w:r>
      <w:r>
        <w:rPr>
          <w:rFonts w:ascii="Calibri" w:hAnsi="Calibri" w:cs="Calibri"/>
          <w:lang w:eastAsia="en-US"/>
        </w:rPr>
        <w:t>)</w:t>
      </w:r>
      <w:r w:rsidRPr="00D04A6E">
        <w:rPr>
          <w:rFonts w:ascii="Calibri" w:hAnsi="Calibri" w:cs="Calibri"/>
          <w:lang w:eastAsia="en-US"/>
        </w:rPr>
        <w:t xml:space="preserve"> </w:t>
      </w:r>
      <w:r>
        <w:rPr>
          <w:rFonts w:ascii="Calibri" w:hAnsi="Calibri" w:cs="Calibri"/>
          <w:lang w:eastAsia="en-US"/>
        </w:rPr>
        <w:t xml:space="preserve">and a wide range of </w:t>
      </w:r>
      <w:r w:rsidR="00CF7804">
        <w:rPr>
          <w:rFonts w:ascii="Calibri" w:hAnsi="Calibri" w:cs="Calibri"/>
          <w:lang w:eastAsia="en-US"/>
        </w:rPr>
        <w:t xml:space="preserve">alternative series were considered as part of the current Review. The results of the examination of </w:t>
      </w:r>
      <w:r w:rsidR="00CF7804" w:rsidRPr="00CF7804">
        <w:rPr>
          <w:rFonts w:asciiTheme="minorHAnsi" w:hAnsiTheme="minorHAnsi" w:cstheme="minorHAnsi"/>
        </w:rPr>
        <w:t>individual</w:t>
      </w:r>
      <w:r w:rsidR="00CF7804">
        <w:rPr>
          <w:rFonts w:asciiTheme="minorHAnsi" w:hAnsiTheme="minorHAnsi" w:cstheme="minorHAnsi"/>
        </w:rPr>
        <w:t xml:space="preserve"> series are </w:t>
      </w:r>
      <w:r w:rsidR="00CF7804" w:rsidRPr="00CF7804">
        <w:rPr>
          <w:rFonts w:asciiTheme="minorHAnsi" w:hAnsiTheme="minorHAnsi" w:cstheme="minorHAnsi"/>
        </w:rPr>
        <w:t xml:space="preserve">summarised in Labour Economics Section </w:t>
      </w:r>
      <w:r w:rsidR="00CF7804">
        <w:rPr>
          <w:rFonts w:asciiTheme="minorHAnsi" w:hAnsiTheme="minorHAnsi" w:cstheme="minorHAnsi"/>
        </w:rPr>
        <w:t>(</w:t>
      </w:r>
      <w:r w:rsidR="00CF7804" w:rsidRPr="00CF7804">
        <w:rPr>
          <w:rFonts w:asciiTheme="minorHAnsi" w:hAnsiTheme="minorHAnsi" w:cstheme="minorHAnsi"/>
        </w:rPr>
        <w:t>2014)</w:t>
      </w:r>
      <w:r w:rsidR="00CF7804">
        <w:rPr>
          <w:rFonts w:asciiTheme="minorHAnsi" w:hAnsiTheme="minorHAnsi" w:cstheme="minorHAnsi"/>
        </w:rPr>
        <w:t xml:space="preserve">. To illustrate the wide range of series considered and rejected, a list of the rejected series is provided in Appendix A. This led to </w:t>
      </w:r>
      <w:r w:rsidR="00CF7804" w:rsidRPr="00CF7804">
        <w:rPr>
          <w:rFonts w:asciiTheme="minorHAnsi" w:hAnsiTheme="minorHAnsi" w:cstheme="minorHAnsi"/>
        </w:rPr>
        <w:t>a shortlist of potential components</w:t>
      </w:r>
      <w:r w:rsidR="00CF7804">
        <w:rPr>
          <w:rFonts w:asciiTheme="minorHAnsi" w:hAnsiTheme="minorHAnsi" w:cstheme="minorHAnsi"/>
        </w:rPr>
        <w:t xml:space="preserve"> which is discussed in the next Section. </w:t>
      </w:r>
    </w:p>
    <w:p w:rsidR="00CF7804" w:rsidRDefault="00CF7804" w:rsidP="008811C6">
      <w:pPr>
        <w:rPr>
          <w:rFonts w:asciiTheme="minorHAnsi" w:hAnsiTheme="minorHAnsi" w:cstheme="minorHAnsi"/>
        </w:rPr>
      </w:pPr>
    </w:p>
    <w:p w:rsidR="00CF7804" w:rsidRPr="00CF7804" w:rsidRDefault="00CF7804" w:rsidP="008811C6">
      <w:pPr>
        <w:rPr>
          <w:rFonts w:asciiTheme="minorHAnsi" w:hAnsiTheme="minorHAnsi" w:cstheme="minorHAnsi"/>
        </w:rPr>
      </w:pPr>
      <w:r>
        <w:rPr>
          <w:rFonts w:asciiTheme="minorHAnsi" w:hAnsiTheme="minorHAnsi" w:cstheme="minorHAnsi"/>
        </w:rPr>
        <w:t xml:space="preserve">The final </w:t>
      </w:r>
      <w:r w:rsidRPr="00CF7804">
        <w:rPr>
          <w:rFonts w:asciiTheme="minorHAnsi" w:hAnsiTheme="minorHAnsi" w:cstheme="minorHAnsi"/>
        </w:rPr>
        <w:t>stage</w:t>
      </w:r>
      <w:r>
        <w:rPr>
          <w:rFonts w:asciiTheme="minorHAnsi" w:hAnsiTheme="minorHAnsi" w:cstheme="minorHAnsi"/>
        </w:rPr>
        <w:t xml:space="preserve"> of the current Review, explained in the rest of this paper,</w:t>
      </w:r>
      <w:r w:rsidRPr="00CF7804">
        <w:rPr>
          <w:rFonts w:asciiTheme="minorHAnsi" w:hAnsiTheme="minorHAnsi" w:cstheme="minorHAnsi"/>
        </w:rPr>
        <w:t xml:space="preserve"> </w:t>
      </w:r>
      <w:r>
        <w:rPr>
          <w:rFonts w:asciiTheme="minorHAnsi" w:hAnsiTheme="minorHAnsi" w:cstheme="minorHAnsi"/>
        </w:rPr>
        <w:t xml:space="preserve">consists of testing </w:t>
      </w:r>
      <w:r w:rsidRPr="00CF7804">
        <w:rPr>
          <w:rFonts w:asciiTheme="minorHAnsi" w:hAnsiTheme="minorHAnsi" w:cstheme="minorHAnsi"/>
        </w:rPr>
        <w:t xml:space="preserve">combinations of the shortlisted individual series against each other and </w:t>
      </w:r>
      <w:r>
        <w:rPr>
          <w:rFonts w:asciiTheme="minorHAnsi" w:hAnsiTheme="minorHAnsi" w:cstheme="minorHAnsi"/>
        </w:rPr>
        <w:t xml:space="preserve">choosing </w:t>
      </w:r>
      <w:r w:rsidRPr="00CF7804">
        <w:rPr>
          <w:rFonts w:asciiTheme="minorHAnsi" w:hAnsiTheme="minorHAnsi" w:cstheme="minorHAnsi"/>
        </w:rPr>
        <w:t>the preferred new Indicator. A number of alternative methods, ranging from the simple (equal weightings on each component) to the very sophisticated (Kalman Filtering, with time-varying parameters estimated econometrically for each component) were used to establish the weights on each component.</w:t>
      </w:r>
      <w:r w:rsidR="007454CC">
        <w:rPr>
          <w:rFonts w:asciiTheme="minorHAnsi" w:hAnsiTheme="minorHAnsi" w:cstheme="minorHAnsi"/>
        </w:rPr>
        <w:t xml:space="preserve"> These are explained in the rest of this paper, before the paper concludes with the </w:t>
      </w:r>
      <w:r w:rsidR="008B0D14">
        <w:rPr>
          <w:rFonts w:asciiTheme="minorHAnsi" w:hAnsiTheme="minorHAnsi" w:cstheme="minorHAnsi"/>
        </w:rPr>
        <w:t>choice of the preferred new Indicator.</w:t>
      </w:r>
    </w:p>
    <w:p w:rsidR="00CF7804" w:rsidRPr="00CF7804" w:rsidRDefault="00CF7804" w:rsidP="008811C6">
      <w:pPr>
        <w:rPr>
          <w:rFonts w:ascii="Calibri" w:hAnsi="Calibri" w:cs="Calibri"/>
          <w:lang w:eastAsia="en-US"/>
        </w:rPr>
      </w:pPr>
    </w:p>
    <w:p w:rsidR="00730F74" w:rsidRDefault="00730F74">
      <w:pPr>
        <w:rPr>
          <w:rFonts w:ascii="Calibri" w:hAnsi="Calibri" w:cs="Calibri"/>
          <w:b/>
        </w:rPr>
      </w:pPr>
      <w:r>
        <w:rPr>
          <w:rFonts w:ascii="Calibri" w:hAnsi="Calibri" w:cs="Calibri"/>
          <w:b/>
        </w:rPr>
        <w:br w:type="page"/>
      </w:r>
    </w:p>
    <w:p w:rsidR="00862129" w:rsidRPr="00404085" w:rsidRDefault="00404085">
      <w:pPr>
        <w:rPr>
          <w:rFonts w:ascii="Calibri" w:hAnsi="Calibri" w:cs="Calibri"/>
          <w:b/>
        </w:rPr>
      </w:pPr>
      <w:r w:rsidRPr="00404085">
        <w:rPr>
          <w:rFonts w:ascii="Calibri" w:hAnsi="Calibri" w:cs="Calibri"/>
          <w:b/>
        </w:rPr>
        <w:lastRenderedPageBreak/>
        <w:t>Pote</w:t>
      </w:r>
      <w:r w:rsidR="001F0EC0">
        <w:rPr>
          <w:rFonts w:ascii="Calibri" w:hAnsi="Calibri" w:cs="Calibri"/>
          <w:b/>
        </w:rPr>
        <w:t>ntial Component Series for the N</w:t>
      </w:r>
      <w:r w:rsidRPr="00404085">
        <w:rPr>
          <w:rFonts w:ascii="Calibri" w:hAnsi="Calibri" w:cs="Calibri"/>
          <w:b/>
        </w:rPr>
        <w:t>ew Indicator</w:t>
      </w:r>
    </w:p>
    <w:p w:rsidR="00862129" w:rsidRDefault="00862129">
      <w:pPr>
        <w:rPr>
          <w:rFonts w:ascii="Calibri" w:hAnsi="Calibri" w:cs="Calibri"/>
        </w:rPr>
      </w:pPr>
    </w:p>
    <w:p w:rsidR="008B0D14" w:rsidRDefault="008B0D14">
      <w:pPr>
        <w:rPr>
          <w:rFonts w:ascii="Calibri" w:hAnsi="Calibri" w:cs="Calibri"/>
        </w:rPr>
      </w:pPr>
      <w:r>
        <w:rPr>
          <w:rFonts w:ascii="Calibri" w:hAnsi="Calibri" w:cs="Calibri"/>
        </w:rPr>
        <w:t xml:space="preserve">It would have been too time-consuming and inefficient to consider all combinations of each of the current and alternative series in the Review. Instead, most of the series were ruled out of contention after individually examining the performance of their cyclical components against cyclical employment. </w:t>
      </w:r>
    </w:p>
    <w:p w:rsidR="008B0D14" w:rsidRDefault="008B0D14">
      <w:pPr>
        <w:rPr>
          <w:rFonts w:ascii="Calibri" w:hAnsi="Calibri" w:cs="Calibri"/>
        </w:rPr>
      </w:pPr>
    </w:p>
    <w:p w:rsidR="008B0D14" w:rsidRDefault="003E4D7A">
      <w:pPr>
        <w:rPr>
          <w:rFonts w:ascii="Calibri" w:hAnsi="Calibri" w:cs="Calibri"/>
        </w:rPr>
      </w:pPr>
      <w:r>
        <w:rPr>
          <w:rFonts w:ascii="Calibri" w:hAnsi="Calibri" w:cs="Calibri"/>
          <w:lang w:eastAsia="en-US"/>
        </w:rPr>
        <w:t>The results of this</w:t>
      </w:r>
      <w:r w:rsidR="008B0D14">
        <w:rPr>
          <w:rFonts w:ascii="Calibri" w:hAnsi="Calibri" w:cs="Calibri"/>
          <w:lang w:eastAsia="en-US"/>
        </w:rPr>
        <w:t xml:space="preserve"> examination of </w:t>
      </w:r>
      <w:r w:rsidR="008B0D14" w:rsidRPr="00CF7804">
        <w:rPr>
          <w:rFonts w:asciiTheme="minorHAnsi" w:hAnsiTheme="minorHAnsi" w:cstheme="minorHAnsi"/>
        </w:rPr>
        <w:t>individual</w:t>
      </w:r>
      <w:r w:rsidR="008B0D14">
        <w:rPr>
          <w:rFonts w:asciiTheme="minorHAnsi" w:hAnsiTheme="minorHAnsi" w:cstheme="minorHAnsi"/>
        </w:rPr>
        <w:t xml:space="preserve"> series</w:t>
      </w:r>
      <w:r>
        <w:rPr>
          <w:rFonts w:asciiTheme="minorHAnsi" w:hAnsiTheme="minorHAnsi" w:cstheme="minorHAnsi"/>
        </w:rPr>
        <w:t xml:space="preserve"> against cyclical employment</w:t>
      </w:r>
      <w:r w:rsidR="008B0D14">
        <w:rPr>
          <w:rFonts w:asciiTheme="minorHAnsi" w:hAnsiTheme="minorHAnsi" w:cstheme="minorHAnsi"/>
        </w:rPr>
        <w:t xml:space="preserve"> are </w:t>
      </w:r>
      <w:r w:rsidR="008B0D14" w:rsidRPr="00CF7804">
        <w:rPr>
          <w:rFonts w:asciiTheme="minorHAnsi" w:hAnsiTheme="minorHAnsi" w:cstheme="minorHAnsi"/>
        </w:rPr>
        <w:t xml:space="preserve">summarised in Labour Economics Section </w:t>
      </w:r>
      <w:r w:rsidR="008B0D14">
        <w:rPr>
          <w:rFonts w:asciiTheme="minorHAnsi" w:hAnsiTheme="minorHAnsi" w:cstheme="minorHAnsi"/>
        </w:rPr>
        <w:t>(</w:t>
      </w:r>
      <w:r w:rsidR="008B0D14" w:rsidRPr="00CF7804">
        <w:rPr>
          <w:rFonts w:asciiTheme="minorHAnsi" w:hAnsiTheme="minorHAnsi" w:cstheme="minorHAnsi"/>
        </w:rPr>
        <w:t>2014)</w:t>
      </w:r>
      <w:r w:rsidR="004C239E">
        <w:rPr>
          <w:rFonts w:asciiTheme="minorHAnsi" w:hAnsiTheme="minorHAnsi" w:cstheme="minorHAnsi"/>
        </w:rPr>
        <w:t>. This process led to a short</w:t>
      </w:r>
      <w:r w:rsidR="008B0D14">
        <w:rPr>
          <w:rFonts w:asciiTheme="minorHAnsi" w:hAnsiTheme="minorHAnsi" w:cstheme="minorHAnsi"/>
        </w:rPr>
        <w:t xml:space="preserve">list and a reserve list of series for further consideration. </w:t>
      </w:r>
    </w:p>
    <w:p w:rsidR="008B0D14" w:rsidRDefault="008B0D14">
      <w:pPr>
        <w:rPr>
          <w:rFonts w:ascii="Calibri" w:hAnsi="Calibri" w:cs="Calibri"/>
        </w:rPr>
      </w:pPr>
    </w:p>
    <w:p w:rsidR="00A25726" w:rsidRPr="003E4D7A" w:rsidRDefault="003E4D7A">
      <w:pPr>
        <w:rPr>
          <w:rFonts w:ascii="Calibri" w:hAnsi="Calibri" w:cs="Calibri"/>
        </w:rPr>
      </w:pPr>
      <w:r>
        <w:rPr>
          <w:rFonts w:ascii="Calibri" w:hAnsi="Calibri" w:cs="Calibri"/>
        </w:rPr>
        <w:t>The s</w:t>
      </w:r>
      <w:r w:rsidR="004C239E">
        <w:rPr>
          <w:rFonts w:ascii="Calibri" w:hAnsi="Calibri" w:cs="Calibri"/>
        </w:rPr>
        <w:t>hort</w:t>
      </w:r>
      <w:r w:rsidR="00A25726" w:rsidRPr="003E4D7A">
        <w:rPr>
          <w:rFonts w:ascii="Calibri" w:hAnsi="Calibri" w:cs="Calibri"/>
        </w:rPr>
        <w:t>list of series for further consideration</w:t>
      </w:r>
      <w:r>
        <w:rPr>
          <w:rFonts w:ascii="Calibri" w:hAnsi="Calibri" w:cs="Calibri"/>
        </w:rPr>
        <w:t xml:space="preserve"> included the following two international series:</w:t>
      </w:r>
    </w:p>
    <w:p w:rsidR="00A25726" w:rsidRPr="00DE70D8" w:rsidRDefault="00A25726">
      <w:pPr>
        <w:rPr>
          <w:rFonts w:ascii="Calibri" w:hAnsi="Calibri" w:cs="Calibri"/>
        </w:rPr>
      </w:pPr>
    </w:p>
    <w:p w:rsidR="00A25726" w:rsidRPr="00DE70D8" w:rsidRDefault="00A25726" w:rsidP="00DE70D8">
      <w:pPr>
        <w:pStyle w:val="ListParagraph"/>
        <w:numPr>
          <w:ilvl w:val="0"/>
          <w:numId w:val="1"/>
        </w:numPr>
        <w:rPr>
          <w:sz w:val="24"/>
          <w:szCs w:val="24"/>
        </w:rPr>
      </w:pPr>
      <w:r w:rsidRPr="00DE70D8">
        <w:rPr>
          <w:sz w:val="24"/>
          <w:szCs w:val="24"/>
        </w:rPr>
        <w:t>Electricity Production in China</w:t>
      </w:r>
    </w:p>
    <w:p w:rsidR="00A25726" w:rsidRPr="00DE70D8" w:rsidRDefault="003E4D7A" w:rsidP="00DE70D8">
      <w:pPr>
        <w:pStyle w:val="ListParagraph"/>
        <w:numPr>
          <w:ilvl w:val="0"/>
          <w:numId w:val="1"/>
        </w:numPr>
        <w:rPr>
          <w:sz w:val="24"/>
          <w:szCs w:val="24"/>
        </w:rPr>
      </w:pPr>
      <w:r>
        <w:rPr>
          <w:sz w:val="24"/>
          <w:szCs w:val="24"/>
        </w:rPr>
        <w:t>US Yield Difference</w:t>
      </w:r>
      <w:r w:rsidR="00260B54" w:rsidRPr="00DE70D8">
        <w:rPr>
          <w:sz w:val="24"/>
          <w:szCs w:val="24"/>
        </w:rPr>
        <w:t xml:space="preserve"> (10-year bond yield – 90-day bank bill interest rate)</w:t>
      </w:r>
    </w:p>
    <w:p w:rsidR="00A25726" w:rsidRPr="00DE70D8" w:rsidRDefault="003E4D7A">
      <w:pPr>
        <w:rPr>
          <w:rFonts w:asciiTheme="minorHAnsi" w:hAnsiTheme="minorHAnsi" w:cstheme="minorHAnsi"/>
          <w:u w:val="single"/>
        </w:rPr>
      </w:pPr>
      <w:r>
        <w:rPr>
          <w:rFonts w:asciiTheme="minorHAnsi" w:hAnsiTheme="minorHAnsi" w:cstheme="minorHAnsi"/>
        </w:rPr>
        <w:t>The short-list also included the following four domestic s</w:t>
      </w:r>
      <w:r w:rsidR="00A25726" w:rsidRPr="003E4D7A">
        <w:rPr>
          <w:rFonts w:asciiTheme="minorHAnsi" w:hAnsiTheme="minorHAnsi" w:cstheme="minorHAnsi"/>
        </w:rPr>
        <w:t>eries</w:t>
      </w:r>
      <w:r>
        <w:rPr>
          <w:rFonts w:asciiTheme="minorHAnsi" w:hAnsiTheme="minorHAnsi" w:cstheme="minorHAnsi"/>
        </w:rPr>
        <w:t>:</w:t>
      </w:r>
    </w:p>
    <w:p w:rsidR="00A25726" w:rsidRPr="00DE70D8" w:rsidRDefault="00A25726">
      <w:pPr>
        <w:rPr>
          <w:rFonts w:asciiTheme="minorHAnsi" w:hAnsiTheme="minorHAnsi" w:cstheme="minorHAnsi"/>
        </w:rPr>
      </w:pPr>
    </w:p>
    <w:p w:rsidR="00DE70D8" w:rsidRDefault="00DE70D8" w:rsidP="00DE70D8">
      <w:pPr>
        <w:pStyle w:val="ListParagraph"/>
        <w:numPr>
          <w:ilvl w:val="0"/>
          <w:numId w:val="1"/>
        </w:numPr>
        <w:rPr>
          <w:sz w:val="24"/>
          <w:szCs w:val="24"/>
        </w:rPr>
      </w:pPr>
      <w:r w:rsidRPr="003E4D7A">
        <w:rPr>
          <w:color w:val="000000" w:themeColor="text1"/>
          <w:sz w:val="24"/>
          <w:szCs w:val="24"/>
        </w:rPr>
        <w:t>Dun &amp; Bradstreet Employment Expectations Index</w:t>
      </w:r>
      <w:r w:rsidR="003E4D7A">
        <w:rPr>
          <w:rStyle w:val="FootnoteReference"/>
          <w:color w:val="000000" w:themeColor="text1"/>
          <w:sz w:val="24"/>
          <w:szCs w:val="24"/>
        </w:rPr>
        <w:footnoteReference w:id="3"/>
      </w:r>
    </w:p>
    <w:p w:rsidR="00DE70D8" w:rsidRPr="00DE70D8" w:rsidRDefault="00DE70D8" w:rsidP="00DE70D8">
      <w:pPr>
        <w:pStyle w:val="ListParagraph"/>
        <w:numPr>
          <w:ilvl w:val="0"/>
          <w:numId w:val="1"/>
        </w:numPr>
        <w:rPr>
          <w:sz w:val="24"/>
          <w:szCs w:val="24"/>
        </w:rPr>
      </w:pPr>
      <w:r w:rsidRPr="00DE70D8">
        <w:rPr>
          <w:sz w:val="24"/>
          <w:szCs w:val="24"/>
        </w:rPr>
        <w:t xml:space="preserve">NAB Forward Orders </w:t>
      </w:r>
      <w:r>
        <w:rPr>
          <w:sz w:val="24"/>
          <w:szCs w:val="24"/>
        </w:rPr>
        <w:t>Index</w:t>
      </w:r>
    </w:p>
    <w:p w:rsidR="00696A93" w:rsidRPr="00696A93" w:rsidRDefault="00C904CC" w:rsidP="00696A93">
      <w:pPr>
        <w:pStyle w:val="ListParagraph"/>
        <w:numPr>
          <w:ilvl w:val="0"/>
          <w:numId w:val="1"/>
        </w:numPr>
        <w:rPr>
          <w:sz w:val="24"/>
          <w:szCs w:val="24"/>
        </w:rPr>
      </w:pPr>
      <w:r w:rsidRPr="003E4D7A">
        <w:rPr>
          <w:color w:val="000000" w:themeColor="text1"/>
          <w:sz w:val="24"/>
          <w:szCs w:val="24"/>
        </w:rPr>
        <w:t xml:space="preserve">Westpac-Melbourne Institute </w:t>
      </w:r>
      <w:r w:rsidR="00696A93" w:rsidRPr="003E4D7A">
        <w:rPr>
          <w:color w:val="000000" w:themeColor="text1"/>
          <w:sz w:val="24"/>
          <w:szCs w:val="24"/>
        </w:rPr>
        <w:t>Leading Index of Economic Activity</w:t>
      </w:r>
      <w:r w:rsidR="003E4D7A">
        <w:rPr>
          <w:rStyle w:val="FootnoteReference"/>
          <w:color w:val="000000" w:themeColor="text1"/>
          <w:sz w:val="24"/>
          <w:szCs w:val="24"/>
        </w:rPr>
        <w:footnoteReference w:id="4"/>
      </w:r>
      <w:r w:rsidRPr="003E4D7A">
        <w:rPr>
          <w:color w:val="000000" w:themeColor="text1"/>
          <w:sz w:val="24"/>
          <w:szCs w:val="24"/>
        </w:rPr>
        <w:t xml:space="preserve"> </w:t>
      </w:r>
    </w:p>
    <w:p w:rsidR="00C904CC" w:rsidRPr="00C904CC" w:rsidRDefault="00C904CC" w:rsidP="00C904CC">
      <w:pPr>
        <w:pStyle w:val="ListParagraph"/>
        <w:numPr>
          <w:ilvl w:val="0"/>
          <w:numId w:val="1"/>
        </w:numPr>
        <w:rPr>
          <w:sz w:val="24"/>
          <w:szCs w:val="24"/>
        </w:rPr>
      </w:pPr>
      <w:r w:rsidRPr="001F0EC0">
        <w:rPr>
          <w:color w:val="000000" w:themeColor="text1"/>
          <w:sz w:val="24"/>
          <w:szCs w:val="24"/>
        </w:rPr>
        <w:t>Westpac-Melbourne Institute Consumer Sentiment Index</w:t>
      </w:r>
      <w:r w:rsidR="001F0EC0">
        <w:rPr>
          <w:rStyle w:val="FootnoteReference"/>
          <w:color w:val="000000" w:themeColor="text1"/>
          <w:sz w:val="24"/>
          <w:szCs w:val="24"/>
        </w:rPr>
        <w:footnoteReference w:id="5"/>
      </w:r>
      <w:r w:rsidRPr="001F0EC0">
        <w:rPr>
          <w:color w:val="000000" w:themeColor="text1"/>
          <w:sz w:val="24"/>
          <w:szCs w:val="24"/>
        </w:rPr>
        <w:t xml:space="preserve"> </w:t>
      </w:r>
    </w:p>
    <w:p w:rsidR="00342FE1" w:rsidRDefault="00342FE1">
      <w:pPr>
        <w:rPr>
          <w:rFonts w:asciiTheme="minorHAnsi" w:hAnsiTheme="minorHAnsi" w:cstheme="minorHAnsi"/>
        </w:rPr>
      </w:pPr>
      <w:r>
        <w:rPr>
          <w:rFonts w:asciiTheme="minorHAnsi" w:hAnsiTheme="minorHAnsi" w:cstheme="minorHAnsi"/>
        </w:rPr>
        <w:t>As the ANZ Newspaper Job Advertisements series is a component of the current Indicator, it was also evaluated in this final stage of the Review.</w:t>
      </w:r>
    </w:p>
    <w:p w:rsidR="00342FE1" w:rsidRDefault="00342FE1">
      <w:pPr>
        <w:rPr>
          <w:rFonts w:asciiTheme="minorHAnsi" w:hAnsiTheme="minorHAnsi" w:cstheme="minorHAnsi"/>
        </w:rPr>
      </w:pPr>
    </w:p>
    <w:p w:rsidR="00A25726" w:rsidRPr="004C239E" w:rsidRDefault="004C239E">
      <w:pPr>
        <w:rPr>
          <w:rFonts w:asciiTheme="minorHAnsi" w:hAnsiTheme="minorHAnsi" w:cstheme="minorHAnsi"/>
        </w:rPr>
      </w:pPr>
      <w:r>
        <w:rPr>
          <w:rFonts w:asciiTheme="minorHAnsi" w:hAnsiTheme="minorHAnsi" w:cstheme="minorHAnsi"/>
        </w:rPr>
        <w:t>The plan for the initial part of the final stage of the Review was to examine combinations of series on the shortlist shown above, and only to include series from the r</w:t>
      </w:r>
      <w:r w:rsidR="00A25726" w:rsidRPr="004C239E">
        <w:rPr>
          <w:rFonts w:asciiTheme="minorHAnsi" w:hAnsiTheme="minorHAnsi" w:cstheme="minorHAnsi"/>
        </w:rPr>
        <w:t>eserve list of series</w:t>
      </w:r>
      <w:r w:rsidR="00037B53" w:rsidRPr="004C239E">
        <w:rPr>
          <w:rFonts w:asciiTheme="minorHAnsi" w:hAnsiTheme="minorHAnsi" w:cstheme="minorHAnsi"/>
        </w:rPr>
        <w:t xml:space="preserve"> in </w:t>
      </w:r>
      <w:r>
        <w:rPr>
          <w:rFonts w:asciiTheme="minorHAnsi" w:hAnsiTheme="minorHAnsi" w:cstheme="minorHAnsi"/>
        </w:rPr>
        <w:t>this</w:t>
      </w:r>
      <w:r w:rsidR="00037B53" w:rsidRPr="004C239E">
        <w:rPr>
          <w:rFonts w:asciiTheme="minorHAnsi" w:hAnsiTheme="minorHAnsi" w:cstheme="minorHAnsi"/>
        </w:rPr>
        <w:t xml:space="preserve"> stage if the combin</w:t>
      </w:r>
      <w:r>
        <w:rPr>
          <w:rFonts w:asciiTheme="minorHAnsi" w:hAnsiTheme="minorHAnsi" w:cstheme="minorHAnsi"/>
        </w:rPr>
        <w:t>ation of variables on the short</w:t>
      </w:r>
      <w:r w:rsidR="00037B53" w:rsidRPr="004C239E">
        <w:rPr>
          <w:rFonts w:asciiTheme="minorHAnsi" w:hAnsiTheme="minorHAnsi" w:cstheme="minorHAnsi"/>
        </w:rPr>
        <w:t>list doesn’t resul</w:t>
      </w:r>
      <w:r>
        <w:rPr>
          <w:rFonts w:asciiTheme="minorHAnsi" w:hAnsiTheme="minorHAnsi" w:cstheme="minorHAnsi"/>
        </w:rPr>
        <w:t xml:space="preserve">t in a satisfactory new </w:t>
      </w:r>
      <w:r w:rsidR="00037B53" w:rsidRPr="004C239E">
        <w:rPr>
          <w:rFonts w:asciiTheme="minorHAnsi" w:hAnsiTheme="minorHAnsi" w:cstheme="minorHAnsi"/>
        </w:rPr>
        <w:t>Indicator</w:t>
      </w:r>
      <w:r>
        <w:rPr>
          <w:rFonts w:asciiTheme="minorHAnsi" w:hAnsiTheme="minorHAnsi" w:cstheme="minorHAnsi"/>
        </w:rPr>
        <w:t>.</w:t>
      </w:r>
    </w:p>
    <w:p w:rsidR="004C239E" w:rsidRDefault="004C239E">
      <w:pPr>
        <w:rPr>
          <w:rFonts w:asciiTheme="minorHAnsi" w:hAnsiTheme="minorHAnsi" w:cstheme="minorHAnsi"/>
        </w:rPr>
      </w:pPr>
    </w:p>
    <w:p w:rsidR="004C239E" w:rsidRPr="00DE70D8" w:rsidRDefault="004C239E">
      <w:pPr>
        <w:rPr>
          <w:rFonts w:asciiTheme="minorHAnsi" w:hAnsiTheme="minorHAnsi" w:cstheme="minorHAnsi"/>
        </w:rPr>
      </w:pPr>
      <w:r>
        <w:rPr>
          <w:rFonts w:asciiTheme="minorHAnsi" w:hAnsiTheme="minorHAnsi" w:cstheme="minorHAnsi"/>
        </w:rPr>
        <w:t>The reserve list also had two international series as follows:</w:t>
      </w:r>
    </w:p>
    <w:p w:rsidR="00A25726" w:rsidRPr="00DE70D8" w:rsidRDefault="00A25726">
      <w:pPr>
        <w:rPr>
          <w:rFonts w:asciiTheme="minorHAnsi" w:hAnsiTheme="minorHAnsi" w:cstheme="minorHAnsi"/>
        </w:rPr>
      </w:pPr>
    </w:p>
    <w:p w:rsidR="00260B54" w:rsidRPr="005E3E82" w:rsidRDefault="00260B54" w:rsidP="005E3E82">
      <w:pPr>
        <w:pStyle w:val="ListParagraph"/>
        <w:numPr>
          <w:ilvl w:val="0"/>
          <w:numId w:val="1"/>
        </w:numPr>
        <w:rPr>
          <w:sz w:val="24"/>
          <w:szCs w:val="24"/>
        </w:rPr>
      </w:pPr>
      <w:r w:rsidRPr="005E3E82">
        <w:rPr>
          <w:sz w:val="24"/>
          <w:szCs w:val="24"/>
        </w:rPr>
        <w:t>Building Permits in USA</w:t>
      </w:r>
    </w:p>
    <w:p w:rsidR="00D971CB" w:rsidRPr="00DE70D8" w:rsidRDefault="00D971CB" w:rsidP="00D971CB">
      <w:pPr>
        <w:pStyle w:val="ListParagraph"/>
        <w:numPr>
          <w:ilvl w:val="0"/>
          <w:numId w:val="1"/>
        </w:numPr>
        <w:rPr>
          <w:sz w:val="24"/>
          <w:szCs w:val="24"/>
        </w:rPr>
      </w:pPr>
      <w:r>
        <w:rPr>
          <w:sz w:val="24"/>
          <w:szCs w:val="24"/>
        </w:rPr>
        <w:t>Official</w:t>
      </w:r>
      <w:r w:rsidRPr="00DE70D8">
        <w:rPr>
          <w:sz w:val="24"/>
          <w:szCs w:val="24"/>
        </w:rPr>
        <w:t xml:space="preserve"> Purchasing Managers’ Index of Manufacturing Output in China</w:t>
      </w:r>
      <w:r>
        <w:rPr>
          <w:sz w:val="24"/>
          <w:szCs w:val="24"/>
        </w:rPr>
        <w:t xml:space="preserve"> (National Bureau of Statistics of China)</w:t>
      </w:r>
    </w:p>
    <w:p w:rsidR="00A25726" w:rsidRPr="00DE70D8" w:rsidRDefault="00A25726">
      <w:pPr>
        <w:rPr>
          <w:rFonts w:asciiTheme="minorHAnsi" w:hAnsiTheme="minorHAnsi" w:cstheme="minorHAnsi"/>
        </w:rPr>
      </w:pPr>
    </w:p>
    <w:p w:rsidR="00730F74" w:rsidRDefault="00730F74">
      <w:pPr>
        <w:rPr>
          <w:rFonts w:asciiTheme="minorHAnsi" w:hAnsiTheme="minorHAnsi" w:cstheme="minorHAnsi"/>
        </w:rPr>
      </w:pPr>
      <w:r>
        <w:rPr>
          <w:rFonts w:asciiTheme="minorHAnsi" w:hAnsiTheme="minorHAnsi" w:cstheme="minorHAnsi"/>
        </w:rPr>
        <w:br w:type="page"/>
      </w:r>
    </w:p>
    <w:p w:rsidR="00A25726" w:rsidRPr="00DE70D8" w:rsidRDefault="004C239E" w:rsidP="00A25726">
      <w:pPr>
        <w:rPr>
          <w:rFonts w:asciiTheme="minorHAnsi" w:hAnsiTheme="minorHAnsi" w:cstheme="minorHAnsi"/>
          <w:u w:val="single"/>
        </w:rPr>
      </w:pPr>
      <w:r w:rsidRPr="004C239E">
        <w:rPr>
          <w:rFonts w:asciiTheme="minorHAnsi" w:hAnsiTheme="minorHAnsi" w:cstheme="minorHAnsi"/>
        </w:rPr>
        <w:lastRenderedPageBreak/>
        <w:t xml:space="preserve">The reserve list also had </w:t>
      </w:r>
      <w:r>
        <w:rPr>
          <w:rFonts w:asciiTheme="minorHAnsi" w:hAnsiTheme="minorHAnsi" w:cstheme="minorHAnsi"/>
        </w:rPr>
        <w:t>four domestic</w:t>
      </w:r>
      <w:r w:rsidRPr="004C239E">
        <w:rPr>
          <w:rFonts w:asciiTheme="minorHAnsi" w:hAnsiTheme="minorHAnsi" w:cstheme="minorHAnsi"/>
        </w:rPr>
        <w:t xml:space="preserve"> series as follows:</w:t>
      </w:r>
    </w:p>
    <w:p w:rsidR="00A25726" w:rsidRDefault="00A25726">
      <w:pPr>
        <w:rPr>
          <w:rFonts w:asciiTheme="minorHAnsi" w:hAnsiTheme="minorHAnsi" w:cstheme="minorHAnsi"/>
        </w:rPr>
      </w:pPr>
    </w:p>
    <w:p w:rsidR="00DE70D8" w:rsidRDefault="00DE70D8" w:rsidP="00DE70D8">
      <w:pPr>
        <w:pStyle w:val="ListParagraph"/>
        <w:numPr>
          <w:ilvl w:val="0"/>
          <w:numId w:val="1"/>
        </w:numPr>
        <w:rPr>
          <w:sz w:val="24"/>
          <w:szCs w:val="24"/>
        </w:rPr>
      </w:pPr>
      <w:r>
        <w:rPr>
          <w:sz w:val="24"/>
          <w:szCs w:val="24"/>
        </w:rPr>
        <w:t>NAB</w:t>
      </w:r>
      <w:r w:rsidRPr="00DE70D8">
        <w:rPr>
          <w:sz w:val="24"/>
          <w:szCs w:val="24"/>
        </w:rPr>
        <w:t xml:space="preserve"> Employment Expectations Index</w:t>
      </w:r>
    </w:p>
    <w:p w:rsidR="00C904CC" w:rsidRPr="00C904CC" w:rsidRDefault="00C904CC" w:rsidP="00C904CC">
      <w:pPr>
        <w:pStyle w:val="ListParagraph"/>
        <w:numPr>
          <w:ilvl w:val="0"/>
          <w:numId w:val="1"/>
        </w:numPr>
        <w:rPr>
          <w:sz w:val="24"/>
          <w:szCs w:val="24"/>
        </w:rPr>
      </w:pPr>
      <w:r>
        <w:rPr>
          <w:sz w:val="24"/>
          <w:szCs w:val="24"/>
        </w:rPr>
        <w:t xml:space="preserve">Westpac-Melbourne Institute </w:t>
      </w:r>
      <w:r w:rsidRPr="00C904CC">
        <w:rPr>
          <w:sz w:val="24"/>
          <w:szCs w:val="24"/>
        </w:rPr>
        <w:t xml:space="preserve">Unemployment Expectations </w:t>
      </w:r>
      <w:r>
        <w:rPr>
          <w:sz w:val="24"/>
          <w:szCs w:val="24"/>
        </w:rPr>
        <w:t>Index</w:t>
      </w:r>
    </w:p>
    <w:p w:rsidR="00037B53" w:rsidRPr="00037B53" w:rsidRDefault="00037B53" w:rsidP="00037B53">
      <w:pPr>
        <w:pStyle w:val="ListParagraph"/>
        <w:numPr>
          <w:ilvl w:val="0"/>
          <w:numId w:val="1"/>
        </w:numPr>
        <w:spacing w:line="240" w:lineRule="auto"/>
        <w:jc w:val="both"/>
        <w:rPr>
          <w:sz w:val="24"/>
          <w:szCs w:val="24"/>
        </w:rPr>
      </w:pPr>
      <w:r>
        <w:rPr>
          <w:sz w:val="24"/>
          <w:szCs w:val="24"/>
        </w:rPr>
        <w:t>Hours Lost by</w:t>
      </w:r>
      <w:r w:rsidRPr="00037B53">
        <w:rPr>
          <w:sz w:val="24"/>
          <w:szCs w:val="24"/>
        </w:rPr>
        <w:t xml:space="preserve"> Full-time Workers working Short Hours </w:t>
      </w:r>
      <w:r>
        <w:rPr>
          <w:sz w:val="24"/>
          <w:szCs w:val="24"/>
        </w:rPr>
        <w:t>for Economic Reasons (ABS)</w:t>
      </w:r>
    </w:p>
    <w:p w:rsidR="006D3AF9" w:rsidRDefault="006D3AF9" w:rsidP="006D3AF9">
      <w:pPr>
        <w:pStyle w:val="ListParagraph"/>
        <w:numPr>
          <w:ilvl w:val="0"/>
          <w:numId w:val="1"/>
        </w:numPr>
        <w:spacing w:line="240" w:lineRule="auto"/>
        <w:jc w:val="both"/>
        <w:rPr>
          <w:sz w:val="24"/>
          <w:szCs w:val="24"/>
        </w:rPr>
      </w:pPr>
      <w:r>
        <w:rPr>
          <w:sz w:val="24"/>
          <w:szCs w:val="24"/>
        </w:rPr>
        <w:t>Total Dwelling Approvals (ABS)</w:t>
      </w:r>
    </w:p>
    <w:p w:rsidR="00A25726" w:rsidRDefault="00A25726">
      <w:pPr>
        <w:rPr>
          <w:rFonts w:asciiTheme="minorHAnsi" w:hAnsiTheme="minorHAnsi" w:cstheme="minorHAnsi"/>
        </w:rPr>
      </w:pPr>
    </w:p>
    <w:p w:rsidR="004C239E" w:rsidRPr="004C239E" w:rsidRDefault="004C239E">
      <w:pPr>
        <w:rPr>
          <w:rFonts w:asciiTheme="minorHAnsi" w:hAnsiTheme="minorHAnsi" w:cstheme="minorHAnsi"/>
          <w:b/>
        </w:rPr>
      </w:pPr>
      <w:r w:rsidRPr="004C239E">
        <w:rPr>
          <w:rFonts w:asciiTheme="minorHAnsi" w:hAnsiTheme="minorHAnsi" w:cstheme="minorHAnsi"/>
          <w:b/>
        </w:rPr>
        <w:t>Methods</w:t>
      </w:r>
      <w:r w:rsidR="005E310E">
        <w:rPr>
          <w:rFonts w:asciiTheme="minorHAnsi" w:hAnsiTheme="minorHAnsi" w:cstheme="minorHAnsi"/>
          <w:b/>
        </w:rPr>
        <w:t xml:space="preserve"> and Initial Results</w:t>
      </w:r>
    </w:p>
    <w:p w:rsidR="004C239E" w:rsidRDefault="004C239E">
      <w:pPr>
        <w:rPr>
          <w:rFonts w:asciiTheme="minorHAnsi" w:hAnsiTheme="minorHAnsi" w:cstheme="minorHAnsi"/>
        </w:rPr>
      </w:pPr>
    </w:p>
    <w:p w:rsidR="004C239E" w:rsidRDefault="004C239E">
      <w:pPr>
        <w:rPr>
          <w:rFonts w:asciiTheme="minorHAnsi" w:hAnsiTheme="minorHAnsi" w:cstheme="minorHAnsi"/>
        </w:rPr>
      </w:pPr>
      <w:r w:rsidRPr="004C239E">
        <w:rPr>
          <w:rFonts w:asciiTheme="minorHAnsi" w:hAnsiTheme="minorHAnsi" w:cstheme="minorHAnsi"/>
        </w:rPr>
        <w:t xml:space="preserve">A number of alternative methods, ranging from the simple (equal weightings on each component) to the very sophisticated (Kalman Filtering, with time-varying parameters estimated econometrically for each component) were used to establish </w:t>
      </w:r>
      <w:r w:rsidR="00993898">
        <w:rPr>
          <w:rFonts w:asciiTheme="minorHAnsi" w:hAnsiTheme="minorHAnsi" w:cstheme="minorHAnsi"/>
        </w:rPr>
        <w:t>which series were chosen as components, which lags were used (if any) and the weights allocated to</w:t>
      </w:r>
      <w:r w:rsidRPr="004C239E">
        <w:rPr>
          <w:rFonts w:asciiTheme="minorHAnsi" w:hAnsiTheme="minorHAnsi" w:cstheme="minorHAnsi"/>
        </w:rPr>
        <w:t xml:space="preserve"> each component.</w:t>
      </w:r>
      <w:r w:rsidR="005E310E">
        <w:rPr>
          <w:rFonts w:asciiTheme="minorHAnsi" w:hAnsiTheme="minorHAnsi" w:cstheme="minorHAnsi"/>
        </w:rPr>
        <w:t xml:space="preserve"> These methods and the initial results from conducting them are discussed in this Section</w:t>
      </w:r>
      <w:r w:rsidR="00D827DF">
        <w:rPr>
          <w:rFonts w:asciiTheme="minorHAnsi" w:hAnsiTheme="minorHAnsi" w:cstheme="minorHAnsi"/>
        </w:rPr>
        <w:t>.</w:t>
      </w:r>
    </w:p>
    <w:p w:rsidR="004C239E" w:rsidRDefault="004C239E">
      <w:pPr>
        <w:rPr>
          <w:rFonts w:asciiTheme="minorHAnsi" w:hAnsiTheme="minorHAnsi" w:cstheme="minorHAnsi"/>
        </w:rPr>
      </w:pPr>
    </w:p>
    <w:p w:rsidR="00973032" w:rsidRDefault="00993898">
      <w:pPr>
        <w:rPr>
          <w:rFonts w:asciiTheme="minorHAnsi" w:hAnsiTheme="minorHAnsi" w:cstheme="minorHAnsi"/>
        </w:rPr>
      </w:pPr>
      <w:r>
        <w:rPr>
          <w:rFonts w:asciiTheme="minorHAnsi" w:hAnsiTheme="minorHAnsi" w:cstheme="minorHAnsi"/>
        </w:rPr>
        <w:t xml:space="preserve">The key reason why </w:t>
      </w:r>
      <w:r w:rsidR="00D827DF">
        <w:rPr>
          <w:rFonts w:asciiTheme="minorHAnsi" w:hAnsiTheme="minorHAnsi" w:cstheme="minorHAnsi"/>
        </w:rPr>
        <w:t>we estimated</w:t>
      </w:r>
      <w:r>
        <w:rPr>
          <w:rFonts w:asciiTheme="minorHAnsi" w:hAnsiTheme="minorHAnsi" w:cstheme="minorHAnsi"/>
        </w:rPr>
        <w:t xml:space="preserve"> time-varying parameters is that international series, from China and the USA, were included on the short and reserve lists of potential components for the first time. As China is growing in importance as a direct trading partner and the USA is shrinking in importance as a direct trading partner</w:t>
      </w:r>
      <w:r w:rsidR="00D827DF">
        <w:rPr>
          <w:rFonts w:asciiTheme="minorHAnsi" w:hAnsiTheme="minorHAnsi" w:cstheme="minorHAnsi"/>
        </w:rPr>
        <w:t xml:space="preserve"> of Australia’s</w:t>
      </w:r>
      <w:r>
        <w:rPr>
          <w:rFonts w:asciiTheme="minorHAnsi" w:hAnsiTheme="minorHAnsi" w:cstheme="minorHAnsi"/>
        </w:rPr>
        <w:t xml:space="preserve">, it was considered appropriate to use estimation techniques that would allow for a rising weight to be allocated to Chinese series and a declining weight to be allocated to US series. The use of such a technique, specifically Kalman filtering, was suggested by </w:t>
      </w:r>
      <w:r w:rsidR="00F45678">
        <w:rPr>
          <w:rFonts w:asciiTheme="minorHAnsi" w:hAnsiTheme="minorHAnsi" w:cstheme="minorHAnsi"/>
        </w:rPr>
        <w:t>Connolly, Law and Li (2013) for Chinese electricity production, as they</w:t>
      </w:r>
      <w:r w:rsidR="005E310E">
        <w:rPr>
          <w:rFonts w:asciiTheme="minorHAnsi" w:hAnsiTheme="minorHAnsi" w:cstheme="minorHAnsi"/>
        </w:rPr>
        <w:t xml:space="preserve"> stated that the usefulness of Chinese electricity production as a leading indicator of Australian employment had grown over time in line with the importance of China as a trading partner with Australia. </w:t>
      </w:r>
    </w:p>
    <w:p w:rsidR="00973032" w:rsidRDefault="00973032">
      <w:pPr>
        <w:rPr>
          <w:rFonts w:asciiTheme="minorHAnsi" w:hAnsiTheme="minorHAnsi" w:cstheme="minorHAnsi"/>
        </w:rPr>
      </w:pPr>
    </w:p>
    <w:p w:rsidR="005B01C8" w:rsidRDefault="005B01C8">
      <w:pPr>
        <w:rPr>
          <w:rFonts w:asciiTheme="minorHAnsi" w:hAnsiTheme="minorHAnsi" w:cstheme="minorHAnsi"/>
        </w:rPr>
      </w:pPr>
      <w:r>
        <w:rPr>
          <w:rFonts w:asciiTheme="minorHAnsi" w:hAnsiTheme="minorHAnsi" w:cstheme="minorHAnsi"/>
        </w:rPr>
        <w:t>Before these time-varying parameter estimates could be conducted</w:t>
      </w:r>
      <w:r w:rsidR="006C7587">
        <w:rPr>
          <w:rFonts w:asciiTheme="minorHAnsi" w:hAnsiTheme="minorHAnsi" w:cstheme="minorHAnsi"/>
        </w:rPr>
        <w:t xml:space="preserve"> efficiently</w:t>
      </w:r>
      <w:r>
        <w:rPr>
          <w:rFonts w:asciiTheme="minorHAnsi" w:hAnsiTheme="minorHAnsi" w:cstheme="minorHAnsi"/>
        </w:rPr>
        <w:t>, it was first necessary to specify lags on the explanatory variables</w:t>
      </w:r>
      <w:r w:rsidR="006C7587">
        <w:rPr>
          <w:rFonts w:asciiTheme="minorHAnsi" w:hAnsiTheme="minorHAnsi" w:cstheme="minorHAnsi"/>
        </w:rPr>
        <w:t xml:space="preserve"> (otherwise, if a large number of lags of the variables were included as separate explanatory variables, it would have been difficult to obtain reliable Kalman Filter results)</w:t>
      </w:r>
      <w:r>
        <w:rPr>
          <w:rFonts w:asciiTheme="minorHAnsi" w:hAnsiTheme="minorHAnsi" w:cstheme="minorHAnsi"/>
        </w:rPr>
        <w:t xml:space="preserve">. To do this, simple </w:t>
      </w:r>
      <w:r w:rsidR="00973032">
        <w:rPr>
          <w:rFonts w:asciiTheme="minorHAnsi" w:hAnsiTheme="minorHAnsi" w:cstheme="minorHAnsi"/>
        </w:rPr>
        <w:t>regression analysis</w:t>
      </w:r>
      <w:r w:rsidR="0049527F">
        <w:rPr>
          <w:rFonts w:asciiTheme="minorHAnsi" w:hAnsiTheme="minorHAnsi" w:cstheme="minorHAnsi"/>
        </w:rPr>
        <w:t>, using the Ordinary Least Squares technique,</w:t>
      </w:r>
      <w:r w:rsidR="00973032">
        <w:rPr>
          <w:rFonts w:asciiTheme="minorHAnsi" w:hAnsiTheme="minorHAnsi" w:cstheme="minorHAnsi"/>
        </w:rPr>
        <w:t xml:space="preserve"> of individual series against cyclical employment </w:t>
      </w:r>
      <w:r>
        <w:rPr>
          <w:rFonts w:asciiTheme="minorHAnsi" w:hAnsiTheme="minorHAnsi" w:cstheme="minorHAnsi"/>
        </w:rPr>
        <w:t>was used to establish likely lag lengths. These were conducted with a minimum lag on each explanatory variable of nine months, with three month intervals between lag lengths (i.e., the lags were nine months, 12 months, 15 months, etc) and a sample period of July 1994 throu</w:t>
      </w:r>
      <w:r w:rsidR="00032F56">
        <w:rPr>
          <w:rFonts w:asciiTheme="minorHAnsi" w:hAnsiTheme="minorHAnsi" w:cstheme="minorHAnsi"/>
        </w:rPr>
        <w:t>gh January 2011</w:t>
      </w:r>
      <w:r>
        <w:rPr>
          <w:rFonts w:asciiTheme="minorHAnsi" w:hAnsiTheme="minorHAnsi" w:cstheme="minorHAnsi"/>
        </w:rPr>
        <w:t xml:space="preserve">. </w:t>
      </w:r>
      <w:r w:rsidR="001E35D4">
        <w:rPr>
          <w:rFonts w:asciiTheme="minorHAnsi" w:hAnsiTheme="minorHAnsi" w:cstheme="minorHAnsi"/>
        </w:rPr>
        <w:t>This starting point was used because the relationship between cyclical employment and its leading indicators seemed to change after the mid-1990s, with shorter lags after this point. In addition, some of the data series</w:t>
      </w:r>
      <w:r w:rsidR="00BE1F57">
        <w:rPr>
          <w:rFonts w:asciiTheme="minorHAnsi" w:hAnsiTheme="minorHAnsi" w:cstheme="minorHAnsi"/>
        </w:rPr>
        <w:t>,</w:t>
      </w:r>
      <w:r w:rsidR="001E35D4">
        <w:rPr>
          <w:rFonts w:asciiTheme="minorHAnsi" w:hAnsiTheme="minorHAnsi" w:cstheme="minorHAnsi"/>
        </w:rPr>
        <w:t xml:space="preserve"> such as Chinese electricity production, were not available before the early 1990s (plus, a three-year period is required after the starting point of the data to obtain a fully accurate estimate of the long-term trend, because this trend is a three-year centred moving average). </w:t>
      </w:r>
    </w:p>
    <w:p w:rsidR="001E35D4" w:rsidRDefault="001E35D4">
      <w:pPr>
        <w:rPr>
          <w:rFonts w:asciiTheme="minorHAnsi" w:hAnsiTheme="minorHAnsi" w:cstheme="minorHAnsi"/>
        </w:rPr>
      </w:pPr>
    </w:p>
    <w:p w:rsidR="00032F56" w:rsidRDefault="00032F56">
      <w:pPr>
        <w:rPr>
          <w:rFonts w:asciiTheme="minorHAnsi" w:hAnsiTheme="minorHAnsi" w:cstheme="minorHAnsi"/>
        </w:rPr>
      </w:pPr>
    </w:p>
    <w:p w:rsidR="00032F56" w:rsidRDefault="00032F56" w:rsidP="00032F56">
      <w:pPr>
        <w:rPr>
          <w:rFonts w:asciiTheme="minorHAnsi" w:hAnsiTheme="minorHAnsi" w:cstheme="minorHAnsi"/>
        </w:rPr>
      </w:pPr>
      <w:r w:rsidRPr="00032F56">
        <w:rPr>
          <w:rFonts w:asciiTheme="minorHAnsi" w:hAnsiTheme="minorHAnsi" w:cstheme="minorHAnsi"/>
        </w:rPr>
        <w:lastRenderedPageBreak/>
        <w:t>January 2011 is used as the end of the estimation period,</w:t>
      </w:r>
      <w:r>
        <w:rPr>
          <w:rFonts w:asciiTheme="minorHAnsi" w:hAnsiTheme="minorHAnsi" w:cstheme="minorHAnsi"/>
        </w:rPr>
        <w:t xml:space="preserve"> </w:t>
      </w:r>
      <w:r w:rsidRPr="00032F56">
        <w:rPr>
          <w:rFonts w:asciiTheme="minorHAnsi" w:hAnsiTheme="minorHAnsi" w:cstheme="minorHAnsi"/>
        </w:rPr>
        <w:t>as this represents the first peak in cyclical employment</w:t>
      </w:r>
      <w:r>
        <w:rPr>
          <w:rFonts w:asciiTheme="minorHAnsi" w:hAnsiTheme="minorHAnsi" w:cstheme="minorHAnsi"/>
        </w:rPr>
        <w:t xml:space="preserve"> </w:t>
      </w:r>
      <w:r w:rsidRPr="00032F56">
        <w:rPr>
          <w:rFonts w:asciiTheme="minorHAnsi" w:hAnsiTheme="minorHAnsi" w:cstheme="minorHAnsi"/>
        </w:rPr>
        <w:t>in the initial recovery from the Global Recession,</w:t>
      </w:r>
      <w:r>
        <w:rPr>
          <w:rFonts w:asciiTheme="minorHAnsi" w:hAnsiTheme="minorHAnsi" w:cstheme="minorHAnsi"/>
        </w:rPr>
        <w:t xml:space="preserve"> </w:t>
      </w:r>
      <w:r w:rsidRPr="00032F56">
        <w:rPr>
          <w:rFonts w:asciiTheme="minorHAnsi" w:hAnsiTheme="minorHAnsi" w:cstheme="minorHAnsi"/>
        </w:rPr>
        <w:t>with the period since then reserved for</w:t>
      </w:r>
      <w:r>
        <w:rPr>
          <w:rFonts w:asciiTheme="minorHAnsi" w:hAnsiTheme="minorHAnsi" w:cstheme="minorHAnsi"/>
        </w:rPr>
        <w:t xml:space="preserve"> </w:t>
      </w:r>
      <w:r w:rsidRPr="00032F56">
        <w:rPr>
          <w:rFonts w:asciiTheme="minorHAnsi" w:hAnsiTheme="minorHAnsi" w:cstheme="minorHAnsi"/>
        </w:rPr>
        <w:t>out-of-sample forecasting.</w:t>
      </w:r>
    </w:p>
    <w:p w:rsidR="00032F56" w:rsidRDefault="00032F56">
      <w:pPr>
        <w:rPr>
          <w:rFonts w:asciiTheme="minorHAnsi" w:hAnsiTheme="minorHAnsi" w:cstheme="minorHAnsi"/>
        </w:rPr>
      </w:pPr>
    </w:p>
    <w:p w:rsidR="005B01C8" w:rsidRDefault="00342FE1">
      <w:pPr>
        <w:rPr>
          <w:rFonts w:asciiTheme="minorHAnsi" w:hAnsiTheme="minorHAnsi" w:cstheme="minorHAnsi"/>
        </w:rPr>
      </w:pPr>
      <w:r>
        <w:rPr>
          <w:rFonts w:asciiTheme="minorHAnsi" w:hAnsiTheme="minorHAnsi" w:cstheme="minorHAnsi"/>
        </w:rPr>
        <w:t>In addition to the variables on the short list and the ANZ Newspaper Job Advertisements series</w:t>
      </w:r>
      <w:r w:rsidR="00D827DF">
        <w:rPr>
          <w:rFonts w:asciiTheme="minorHAnsi" w:hAnsiTheme="minorHAnsi" w:cstheme="minorHAnsi"/>
        </w:rPr>
        <w:t xml:space="preserve"> (which is a component of the current Leading Indicator)</w:t>
      </w:r>
      <w:r>
        <w:rPr>
          <w:rFonts w:asciiTheme="minorHAnsi" w:hAnsiTheme="minorHAnsi" w:cstheme="minorHAnsi"/>
        </w:rPr>
        <w:t>, preferred lag lengths were also determined by this method for the international variables on the reserve list; because it was thought more likely that these would have to be substituted for variables on the shortlist than the domestic variables on the reserve list</w:t>
      </w:r>
      <w:r w:rsidR="00B84D4B">
        <w:rPr>
          <w:rStyle w:val="FootnoteReference"/>
          <w:rFonts w:asciiTheme="minorHAnsi" w:hAnsiTheme="minorHAnsi" w:cstheme="minorHAnsi"/>
        </w:rPr>
        <w:footnoteReference w:id="6"/>
      </w:r>
      <w:r>
        <w:rPr>
          <w:rFonts w:asciiTheme="minorHAnsi" w:hAnsiTheme="minorHAnsi" w:cstheme="minorHAnsi"/>
        </w:rPr>
        <w:t xml:space="preserve">.  </w:t>
      </w:r>
    </w:p>
    <w:p w:rsidR="00342FE1" w:rsidRDefault="00342FE1">
      <w:pPr>
        <w:rPr>
          <w:rFonts w:asciiTheme="minorHAnsi" w:hAnsiTheme="minorHAnsi" w:cstheme="minorHAnsi"/>
        </w:rPr>
      </w:pPr>
    </w:p>
    <w:p w:rsidR="004C239E" w:rsidRDefault="005B01C8">
      <w:pPr>
        <w:rPr>
          <w:rFonts w:asciiTheme="minorHAnsi" w:hAnsiTheme="minorHAnsi" w:cstheme="minorHAnsi"/>
        </w:rPr>
      </w:pPr>
      <w:r>
        <w:rPr>
          <w:rFonts w:asciiTheme="minorHAnsi" w:hAnsiTheme="minorHAnsi" w:cstheme="minorHAnsi"/>
        </w:rPr>
        <w:t>When this was initially conducted, the coefficients for some of the shorter lag lengths for some of the explanatory variables, especially the US yield difference, were negative</w:t>
      </w:r>
      <w:r w:rsidR="00F07F5C">
        <w:rPr>
          <w:rFonts w:asciiTheme="minorHAnsi" w:hAnsiTheme="minorHAnsi" w:cstheme="minorHAnsi"/>
        </w:rPr>
        <w:t xml:space="preserve"> and statistically significantly different from zero</w:t>
      </w:r>
      <w:r>
        <w:rPr>
          <w:rFonts w:asciiTheme="minorHAnsi" w:hAnsiTheme="minorHAnsi" w:cstheme="minorHAnsi"/>
        </w:rPr>
        <w:t xml:space="preserve">. For these variables, the </w:t>
      </w:r>
      <w:r w:rsidR="0049527F">
        <w:rPr>
          <w:rFonts w:asciiTheme="minorHAnsi" w:hAnsiTheme="minorHAnsi" w:cstheme="minorHAnsi"/>
        </w:rPr>
        <w:t xml:space="preserve">preferred </w:t>
      </w:r>
      <w:r>
        <w:rPr>
          <w:rFonts w:asciiTheme="minorHAnsi" w:hAnsiTheme="minorHAnsi" w:cstheme="minorHAnsi"/>
        </w:rPr>
        <w:t xml:space="preserve">lag length was at longer lag lengths with coefficients that were positive and statistically significant. </w:t>
      </w:r>
      <w:r w:rsidR="0049527F">
        <w:rPr>
          <w:rFonts w:asciiTheme="minorHAnsi" w:hAnsiTheme="minorHAnsi" w:cstheme="minorHAnsi"/>
        </w:rPr>
        <w:t>The results of this simple regression analysis are shown in Table 1.</w:t>
      </w:r>
    </w:p>
    <w:p w:rsidR="004C239E" w:rsidRDefault="004C239E">
      <w:pPr>
        <w:rPr>
          <w:rFonts w:asciiTheme="minorHAnsi" w:hAnsiTheme="minorHAnsi" w:cstheme="minorHAnsi"/>
        </w:rPr>
      </w:pPr>
    </w:p>
    <w:p w:rsidR="0087553E" w:rsidRPr="0049527F" w:rsidRDefault="0049527F">
      <w:pPr>
        <w:rPr>
          <w:rFonts w:asciiTheme="minorHAnsi" w:hAnsiTheme="minorHAnsi" w:cstheme="minorHAnsi"/>
          <w:b/>
        </w:rPr>
      </w:pPr>
      <w:r>
        <w:rPr>
          <w:rFonts w:asciiTheme="minorHAnsi" w:hAnsiTheme="minorHAnsi" w:cstheme="minorHAnsi"/>
        </w:rPr>
        <w:t xml:space="preserve">Table 1: </w:t>
      </w:r>
      <w:r>
        <w:rPr>
          <w:rFonts w:asciiTheme="minorHAnsi" w:hAnsiTheme="minorHAnsi" w:cstheme="minorHAnsi"/>
          <w:b/>
        </w:rPr>
        <w:t>Preferred Lag Lengths for Cyclical Components of P</w:t>
      </w:r>
      <w:r w:rsidRPr="0049527F">
        <w:rPr>
          <w:rFonts w:asciiTheme="minorHAnsi" w:hAnsiTheme="minorHAnsi" w:cstheme="minorHAnsi"/>
          <w:b/>
        </w:rPr>
        <w:t>otential Leading Indicator Series fro</w:t>
      </w:r>
      <w:r>
        <w:rPr>
          <w:rFonts w:asciiTheme="minorHAnsi" w:hAnsiTheme="minorHAnsi" w:cstheme="minorHAnsi"/>
          <w:b/>
        </w:rPr>
        <w:t>m Bivariate Regression A</w:t>
      </w:r>
      <w:r w:rsidRPr="0049527F">
        <w:rPr>
          <w:rFonts w:asciiTheme="minorHAnsi" w:hAnsiTheme="minorHAnsi" w:cstheme="minorHAnsi"/>
          <w:b/>
        </w:rPr>
        <w:t>nalysis</w:t>
      </w:r>
    </w:p>
    <w:p w:rsidR="0057403C" w:rsidRDefault="0057403C">
      <w:pPr>
        <w:rPr>
          <w:rFonts w:asciiTheme="minorHAnsi" w:hAnsiTheme="minorHAnsi" w:cstheme="minorHAnsi"/>
        </w:rPr>
      </w:pPr>
    </w:p>
    <w:tbl>
      <w:tblPr>
        <w:tblStyle w:val="TableGrid"/>
        <w:tblW w:w="8390" w:type="dxa"/>
        <w:tblLook w:val="04A0" w:firstRow="1" w:lastRow="0" w:firstColumn="1" w:lastColumn="0" w:noHBand="0" w:noVBand="1"/>
      </w:tblPr>
      <w:tblGrid>
        <w:gridCol w:w="3402"/>
        <w:gridCol w:w="1077"/>
        <w:gridCol w:w="1417"/>
        <w:gridCol w:w="1417"/>
        <w:gridCol w:w="1077"/>
      </w:tblGrid>
      <w:tr w:rsidR="0057403C" w:rsidTr="0046330A">
        <w:tc>
          <w:tcPr>
            <w:tcW w:w="3402" w:type="dxa"/>
            <w:tcBorders>
              <w:bottom w:val="single" w:sz="4" w:space="0" w:color="auto"/>
            </w:tcBorders>
          </w:tcPr>
          <w:p w:rsidR="0057403C" w:rsidRPr="0057403C" w:rsidRDefault="0057403C">
            <w:pPr>
              <w:rPr>
                <w:rFonts w:asciiTheme="minorHAnsi" w:hAnsiTheme="minorHAnsi" w:cstheme="minorHAnsi"/>
                <w:b/>
                <w:sz w:val="20"/>
                <w:szCs w:val="20"/>
              </w:rPr>
            </w:pPr>
            <w:r w:rsidRPr="0057403C">
              <w:rPr>
                <w:rFonts w:asciiTheme="minorHAnsi" w:hAnsiTheme="minorHAnsi" w:cstheme="minorHAnsi"/>
                <w:b/>
                <w:sz w:val="20"/>
                <w:szCs w:val="20"/>
              </w:rPr>
              <w:t>Variable</w:t>
            </w:r>
          </w:p>
        </w:tc>
        <w:tc>
          <w:tcPr>
            <w:tcW w:w="1077" w:type="dxa"/>
            <w:tcBorders>
              <w:bottom w:val="single" w:sz="4" w:space="0" w:color="auto"/>
            </w:tcBorders>
          </w:tcPr>
          <w:p w:rsidR="0057403C" w:rsidRPr="00B84D4B" w:rsidRDefault="0057403C" w:rsidP="0057403C">
            <w:pPr>
              <w:jc w:val="center"/>
              <w:rPr>
                <w:rFonts w:asciiTheme="minorHAnsi" w:hAnsiTheme="minorHAnsi" w:cstheme="minorHAnsi"/>
                <w:b/>
                <w:sz w:val="20"/>
                <w:szCs w:val="20"/>
              </w:rPr>
            </w:pPr>
            <w:r w:rsidRPr="00B84D4B">
              <w:rPr>
                <w:rFonts w:asciiTheme="minorHAnsi" w:hAnsiTheme="minorHAnsi" w:cstheme="minorHAnsi"/>
                <w:b/>
                <w:sz w:val="20"/>
                <w:szCs w:val="20"/>
              </w:rPr>
              <w:t>Preferred Lag Length (months)</w:t>
            </w:r>
          </w:p>
        </w:tc>
        <w:tc>
          <w:tcPr>
            <w:tcW w:w="1417" w:type="dxa"/>
            <w:tcBorders>
              <w:bottom w:val="single" w:sz="4" w:space="0" w:color="auto"/>
            </w:tcBorders>
          </w:tcPr>
          <w:p w:rsidR="0057403C" w:rsidRPr="0057403C" w:rsidRDefault="0057403C" w:rsidP="0057403C">
            <w:pPr>
              <w:jc w:val="center"/>
              <w:rPr>
                <w:rFonts w:asciiTheme="minorHAnsi" w:hAnsiTheme="minorHAnsi" w:cstheme="minorHAnsi"/>
                <w:sz w:val="20"/>
                <w:szCs w:val="20"/>
              </w:rPr>
            </w:pPr>
            <w:r w:rsidRPr="0057403C">
              <w:rPr>
                <w:rFonts w:asciiTheme="minorHAnsi" w:hAnsiTheme="minorHAnsi" w:cstheme="minorHAnsi"/>
                <w:sz w:val="20"/>
                <w:szCs w:val="20"/>
              </w:rPr>
              <w:t>Coefficient Estimate</w:t>
            </w:r>
          </w:p>
        </w:tc>
        <w:tc>
          <w:tcPr>
            <w:tcW w:w="1417" w:type="dxa"/>
            <w:tcBorders>
              <w:bottom w:val="single" w:sz="4" w:space="0" w:color="auto"/>
            </w:tcBorders>
          </w:tcPr>
          <w:p w:rsidR="0057403C" w:rsidRPr="0057403C" w:rsidRDefault="0057403C" w:rsidP="0057403C">
            <w:pPr>
              <w:jc w:val="center"/>
              <w:rPr>
                <w:rFonts w:asciiTheme="minorHAnsi" w:hAnsiTheme="minorHAnsi" w:cstheme="minorHAnsi"/>
                <w:sz w:val="20"/>
                <w:szCs w:val="20"/>
              </w:rPr>
            </w:pPr>
            <w:r w:rsidRPr="0057403C">
              <w:rPr>
                <w:rFonts w:asciiTheme="minorHAnsi" w:hAnsiTheme="minorHAnsi" w:cstheme="minorHAnsi"/>
                <w:sz w:val="20"/>
                <w:szCs w:val="20"/>
              </w:rPr>
              <w:t>t-statistic on Coefficient Estimate</w:t>
            </w:r>
          </w:p>
        </w:tc>
        <w:tc>
          <w:tcPr>
            <w:tcW w:w="1077" w:type="dxa"/>
            <w:tcBorders>
              <w:bottom w:val="single" w:sz="4" w:space="0" w:color="auto"/>
            </w:tcBorders>
          </w:tcPr>
          <w:p w:rsidR="0057403C" w:rsidRPr="0057403C" w:rsidRDefault="0057403C" w:rsidP="0057403C">
            <w:pPr>
              <w:jc w:val="center"/>
              <w:rPr>
                <w:rFonts w:asciiTheme="minorHAnsi" w:hAnsiTheme="minorHAnsi" w:cstheme="minorHAnsi"/>
                <w:sz w:val="20"/>
                <w:szCs w:val="20"/>
              </w:rPr>
            </w:pPr>
            <w:r w:rsidRPr="0057403C">
              <w:rPr>
                <w:rFonts w:asciiTheme="minorHAnsi" w:hAnsiTheme="minorHAnsi" w:cstheme="minorHAnsi"/>
                <w:sz w:val="20"/>
                <w:szCs w:val="20"/>
              </w:rPr>
              <w:t>Adjusted R-squared</w:t>
            </w:r>
          </w:p>
        </w:tc>
      </w:tr>
      <w:tr w:rsidR="0046330A" w:rsidRPr="0057403C" w:rsidTr="0046330A">
        <w:tc>
          <w:tcPr>
            <w:tcW w:w="3402" w:type="dxa"/>
            <w:tcBorders>
              <w:bottom w:val="single" w:sz="4" w:space="0" w:color="auto"/>
              <w:right w:val="single" w:sz="4" w:space="0" w:color="auto"/>
            </w:tcBorders>
          </w:tcPr>
          <w:p w:rsidR="0057403C" w:rsidRPr="0057403C" w:rsidRDefault="0057403C">
            <w:pPr>
              <w:rPr>
                <w:rFonts w:asciiTheme="minorHAnsi" w:hAnsiTheme="minorHAnsi" w:cstheme="minorHAnsi"/>
                <w:sz w:val="20"/>
                <w:szCs w:val="20"/>
              </w:rPr>
            </w:pPr>
            <w:r w:rsidRPr="0057403C">
              <w:rPr>
                <w:rFonts w:asciiTheme="minorHAnsi" w:hAnsiTheme="minorHAnsi" w:cstheme="minorHAnsi"/>
                <w:sz w:val="20"/>
                <w:szCs w:val="20"/>
              </w:rPr>
              <w:t>Chinese Electricity Production</w:t>
            </w:r>
          </w:p>
        </w:tc>
        <w:tc>
          <w:tcPr>
            <w:tcW w:w="1077" w:type="dxa"/>
            <w:tcBorders>
              <w:left w:val="single" w:sz="4" w:space="0" w:color="auto"/>
              <w:bottom w:val="single" w:sz="4" w:space="0" w:color="auto"/>
              <w:right w:val="single" w:sz="4" w:space="0" w:color="auto"/>
            </w:tcBorders>
          </w:tcPr>
          <w:p w:rsidR="0057403C" w:rsidRPr="00B84D4B" w:rsidRDefault="0057403C" w:rsidP="0057403C">
            <w:pPr>
              <w:jc w:val="center"/>
              <w:rPr>
                <w:rFonts w:asciiTheme="minorHAnsi" w:hAnsiTheme="minorHAnsi" w:cstheme="minorHAnsi"/>
                <w:b/>
                <w:sz w:val="20"/>
                <w:szCs w:val="20"/>
              </w:rPr>
            </w:pPr>
            <w:r w:rsidRPr="00B84D4B">
              <w:rPr>
                <w:rFonts w:asciiTheme="minorHAnsi" w:hAnsiTheme="minorHAnsi" w:cstheme="minorHAnsi"/>
                <w:b/>
                <w:sz w:val="20"/>
                <w:szCs w:val="20"/>
              </w:rPr>
              <w:t>9</w:t>
            </w:r>
          </w:p>
        </w:tc>
        <w:tc>
          <w:tcPr>
            <w:tcW w:w="1417" w:type="dxa"/>
            <w:tcBorders>
              <w:left w:val="single" w:sz="4" w:space="0" w:color="auto"/>
              <w:bottom w:val="single" w:sz="4" w:space="0" w:color="auto"/>
              <w:right w:val="single" w:sz="4" w:space="0" w:color="auto"/>
            </w:tcBorders>
          </w:tcPr>
          <w:p w:rsidR="0057403C" w:rsidRPr="0057403C" w:rsidRDefault="0057403C" w:rsidP="0057403C">
            <w:pPr>
              <w:jc w:val="center"/>
              <w:rPr>
                <w:rFonts w:asciiTheme="minorHAnsi" w:hAnsiTheme="minorHAnsi" w:cstheme="minorHAnsi"/>
                <w:sz w:val="20"/>
                <w:szCs w:val="20"/>
              </w:rPr>
            </w:pPr>
            <w:r>
              <w:rPr>
                <w:rFonts w:asciiTheme="minorHAnsi" w:hAnsiTheme="minorHAnsi" w:cstheme="minorHAnsi"/>
                <w:sz w:val="20"/>
                <w:szCs w:val="20"/>
              </w:rPr>
              <w:t>0.</w:t>
            </w:r>
            <w:r w:rsidR="005E42CD">
              <w:rPr>
                <w:rFonts w:asciiTheme="minorHAnsi" w:hAnsiTheme="minorHAnsi" w:cstheme="minorHAnsi"/>
                <w:sz w:val="20"/>
                <w:szCs w:val="20"/>
              </w:rPr>
              <w:t>326</w:t>
            </w:r>
          </w:p>
        </w:tc>
        <w:tc>
          <w:tcPr>
            <w:tcW w:w="1417" w:type="dxa"/>
            <w:tcBorders>
              <w:left w:val="single" w:sz="4" w:space="0" w:color="auto"/>
              <w:bottom w:val="single" w:sz="4" w:space="0" w:color="auto"/>
              <w:right w:val="single" w:sz="4" w:space="0" w:color="auto"/>
            </w:tcBorders>
          </w:tcPr>
          <w:p w:rsidR="0057403C" w:rsidRPr="0057403C" w:rsidRDefault="005E42CD" w:rsidP="0057403C">
            <w:pPr>
              <w:jc w:val="center"/>
              <w:rPr>
                <w:rFonts w:asciiTheme="minorHAnsi" w:hAnsiTheme="minorHAnsi" w:cstheme="minorHAnsi"/>
                <w:sz w:val="20"/>
                <w:szCs w:val="20"/>
              </w:rPr>
            </w:pPr>
            <w:r>
              <w:rPr>
                <w:rFonts w:asciiTheme="minorHAnsi" w:hAnsiTheme="minorHAnsi" w:cstheme="minorHAnsi"/>
                <w:sz w:val="20"/>
                <w:szCs w:val="20"/>
              </w:rPr>
              <w:t>8.53</w:t>
            </w:r>
            <w:r w:rsidR="0057403C">
              <w:rPr>
                <w:rFonts w:asciiTheme="minorHAnsi" w:hAnsiTheme="minorHAnsi" w:cstheme="minorHAnsi"/>
                <w:sz w:val="20"/>
                <w:szCs w:val="20"/>
              </w:rPr>
              <w:t>***</w:t>
            </w:r>
          </w:p>
        </w:tc>
        <w:tc>
          <w:tcPr>
            <w:tcW w:w="1077" w:type="dxa"/>
            <w:tcBorders>
              <w:left w:val="single" w:sz="4" w:space="0" w:color="auto"/>
              <w:bottom w:val="single" w:sz="4" w:space="0" w:color="auto"/>
            </w:tcBorders>
          </w:tcPr>
          <w:p w:rsidR="0057403C" w:rsidRPr="0057403C" w:rsidRDefault="0057403C" w:rsidP="0057403C">
            <w:pPr>
              <w:jc w:val="center"/>
              <w:rPr>
                <w:rFonts w:asciiTheme="minorHAnsi" w:hAnsiTheme="minorHAnsi" w:cstheme="minorHAnsi"/>
                <w:sz w:val="20"/>
                <w:szCs w:val="20"/>
              </w:rPr>
            </w:pPr>
            <w:r>
              <w:rPr>
                <w:rFonts w:asciiTheme="minorHAnsi" w:hAnsiTheme="minorHAnsi" w:cstheme="minorHAnsi"/>
                <w:sz w:val="20"/>
                <w:szCs w:val="20"/>
              </w:rPr>
              <w:t>0.2</w:t>
            </w:r>
            <w:r w:rsidR="005E42CD">
              <w:rPr>
                <w:rFonts w:asciiTheme="minorHAnsi" w:hAnsiTheme="minorHAnsi" w:cstheme="minorHAnsi"/>
                <w:sz w:val="20"/>
                <w:szCs w:val="20"/>
              </w:rPr>
              <w:t>66</w:t>
            </w:r>
          </w:p>
        </w:tc>
      </w:tr>
      <w:tr w:rsidR="0046330A" w:rsidRPr="0057403C" w:rsidTr="0046330A">
        <w:tc>
          <w:tcPr>
            <w:tcW w:w="3402" w:type="dxa"/>
            <w:tcBorders>
              <w:top w:val="single" w:sz="4" w:space="0" w:color="auto"/>
              <w:bottom w:val="single" w:sz="4" w:space="0" w:color="auto"/>
              <w:right w:val="single" w:sz="4" w:space="0" w:color="auto"/>
            </w:tcBorders>
          </w:tcPr>
          <w:p w:rsidR="0057403C" w:rsidRPr="00C56FE5" w:rsidRDefault="0057403C">
            <w:pPr>
              <w:rPr>
                <w:rFonts w:ascii="Calibri" w:hAnsi="Calibri" w:cs="Calibri"/>
                <w:sz w:val="20"/>
                <w:szCs w:val="20"/>
                <w:vertAlign w:val="superscript"/>
              </w:rPr>
            </w:pPr>
            <w:r w:rsidRPr="0057403C">
              <w:rPr>
                <w:rFonts w:ascii="Calibri" w:hAnsi="Calibri" w:cs="Calibri"/>
                <w:sz w:val="20"/>
                <w:szCs w:val="20"/>
              </w:rPr>
              <w:t>Official Purchasing Managers’ Index of Manufacturing Output in China</w:t>
            </w:r>
            <w:r w:rsidR="00C56FE5">
              <w:rPr>
                <w:rFonts w:ascii="Calibri" w:hAnsi="Calibri" w:cs="Calibri"/>
                <w:sz w:val="20"/>
                <w:szCs w:val="20"/>
                <w:vertAlign w:val="superscript"/>
              </w:rPr>
              <w:t>a</w:t>
            </w:r>
          </w:p>
        </w:tc>
        <w:tc>
          <w:tcPr>
            <w:tcW w:w="1077" w:type="dxa"/>
            <w:tcBorders>
              <w:top w:val="single" w:sz="4" w:space="0" w:color="auto"/>
              <w:left w:val="single" w:sz="4" w:space="0" w:color="auto"/>
              <w:bottom w:val="single" w:sz="4" w:space="0" w:color="auto"/>
              <w:right w:val="single" w:sz="4" w:space="0" w:color="auto"/>
            </w:tcBorders>
          </w:tcPr>
          <w:p w:rsidR="0057403C" w:rsidRPr="00B84D4B" w:rsidRDefault="00AC20BB" w:rsidP="0057403C">
            <w:pPr>
              <w:jc w:val="center"/>
              <w:rPr>
                <w:rFonts w:asciiTheme="minorHAnsi" w:hAnsiTheme="minorHAnsi" w:cstheme="minorHAnsi"/>
                <w:b/>
                <w:sz w:val="20"/>
                <w:szCs w:val="20"/>
              </w:rPr>
            </w:pPr>
            <w:r>
              <w:rPr>
                <w:rFonts w:asciiTheme="minorHAnsi" w:hAnsiTheme="minorHAnsi" w:cstheme="minorHAnsi"/>
                <w:b/>
                <w:sz w:val="20"/>
                <w:szCs w:val="20"/>
              </w:rPr>
              <w:t>12</w:t>
            </w:r>
          </w:p>
        </w:tc>
        <w:tc>
          <w:tcPr>
            <w:tcW w:w="1417" w:type="dxa"/>
            <w:tcBorders>
              <w:top w:val="single" w:sz="4" w:space="0" w:color="auto"/>
              <w:left w:val="single" w:sz="4" w:space="0" w:color="auto"/>
              <w:bottom w:val="single" w:sz="4" w:space="0" w:color="auto"/>
              <w:right w:val="single" w:sz="4" w:space="0" w:color="auto"/>
            </w:tcBorders>
          </w:tcPr>
          <w:p w:rsidR="0057403C" w:rsidRPr="0057403C" w:rsidRDefault="00C56FE5" w:rsidP="0057403C">
            <w:pPr>
              <w:jc w:val="center"/>
              <w:rPr>
                <w:rFonts w:asciiTheme="minorHAnsi" w:hAnsiTheme="minorHAnsi" w:cstheme="minorHAnsi"/>
                <w:sz w:val="20"/>
                <w:szCs w:val="20"/>
              </w:rPr>
            </w:pPr>
            <w:r>
              <w:rPr>
                <w:rFonts w:asciiTheme="minorHAnsi" w:hAnsiTheme="minorHAnsi" w:cstheme="minorHAnsi"/>
                <w:sz w:val="20"/>
                <w:szCs w:val="20"/>
              </w:rPr>
              <w:t>0.1</w:t>
            </w:r>
            <w:r w:rsidR="00D717A1">
              <w:rPr>
                <w:rFonts w:asciiTheme="minorHAnsi" w:hAnsiTheme="minorHAnsi" w:cstheme="minorHAnsi"/>
                <w:sz w:val="20"/>
                <w:szCs w:val="20"/>
              </w:rPr>
              <w:t>78</w:t>
            </w:r>
          </w:p>
        </w:tc>
        <w:tc>
          <w:tcPr>
            <w:tcW w:w="1417" w:type="dxa"/>
            <w:tcBorders>
              <w:top w:val="single" w:sz="4" w:space="0" w:color="auto"/>
              <w:left w:val="single" w:sz="4" w:space="0" w:color="auto"/>
              <w:bottom w:val="single" w:sz="4" w:space="0" w:color="auto"/>
              <w:right w:val="single" w:sz="4" w:space="0" w:color="auto"/>
            </w:tcBorders>
          </w:tcPr>
          <w:p w:rsidR="0057403C" w:rsidRPr="0057403C" w:rsidRDefault="00D717A1" w:rsidP="0057403C">
            <w:pPr>
              <w:jc w:val="center"/>
              <w:rPr>
                <w:rFonts w:asciiTheme="minorHAnsi" w:hAnsiTheme="minorHAnsi" w:cstheme="minorHAnsi"/>
                <w:sz w:val="20"/>
                <w:szCs w:val="20"/>
              </w:rPr>
            </w:pPr>
            <w:r>
              <w:rPr>
                <w:rFonts w:asciiTheme="minorHAnsi" w:hAnsiTheme="minorHAnsi" w:cstheme="minorHAnsi"/>
                <w:sz w:val="20"/>
                <w:szCs w:val="20"/>
              </w:rPr>
              <w:t>5.66</w:t>
            </w:r>
            <w:r w:rsidR="00C56FE5">
              <w:rPr>
                <w:rFonts w:asciiTheme="minorHAnsi" w:hAnsiTheme="minorHAnsi" w:cstheme="minorHAnsi"/>
                <w:sz w:val="20"/>
                <w:szCs w:val="20"/>
              </w:rPr>
              <w:t>***</w:t>
            </w:r>
          </w:p>
        </w:tc>
        <w:tc>
          <w:tcPr>
            <w:tcW w:w="1077" w:type="dxa"/>
            <w:tcBorders>
              <w:top w:val="single" w:sz="4" w:space="0" w:color="auto"/>
              <w:left w:val="single" w:sz="4" w:space="0" w:color="auto"/>
              <w:bottom w:val="single" w:sz="4" w:space="0" w:color="auto"/>
            </w:tcBorders>
          </w:tcPr>
          <w:p w:rsidR="0057403C" w:rsidRPr="0057403C" w:rsidRDefault="00C56FE5" w:rsidP="0057403C">
            <w:pPr>
              <w:jc w:val="center"/>
              <w:rPr>
                <w:rFonts w:asciiTheme="minorHAnsi" w:hAnsiTheme="minorHAnsi" w:cstheme="minorHAnsi"/>
                <w:sz w:val="20"/>
                <w:szCs w:val="20"/>
              </w:rPr>
            </w:pPr>
            <w:r>
              <w:rPr>
                <w:rFonts w:asciiTheme="minorHAnsi" w:hAnsiTheme="minorHAnsi" w:cstheme="minorHAnsi"/>
                <w:sz w:val="20"/>
                <w:szCs w:val="20"/>
              </w:rPr>
              <w:t>0.</w:t>
            </w:r>
            <w:r w:rsidR="00D717A1">
              <w:rPr>
                <w:rFonts w:asciiTheme="minorHAnsi" w:hAnsiTheme="minorHAnsi" w:cstheme="minorHAnsi"/>
                <w:sz w:val="20"/>
                <w:szCs w:val="20"/>
              </w:rPr>
              <w:t>330</w:t>
            </w:r>
          </w:p>
        </w:tc>
      </w:tr>
      <w:tr w:rsidR="0046330A" w:rsidRPr="0057403C" w:rsidTr="0046330A">
        <w:tc>
          <w:tcPr>
            <w:tcW w:w="3402" w:type="dxa"/>
            <w:tcBorders>
              <w:top w:val="single" w:sz="4" w:space="0" w:color="auto"/>
              <w:bottom w:val="single" w:sz="4" w:space="0" w:color="auto"/>
              <w:right w:val="single" w:sz="4" w:space="0" w:color="auto"/>
            </w:tcBorders>
          </w:tcPr>
          <w:p w:rsidR="0057403C" w:rsidRPr="00342FE1" w:rsidRDefault="00342FE1">
            <w:pPr>
              <w:rPr>
                <w:rFonts w:asciiTheme="minorHAnsi" w:hAnsiTheme="minorHAnsi" w:cstheme="minorHAnsi"/>
                <w:sz w:val="20"/>
                <w:szCs w:val="20"/>
              </w:rPr>
            </w:pPr>
            <w:r w:rsidRPr="00342FE1">
              <w:rPr>
                <w:rFonts w:asciiTheme="minorHAnsi" w:hAnsiTheme="minorHAnsi" w:cstheme="minorHAnsi"/>
                <w:sz w:val="20"/>
                <w:szCs w:val="20"/>
              </w:rPr>
              <w:t>ANZ Newspaper Job Advertisements</w:t>
            </w:r>
          </w:p>
        </w:tc>
        <w:tc>
          <w:tcPr>
            <w:tcW w:w="1077" w:type="dxa"/>
            <w:tcBorders>
              <w:top w:val="single" w:sz="4" w:space="0" w:color="auto"/>
              <w:left w:val="single" w:sz="4" w:space="0" w:color="auto"/>
              <w:bottom w:val="single" w:sz="4" w:space="0" w:color="auto"/>
              <w:right w:val="single" w:sz="4" w:space="0" w:color="auto"/>
            </w:tcBorders>
          </w:tcPr>
          <w:p w:rsidR="0057403C" w:rsidRPr="00B84D4B" w:rsidRDefault="00342FE1" w:rsidP="0057403C">
            <w:pPr>
              <w:jc w:val="center"/>
              <w:rPr>
                <w:rFonts w:asciiTheme="minorHAnsi" w:hAnsiTheme="minorHAnsi" w:cstheme="minorHAnsi"/>
                <w:b/>
                <w:sz w:val="20"/>
                <w:szCs w:val="20"/>
              </w:rPr>
            </w:pPr>
            <w:r w:rsidRPr="00B84D4B">
              <w:rPr>
                <w:rFonts w:asciiTheme="minorHAnsi" w:hAnsiTheme="minorHAnsi" w:cstheme="minorHAnsi"/>
                <w:b/>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57403C" w:rsidRPr="0057403C" w:rsidRDefault="00342FE1" w:rsidP="0057403C">
            <w:pPr>
              <w:jc w:val="center"/>
              <w:rPr>
                <w:rFonts w:asciiTheme="minorHAnsi" w:hAnsiTheme="minorHAnsi" w:cstheme="minorHAnsi"/>
                <w:sz w:val="20"/>
                <w:szCs w:val="20"/>
              </w:rPr>
            </w:pPr>
            <w:r>
              <w:rPr>
                <w:rFonts w:asciiTheme="minorHAnsi" w:hAnsiTheme="minorHAnsi" w:cstheme="minorHAnsi"/>
                <w:sz w:val="20"/>
                <w:szCs w:val="20"/>
              </w:rPr>
              <w:t>0.5</w:t>
            </w:r>
            <w:r w:rsidR="00AC20BB">
              <w:rPr>
                <w:rFonts w:asciiTheme="minorHAnsi" w:hAnsiTheme="minorHAnsi" w:cstheme="minorHAnsi"/>
                <w:sz w:val="20"/>
                <w:szCs w:val="20"/>
              </w:rPr>
              <w:t>72</w:t>
            </w:r>
          </w:p>
        </w:tc>
        <w:tc>
          <w:tcPr>
            <w:tcW w:w="1417" w:type="dxa"/>
            <w:tcBorders>
              <w:top w:val="single" w:sz="4" w:space="0" w:color="auto"/>
              <w:left w:val="single" w:sz="4" w:space="0" w:color="auto"/>
              <w:bottom w:val="single" w:sz="4" w:space="0" w:color="auto"/>
              <w:right w:val="single" w:sz="4" w:space="0" w:color="auto"/>
            </w:tcBorders>
          </w:tcPr>
          <w:p w:rsidR="0057403C" w:rsidRPr="0057403C" w:rsidRDefault="00AC20BB" w:rsidP="0057403C">
            <w:pPr>
              <w:jc w:val="center"/>
              <w:rPr>
                <w:rFonts w:asciiTheme="minorHAnsi" w:hAnsiTheme="minorHAnsi" w:cstheme="minorHAnsi"/>
                <w:sz w:val="20"/>
                <w:szCs w:val="20"/>
              </w:rPr>
            </w:pPr>
            <w:r>
              <w:rPr>
                <w:rFonts w:asciiTheme="minorHAnsi" w:hAnsiTheme="minorHAnsi" w:cstheme="minorHAnsi"/>
                <w:sz w:val="20"/>
                <w:szCs w:val="20"/>
              </w:rPr>
              <w:t>11.93</w:t>
            </w:r>
            <w:r w:rsidR="00342FE1">
              <w:rPr>
                <w:rFonts w:asciiTheme="minorHAnsi" w:hAnsiTheme="minorHAnsi" w:cstheme="minorHAnsi"/>
                <w:sz w:val="20"/>
                <w:szCs w:val="20"/>
              </w:rPr>
              <w:t>***</w:t>
            </w:r>
          </w:p>
        </w:tc>
        <w:tc>
          <w:tcPr>
            <w:tcW w:w="1077" w:type="dxa"/>
            <w:tcBorders>
              <w:top w:val="single" w:sz="4" w:space="0" w:color="auto"/>
              <w:left w:val="single" w:sz="4" w:space="0" w:color="auto"/>
              <w:bottom w:val="single" w:sz="4" w:space="0" w:color="auto"/>
            </w:tcBorders>
          </w:tcPr>
          <w:p w:rsidR="0057403C" w:rsidRPr="0057403C" w:rsidRDefault="00342FE1" w:rsidP="0057403C">
            <w:pPr>
              <w:jc w:val="center"/>
              <w:rPr>
                <w:rFonts w:asciiTheme="minorHAnsi" w:hAnsiTheme="minorHAnsi" w:cstheme="minorHAnsi"/>
                <w:sz w:val="20"/>
                <w:szCs w:val="20"/>
              </w:rPr>
            </w:pPr>
            <w:r>
              <w:rPr>
                <w:rFonts w:asciiTheme="minorHAnsi" w:hAnsiTheme="minorHAnsi" w:cstheme="minorHAnsi"/>
                <w:sz w:val="20"/>
                <w:szCs w:val="20"/>
              </w:rPr>
              <w:t>0.</w:t>
            </w:r>
            <w:r w:rsidR="00AC20BB">
              <w:rPr>
                <w:rFonts w:asciiTheme="minorHAnsi" w:hAnsiTheme="minorHAnsi" w:cstheme="minorHAnsi"/>
                <w:sz w:val="20"/>
                <w:szCs w:val="20"/>
              </w:rPr>
              <w:t>416</w:t>
            </w:r>
          </w:p>
        </w:tc>
      </w:tr>
      <w:tr w:rsidR="0046330A" w:rsidRPr="0057403C" w:rsidTr="0046330A">
        <w:tc>
          <w:tcPr>
            <w:tcW w:w="3402" w:type="dxa"/>
            <w:tcBorders>
              <w:top w:val="single" w:sz="4" w:space="0" w:color="auto"/>
              <w:bottom w:val="single" w:sz="4" w:space="0" w:color="auto"/>
              <w:right w:val="single" w:sz="4" w:space="0" w:color="auto"/>
            </w:tcBorders>
          </w:tcPr>
          <w:p w:rsidR="0057403C" w:rsidRPr="00B84D4B" w:rsidRDefault="00B84D4B">
            <w:pPr>
              <w:rPr>
                <w:rFonts w:ascii="Calibri" w:hAnsi="Calibri" w:cs="Calibri"/>
                <w:sz w:val="20"/>
                <w:szCs w:val="20"/>
              </w:rPr>
            </w:pPr>
            <w:r w:rsidRPr="00B84D4B">
              <w:rPr>
                <w:rFonts w:ascii="Calibri" w:hAnsi="Calibri" w:cs="Calibri"/>
                <w:sz w:val="20"/>
                <w:szCs w:val="20"/>
              </w:rPr>
              <w:t>US Yield Difference</w:t>
            </w:r>
          </w:p>
        </w:tc>
        <w:tc>
          <w:tcPr>
            <w:tcW w:w="1077" w:type="dxa"/>
            <w:tcBorders>
              <w:top w:val="single" w:sz="4" w:space="0" w:color="auto"/>
              <w:left w:val="single" w:sz="4" w:space="0" w:color="auto"/>
              <w:bottom w:val="single" w:sz="4" w:space="0" w:color="auto"/>
              <w:right w:val="single" w:sz="4" w:space="0" w:color="auto"/>
            </w:tcBorders>
          </w:tcPr>
          <w:p w:rsidR="0057403C" w:rsidRPr="00B84D4B" w:rsidRDefault="00B84D4B" w:rsidP="0057403C">
            <w:pPr>
              <w:jc w:val="center"/>
              <w:rPr>
                <w:rFonts w:asciiTheme="minorHAnsi" w:hAnsiTheme="minorHAnsi" w:cstheme="minorHAnsi"/>
                <w:b/>
                <w:sz w:val="20"/>
                <w:szCs w:val="20"/>
              </w:rPr>
            </w:pPr>
            <w:r>
              <w:rPr>
                <w:rFonts w:asciiTheme="minorHAnsi" w:hAnsiTheme="minorHAnsi" w:cstheme="minorHAnsi"/>
                <w:b/>
                <w:sz w:val="20"/>
                <w:szCs w:val="20"/>
              </w:rPr>
              <w:t>3</w:t>
            </w:r>
            <w:r w:rsidR="00D717A1">
              <w:rPr>
                <w:rFonts w:asciiTheme="minorHAnsi" w:hAnsiTheme="minorHAnsi" w:cstheme="minorHAnsi"/>
                <w:b/>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57403C" w:rsidRPr="0057403C" w:rsidRDefault="00B84D4B" w:rsidP="0057403C">
            <w:pPr>
              <w:jc w:val="center"/>
              <w:rPr>
                <w:rFonts w:asciiTheme="minorHAnsi" w:hAnsiTheme="minorHAnsi" w:cstheme="minorHAnsi"/>
                <w:sz w:val="20"/>
                <w:szCs w:val="20"/>
              </w:rPr>
            </w:pPr>
            <w:r>
              <w:rPr>
                <w:rFonts w:asciiTheme="minorHAnsi" w:hAnsiTheme="minorHAnsi" w:cstheme="minorHAnsi"/>
                <w:sz w:val="20"/>
                <w:szCs w:val="20"/>
              </w:rPr>
              <w:t>0.</w:t>
            </w:r>
            <w:r w:rsidR="00AC20BB">
              <w:rPr>
                <w:rFonts w:asciiTheme="minorHAnsi" w:hAnsiTheme="minorHAnsi" w:cstheme="minorHAnsi"/>
                <w:sz w:val="20"/>
                <w:szCs w:val="20"/>
              </w:rPr>
              <w:t>2</w:t>
            </w:r>
            <w:r w:rsidR="00D717A1">
              <w:rPr>
                <w:rFonts w:asciiTheme="minorHAnsi" w:hAnsiTheme="minorHAnsi" w:cstheme="minorHAnsi"/>
                <w:sz w:val="20"/>
                <w:szCs w:val="20"/>
              </w:rPr>
              <w:t>87</w:t>
            </w:r>
          </w:p>
        </w:tc>
        <w:tc>
          <w:tcPr>
            <w:tcW w:w="1417" w:type="dxa"/>
            <w:tcBorders>
              <w:top w:val="single" w:sz="4" w:space="0" w:color="auto"/>
              <w:left w:val="single" w:sz="4" w:space="0" w:color="auto"/>
              <w:bottom w:val="single" w:sz="4" w:space="0" w:color="auto"/>
              <w:right w:val="single" w:sz="4" w:space="0" w:color="auto"/>
            </w:tcBorders>
          </w:tcPr>
          <w:p w:rsidR="0057403C" w:rsidRPr="0057403C" w:rsidRDefault="00D717A1" w:rsidP="0057403C">
            <w:pPr>
              <w:jc w:val="center"/>
              <w:rPr>
                <w:rFonts w:asciiTheme="minorHAnsi" w:hAnsiTheme="minorHAnsi" w:cstheme="minorHAnsi"/>
                <w:sz w:val="20"/>
                <w:szCs w:val="20"/>
              </w:rPr>
            </w:pPr>
            <w:r>
              <w:rPr>
                <w:rFonts w:asciiTheme="minorHAnsi" w:hAnsiTheme="minorHAnsi" w:cstheme="minorHAnsi"/>
                <w:sz w:val="20"/>
                <w:szCs w:val="20"/>
              </w:rPr>
              <w:t>6.91</w:t>
            </w:r>
            <w:r w:rsidR="00B84D4B">
              <w:rPr>
                <w:rFonts w:asciiTheme="minorHAnsi" w:hAnsiTheme="minorHAnsi" w:cstheme="minorHAnsi"/>
                <w:sz w:val="20"/>
                <w:szCs w:val="20"/>
              </w:rPr>
              <w:t>***</w:t>
            </w:r>
          </w:p>
        </w:tc>
        <w:tc>
          <w:tcPr>
            <w:tcW w:w="1077" w:type="dxa"/>
            <w:tcBorders>
              <w:top w:val="single" w:sz="4" w:space="0" w:color="auto"/>
              <w:left w:val="single" w:sz="4" w:space="0" w:color="auto"/>
              <w:bottom w:val="single" w:sz="4" w:space="0" w:color="auto"/>
            </w:tcBorders>
          </w:tcPr>
          <w:p w:rsidR="0057403C" w:rsidRPr="0057403C" w:rsidRDefault="00B84D4B" w:rsidP="0057403C">
            <w:pPr>
              <w:jc w:val="center"/>
              <w:rPr>
                <w:rFonts w:asciiTheme="minorHAnsi" w:hAnsiTheme="minorHAnsi" w:cstheme="minorHAnsi"/>
                <w:sz w:val="20"/>
                <w:szCs w:val="20"/>
              </w:rPr>
            </w:pPr>
            <w:r>
              <w:rPr>
                <w:rFonts w:asciiTheme="minorHAnsi" w:hAnsiTheme="minorHAnsi" w:cstheme="minorHAnsi"/>
                <w:sz w:val="20"/>
                <w:szCs w:val="20"/>
              </w:rPr>
              <w:t>0.1</w:t>
            </w:r>
            <w:r w:rsidR="00D717A1">
              <w:rPr>
                <w:rFonts w:asciiTheme="minorHAnsi" w:hAnsiTheme="minorHAnsi" w:cstheme="minorHAnsi"/>
                <w:sz w:val="20"/>
                <w:szCs w:val="20"/>
              </w:rPr>
              <w:t>91</w:t>
            </w:r>
          </w:p>
        </w:tc>
      </w:tr>
      <w:tr w:rsidR="0046330A" w:rsidRPr="0057403C" w:rsidTr="0046330A">
        <w:tc>
          <w:tcPr>
            <w:tcW w:w="3402" w:type="dxa"/>
            <w:tcBorders>
              <w:top w:val="single" w:sz="4" w:space="0" w:color="auto"/>
              <w:bottom w:val="single" w:sz="4" w:space="0" w:color="auto"/>
              <w:right w:val="single" w:sz="4" w:space="0" w:color="auto"/>
            </w:tcBorders>
          </w:tcPr>
          <w:p w:rsidR="0057403C" w:rsidRPr="006D0C8B" w:rsidRDefault="006D0C8B">
            <w:pPr>
              <w:rPr>
                <w:rFonts w:ascii="Calibri" w:hAnsi="Calibri" w:cs="Calibri"/>
                <w:sz w:val="20"/>
                <w:szCs w:val="20"/>
              </w:rPr>
            </w:pPr>
            <w:r w:rsidRPr="006D0C8B">
              <w:rPr>
                <w:rFonts w:ascii="Calibri" w:hAnsi="Calibri" w:cs="Calibri"/>
                <w:sz w:val="20"/>
                <w:szCs w:val="20"/>
              </w:rPr>
              <w:t>Building Permits in USA</w:t>
            </w:r>
          </w:p>
        </w:tc>
        <w:tc>
          <w:tcPr>
            <w:tcW w:w="1077" w:type="dxa"/>
            <w:tcBorders>
              <w:top w:val="single" w:sz="4" w:space="0" w:color="auto"/>
              <w:left w:val="single" w:sz="4" w:space="0" w:color="auto"/>
              <w:bottom w:val="single" w:sz="4" w:space="0" w:color="auto"/>
              <w:right w:val="single" w:sz="4" w:space="0" w:color="auto"/>
            </w:tcBorders>
          </w:tcPr>
          <w:p w:rsidR="0057403C" w:rsidRPr="00B84D4B" w:rsidRDefault="006D0C8B" w:rsidP="0057403C">
            <w:pPr>
              <w:jc w:val="center"/>
              <w:rPr>
                <w:rFonts w:asciiTheme="minorHAnsi" w:hAnsiTheme="minorHAnsi" w:cstheme="minorHAnsi"/>
                <w:b/>
                <w:sz w:val="20"/>
                <w:szCs w:val="20"/>
              </w:rPr>
            </w:pPr>
            <w:r>
              <w:rPr>
                <w:rFonts w:asciiTheme="minorHAnsi" w:hAnsiTheme="minorHAnsi" w:cstheme="minorHAnsi"/>
                <w:b/>
                <w:sz w:val="20"/>
                <w:szCs w:val="20"/>
              </w:rPr>
              <w:t>27</w:t>
            </w:r>
          </w:p>
        </w:tc>
        <w:tc>
          <w:tcPr>
            <w:tcW w:w="1417" w:type="dxa"/>
            <w:tcBorders>
              <w:top w:val="single" w:sz="4" w:space="0" w:color="auto"/>
              <w:left w:val="single" w:sz="4" w:space="0" w:color="auto"/>
              <w:bottom w:val="single" w:sz="4" w:space="0" w:color="auto"/>
              <w:right w:val="single" w:sz="4" w:space="0" w:color="auto"/>
            </w:tcBorders>
          </w:tcPr>
          <w:p w:rsidR="0057403C" w:rsidRPr="0057403C" w:rsidRDefault="006D0C8B" w:rsidP="0057403C">
            <w:pPr>
              <w:jc w:val="center"/>
              <w:rPr>
                <w:rFonts w:asciiTheme="minorHAnsi" w:hAnsiTheme="minorHAnsi" w:cstheme="minorHAnsi"/>
                <w:sz w:val="20"/>
                <w:szCs w:val="20"/>
              </w:rPr>
            </w:pPr>
            <w:r>
              <w:rPr>
                <w:rFonts w:asciiTheme="minorHAnsi" w:hAnsiTheme="minorHAnsi" w:cstheme="minorHAnsi"/>
                <w:sz w:val="20"/>
                <w:szCs w:val="20"/>
              </w:rPr>
              <w:t>0.</w:t>
            </w:r>
            <w:r w:rsidR="00AC20BB">
              <w:rPr>
                <w:rFonts w:asciiTheme="minorHAnsi" w:hAnsiTheme="minorHAnsi" w:cstheme="minorHAnsi"/>
                <w:sz w:val="20"/>
                <w:szCs w:val="20"/>
              </w:rPr>
              <w:t>456</w:t>
            </w:r>
          </w:p>
        </w:tc>
        <w:tc>
          <w:tcPr>
            <w:tcW w:w="1417" w:type="dxa"/>
            <w:tcBorders>
              <w:top w:val="single" w:sz="4" w:space="0" w:color="auto"/>
              <w:left w:val="single" w:sz="4" w:space="0" w:color="auto"/>
              <w:bottom w:val="single" w:sz="4" w:space="0" w:color="auto"/>
              <w:right w:val="single" w:sz="4" w:space="0" w:color="auto"/>
            </w:tcBorders>
          </w:tcPr>
          <w:p w:rsidR="0057403C" w:rsidRPr="0057403C" w:rsidRDefault="00AC20BB" w:rsidP="0057403C">
            <w:pPr>
              <w:jc w:val="center"/>
              <w:rPr>
                <w:rFonts w:asciiTheme="minorHAnsi" w:hAnsiTheme="minorHAnsi" w:cstheme="minorHAnsi"/>
                <w:sz w:val="20"/>
                <w:szCs w:val="20"/>
              </w:rPr>
            </w:pPr>
            <w:r>
              <w:rPr>
                <w:rFonts w:asciiTheme="minorHAnsi" w:hAnsiTheme="minorHAnsi" w:cstheme="minorHAnsi"/>
                <w:sz w:val="20"/>
                <w:szCs w:val="20"/>
              </w:rPr>
              <w:t>7.87</w:t>
            </w:r>
            <w:r w:rsidR="006D0C8B">
              <w:rPr>
                <w:rFonts w:asciiTheme="minorHAnsi" w:hAnsiTheme="minorHAnsi" w:cstheme="minorHAnsi"/>
                <w:sz w:val="20"/>
                <w:szCs w:val="20"/>
              </w:rPr>
              <w:t>***</w:t>
            </w:r>
          </w:p>
        </w:tc>
        <w:tc>
          <w:tcPr>
            <w:tcW w:w="1077" w:type="dxa"/>
            <w:tcBorders>
              <w:top w:val="single" w:sz="4" w:space="0" w:color="auto"/>
              <w:left w:val="single" w:sz="4" w:space="0" w:color="auto"/>
              <w:bottom w:val="single" w:sz="4" w:space="0" w:color="auto"/>
            </w:tcBorders>
          </w:tcPr>
          <w:p w:rsidR="0057403C" w:rsidRPr="0057403C" w:rsidRDefault="006D0C8B" w:rsidP="0057403C">
            <w:pPr>
              <w:jc w:val="center"/>
              <w:rPr>
                <w:rFonts w:asciiTheme="minorHAnsi" w:hAnsiTheme="minorHAnsi" w:cstheme="minorHAnsi"/>
                <w:sz w:val="20"/>
                <w:szCs w:val="20"/>
              </w:rPr>
            </w:pPr>
            <w:r>
              <w:rPr>
                <w:rFonts w:asciiTheme="minorHAnsi" w:hAnsiTheme="minorHAnsi" w:cstheme="minorHAnsi"/>
                <w:sz w:val="20"/>
                <w:szCs w:val="20"/>
              </w:rPr>
              <w:t>0.</w:t>
            </w:r>
            <w:r w:rsidR="00AC20BB">
              <w:rPr>
                <w:rFonts w:asciiTheme="minorHAnsi" w:hAnsiTheme="minorHAnsi" w:cstheme="minorHAnsi"/>
                <w:sz w:val="20"/>
                <w:szCs w:val="20"/>
              </w:rPr>
              <w:t>235</w:t>
            </w:r>
          </w:p>
        </w:tc>
      </w:tr>
      <w:tr w:rsidR="0046330A" w:rsidRPr="0057403C" w:rsidTr="0046330A">
        <w:tc>
          <w:tcPr>
            <w:tcW w:w="3402" w:type="dxa"/>
            <w:tcBorders>
              <w:top w:val="single" w:sz="4" w:space="0" w:color="auto"/>
              <w:bottom w:val="single" w:sz="4" w:space="0" w:color="auto"/>
              <w:right w:val="single" w:sz="4" w:space="0" w:color="auto"/>
            </w:tcBorders>
          </w:tcPr>
          <w:p w:rsidR="0057403C" w:rsidRPr="006D0C8B" w:rsidRDefault="006D0C8B">
            <w:pPr>
              <w:rPr>
                <w:rFonts w:ascii="Calibri" w:hAnsi="Calibri" w:cs="Calibri"/>
                <w:sz w:val="20"/>
                <w:szCs w:val="20"/>
              </w:rPr>
            </w:pPr>
            <w:r w:rsidRPr="006D0C8B">
              <w:rPr>
                <w:rFonts w:ascii="Calibri" w:hAnsi="Calibri" w:cs="Calibri"/>
                <w:color w:val="000000" w:themeColor="text1"/>
                <w:sz w:val="20"/>
                <w:szCs w:val="20"/>
              </w:rPr>
              <w:t>Dun &amp; Bradstreet Employment Expectations Index</w:t>
            </w:r>
          </w:p>
        </w:tc>
        <w:tc>
          <w:tcPr>
            <w:tcW w:w="1077" w:type="dxa"/>
            <w:tcBorders>
              <w:top w:val="single" w:sz="4" w:space="0" w:color="auto"/>
              <w:left w:val="single" w:sz="4" w:space="0" w:color="auto"/>
              <w:bottom w:val="single" w:sz="4" w:space="0" w:color="auto"/>
              <w:right w:val="single" w:sz="4" w:space="0" w:color="auto"/>
            </w:tcBorders>
          </w:tcPr>
          <w:p w:rsidR="0057403C" w:rsidRPr="00B84D4B" w:rsidRDefault="006D0C8B" w:rsidP="0057403C">
            <w:pPr>
              <w:jc w:val="center"/>
              <w:rPr>
                <w:rFonts w:asciiTheme="minorHAnsi" w:hAnsiTheme="minorHAnsi" w:cstheme="minorHAnsi"/>
                <w:b/>
                <w:sz w:val="20"/>
                <w:szCs w:val="20"/>
              </w:rPr>
            </w:pPr>
            <w:r>
              <w:rPr>
                <w:rFonts w:asciiTheme="minorHAnsi" w:hAnsiTheme="minorHAnsi" w:cstheme="minorHAnsi"/>
                <w:b/>
                <w:sz w:val="20"/>
                <w:szCs w:val="20"/>
              </w:rPr>
              <w:t>12</w:t>
            </w:r>
          </w:p>
        </w:tc>
        <w:tc>
          <w:tcPr>
            <w:tcW w:w="1417" w:type="dxa"/>
            <w:tcBorders>
              <w:top w:val="single" w:sz="4" w:space="0" w:color="auto"/>
              <w:left w:val="single" w:sz="4" w:space="0" w:color="auto"/>
              <w:bottom w:val="single" w:sz="4" w:space="0" w:color="auto"/>
              <w:right w:val="single" w:sz="4" w:space="0" w:color="auto"/>
            </w:tcBorders>
          </w:tcPr>
          <w:p w:rsidR="0057403C" w:rsidRPr="0057403C" w:rsidRDefault="006D0C8B" w:rsidP="0057403C">
            <w:pPr>
              <w:jc w:val="center"/>
              <w:rPr>
                <w:rFonts w:asciiTheme="minorHAnsi" w:hAnsiTheme="minorHAnsi" w:cstheme="minorHAnsi"/>
                <w:sz w:val="20"/>
                <w:szCs w:val="20"/>
              </w:rPr>
            </w:pPr>
            <w:r>
              <w:rPr>
                <w:rFonts w:asciiTheme="minorHAnsi" w:hAnsiTheme="minorHAnsi" w:cstheme="minorHAnsi"/>
                <w:sz w:val="20"/>
                <w:szCs w:val="20"/>
              </w:rPr>
              <w:t>0.3</w:t>
            </w:r>
            <w:r w:rsidR="00AC20BB">
              <w:rPr>
                <w:rFonts w:asciiTheme="minorHAnsi" w:hAnsiTheme="minorHAnsi" w:cstheme="minorHAnsi"/>
                <w:sz w:val="20"/>
                <w:szCs w:val="20"/>
              </w:rPr>
              <w:t>15</w:t>
            </w:r>
          </w:p>
        </w:tc>
        <w:tc>
          <w:tcPr>
            <w:tcW w:w="1417" w:type="dxa"/>
            <w:tcBorders>
              <w:top w:val="single" w:sz="4" w:space="0" w:color="auto"/>
              <w:left w:val="single" w:sz="4" w:space="0" w:color="auto"/>
              <w:bottom w:val="single" w:sz="4" w:space="0" w:color="auto"/>
              <w:right w:val="single" w:sz="4" w:space="0" w:color="auto"/>
            </w:tcBorders>
          </w:tcPr>
          <w:p w:rsidR="0057403C" w:rsidRPr="0057403C" w:rsidRDefault="00AC20BB" w:rsidP="0057403C">
            <w:pPr>
              <w:jc w:val="center"/>
              <w:rPr>
                <w:rFonts w:asciiTheme="minorHAnsi" w:hAnsiTheme="minorHAnsi" w:cstheme="minorHAnsi"/>
                <w:sz w:val="20"/>
                <w:szCs w:val="20"/>
              </w:rPr>
            </w:pPr>
            <w:r>
              <w:rPr>
                <w:rFonts w:asciiTheme="minorHAnsi" w:hAnsiTheme="minorHAnsi" w:cstheme="minorHAnsi"/>
                <w:sz w:val="20"/>
                <w:szCs w:val="20"/>
              </w:rPr>
              <w:t>6.30</w:t>
            </w:r>
            <w:r w:rsidR="008847B3">
              <w:rPr>
                <w:rFonts w:asciiTheme="minorHAnsi" w:hAnsiTheme="minorHAnsi" w:cstheme="minorHAnsi"/>
                <w:sz w:val="20"/>
                <w:szCs w:val="20"/>
              </w:rPr>
              <w:t>***</w:t>
            </w:r>
          </w:p>
        </w:tc>
        <w:tc>
          <w:tcPr>
            <w:tcW w:w="1077" w:type="dxa"/>
            <w:tcBorders>
              <w:top w:val="single" w:sz="4" w:space="0" w:color="auto"/>
              <w:left w:val="single" w:sz="4" w:space="0" w:color="auto"/>
              <w:bottom w:val="single" w:sz="4" w:space="0" w:color="auto"/>
            </w:tcBorders>
          </w:tcPr>
          <w:p w:rsidR="0057403C" w:rsidRPr="0057403C" w:rsidRDefault="008847B3" w:rsidP="0057403C">
            <w:pPr>
              <w:jc w:val="center"/>
              <w:rPr>
                <w:rFonts w:asciiTheme="minorHAnsi" w:hAnsiTheme="minorHAnsi" w:cstheme="minorHAnsi"/>
                <w:sz w:val="20"/>
                <w:szCs w:val="20"/>
              </w:rPr>
            </w:pPr>
            <w:r>
              <w:rPr>
                <w:rFonts w:asciiTheme="minorHAnsi" w:hAnsiTheme="minorHAnsi" w:cstheme="minorHAnsi"/>
                <w:sz w:val="20"/>
                <w:szCs w:val="20"/>
              </w:rPr>
              <w:t>0.1</w:t>
            </w:r>
            <w:r w:rsidR="00AC20BB">
              <w:rPr>
                <w:rFonts w:asciiTheme="minorHAnsi" w:hAnsiTheme="minorHAnsi" w:cstheme="minorHAnsi"/>
                <w:sz w:val="20"/>
                <w:szCs w:val="20"/>
              </w:rPr>
              <w:t>63</w:t>
            </w:r>
          </w:p>
        </w:tc>
      </w:tr>
      <w:tr w:rsidR="0046330A" w:rsidRPr="0057403C" w:rsidTr="0046330A">
        <w:tc>
          <w:tcPr>
            <w:tcW w:w="3402" w:type="dxa"/>
            <w:tcBorders>
              <w:top w:val="single" w:sz="4" w:space="0" w:color="auto"/>
              <w:bottom w:val="single" w:sz="4" w:space="0" w:color="auto"/>
              <w:right w:val="single" w:sz="4" w:space="0" w:color="auto"/>
            </w:tcBorders>
          </w:tcPr>
          <w:p w:rsidR="0057403C" w:rsidRPr="008847B3" w:rsidRDefault="008847B3" w:rsidP="00D717A1">
            <w:pPr>
              <w:rPr>
                <w:rFonts w:asciiTheme="minorHAnsi" w:hAnsiTheme="minorHAnsi" w:cstheme="minorHAnsi"/>
                <w:sz w:val="20"/>
                <w:szCs w:val="20"/>
              </w:rPr>
            </w:pPr>
            <w:r w:rsidRPr="008847B3">
              <w:rPr>
                <w:rFonts w:asciiTheme="minorHAnsi" w:hAnsiTheme="minorHAnsi" w:cstheme="minorHAnsi"/>
                <w:sz w:val="20"/>
                <w:szCs w:val="20"/>
              </w:rPr>
              <w:t>NAB Forward Orders Index</w:t>
            </w:r>
          </w:p>
        </w:tc>
        <w:tc>
          <w:tcPr>
            <w:tcW w:w="1077" w:type="dxa"/>
            <w:tcBorders>
              <w:top w:val="single" w:sz="4" w:space="0" w:color="auto"/>
              <w:left w:val="single" w:sz="4" w:space="0" w:color="auto"/>
              <w:bottom w:val="single" w:sz="4" w:space="0" w:color="auto"/>
              <w:right w:val="single" w:sz="4" w:space="0" w:color="auto"/>
            </w:tcBorders>
          </w:tcPr>
          <w:p w:rsidR="0057403C" w:rsidRPr="00B84D4B" w:rsidRDefault="008847B3" w:rsidP="0057403C">
            <w:pPr>
              <w:jc w:val="center"/>
              <w:rPr>
                <w:rFonts w:asciiTheme="minorHAnsi" w:hAnsiTheme="minorHAnsi" w:cstheme="minorHAnsi"/>
                <w:b/>
                <w:sz w:val="20"/>
                <w:szCs w:val="20"/>
              </w:rPr>
            </w:pPr>
            <w:r>
              <w:rPr>
                <w:rFonts w:asciiTheme="minorHAnsi" w:hAnsiTheme="minorHAnsi" w:cstheme="minorHAnsi"/>
                <w:b/>
                <w:sz w:val="20"/>
                <w:szCs w:val="20"/>
              </w:rPr>
              <w:t>1</w:t>
            </w:r>
            <w:r w:rsidR="000C1DB8">
              <w:rPr>
                <w:rFonts w:asciiTheme="minorHAnsi" w:hAnsiTheme="minorHAnsi" w:cstheme="minorHAnsi"/>
                <w:b/>
                <w:sz w:val="20"/>
                <w:szCs w:val="20"/>
              </w:rPr>
              <w:t>5</w:t>
            </w:r>
          </w:p>
        </w:tc>
        <w:tc>
          <w:tcPr>
            <w:tcW w:w="1417" w:type="dxa"/>
            <w:tcBorders>
              <w:top w:val="single" w:sz="4" w:space="0" w:color="auto"/>
              <w:left w:val="single" w:sz="4" w:space="0" w:color="auto"/>
              <w:bottom w:val="single" w:sz="4" w:space="0" w:color="auto"/>
              <w:right w:val="single" w:sz="4" w:space="0" w:color="auto"/>
            </w:tcBorders>
          </w:tcPr>
          <w:p w:rsidR="0057403C" w:rsidRPr="0057403C" w:rsidRDefault="008847B3" w:rsidP="0057403C">
            <w:pPr>
              <w:jc w:val="center"/>
              <w:rPr>
                <w:rFonts w:asciiTheme="minorHAnsi" w:hAnsiTheme="minorHAnsi" w:cstheme="minorHAnsi"/>
                <w:sz w:val="20"/>
                <w:szCs w:val="20"/>
              </w:rPr>
            </w:pPr>
            <w:r>
              <w:rPr>
                <w:rFonts w:asciiTheme="minorHAnsi" w:hAnsiTheme="minorHAnsi" w:cstheme="minorHAnsi"/>
                <w:sz w:val="20"/>
                <w:szCs w:val="20"/>
              </w:rPr>
              <w:t>0.</w:t>
            </w:r>
            <w:r w:rsidR="00D717A1">
              <w:rPr>
                <w:rFonts w:asciiTheme="minorHAnsi" w:hAnsiTheme="minorHAnsi" w:cstheme="minorHAnsi"/>
                <w:sz w:val="20"/>
                <w:szCs w:val="20"/>
              </w:rPr>
              <w:t>324</w:t>
            </w:r>
          </w:p>
        </w:tc>
        <w:tc>
          <w:tcPr>
            <w:tcW w:w="1417" w:type="dxa"/>
            <w:tcBorders>
              <w:top w:val="single" w:sz="4" w:space="0" w:color="auto"/>
              <w:left w:val="single" w:sz="4" w:space="0" w:color="auto"/>
              <w:bottom w:val="single" w:sz="4" w:space="0" w:color="auto"/>
              <w:right w:val="single" w:sz="4" w:space="0" w:color="auto"/>
            </w:tcBorders>
          </w:tcPr>
          <w:p w:rsidR="0057403C" w:rsidRPr="0057403C" w:rsidRDefault="00D717A1" w:rsidP="0057403C">
            <w:pPr>
              <w:jc w:val="center"/>
              <w:rPr>
                <w:rFonts w:asciiTheme="minorHAnsi" w:hAnsiTheme="minorHAnsi" w:cstheme="minorHAnsi"/>
                <w:sz w:val="20"/>
                <w:szCs w:val="20"/>
              </w:rPr>
            </w:pPr>
            <w:r>
              <w:rPr>
                <w:rFonts w:asciiTheme="minorHAnsi" w:hAnsiTheme="minorHAnsi" w:cstheme="minorHAnsi"/>
                <w:sz w:val="20"/>
                <w:szCs w:val="20"/>
              </w:rPr>
              <w:t>9.60</w:t>
            </w:r>
            <w:r w:rsidR="008847B3">
              <w:rPr>
                <w:rFonts w:asciiTheme="minorHAnsi" w:hAnsiTheme="minorHAnsi" w:cstheme="minorHAnsi"/>
                <w:sz w:val="20"/>
                <w:szCs w:val="20"/>
              </w:rPr>
              <w:t>***</w:t>
            </w:r>
          </w:p>
        </w:tc>
        <w:tc>
          <w:tcPr>
            <w:tcW w:w="1077" w:type="dxa"/>
            <w:tcBorders>
              <w:top w:val="single" w:sz="4" w:space="0" w:color="auto"/>
              <w:left w:val="single" w:sz="4" w:space="0" w:color="auto"/>
              <w:bottom w:val="single" w:sz="4" w:space="0" w:color="auto"/>
            </w:tcBorders>
          </w:tcPr>
          <w:p w:rsidR="0057403C" w:rsidRPr="0057403C" w:rsidRDefault="008847B3" w:rsidP="0057403C">
            <w:pPr>
              <w:jc w:val="center"/>
              <w:rPr>
                <w:rFonts w:asciiTheme="minorHAnsi" w:hAnsiTheme="minorHAnsi" w:cstheme="minorHAnsi"/>
                <w:sz w:val="20"/>
                <w:szCs w:val="20"/>
              </w:rPr>
            </w:pPr>
            <w:r>
              <w:rPr>
                <w:rFonts w:asciiTheme="minorHAnsi" w:hAnsiTheme="minorHAnsi" w:cstheme="minorHAnsi"/>
                <w:sz w:val="20"/>
                <w:szCs w:val="20"/>
              </w:rPr>
              <w:t>0.</w:t>
            </w:r>
            <w:r w:rsidR="00D717A1">
              <w:rPr>
                <w:rFonts w:asciiTheme="minorHAnsi" w:hAnsiTheme="minorHAnsi" w:cstheme="minorHAnsi"/>
                <w:sz w:val="20"/>
                <w:szCs w:val="20"/>
              </w:rPr>
              <w:t>315</w:t>
            </w:r>
          </w:p>
        </w:tc>
      </w:tr>
      <w:tr w:rsidR="0046330A" w:rsidRPr="0057403C" w:rsidTr="0046330A">
        <w:tc>
          <w:tcPr>
            <w:tcW w:w="3402" w:type="dxa"/>
            <w:tcBorders>
              <w:top w:val="single" w:sz="4" w:space="0" w:color="auto"/>
              <w:bottom w:val="single" w:sz="4" w:space="0" w:color="auto"/>
              <w:right w:val="single" w:sz="4" w:space="0" w:color="auto"/>
            </w:tcBorders>
          </w:tcPr>
          <w:p w:rsidR="0057403C" w:rsidRPr="002D2106" w:rsidRDefault="002D2106">
            <w:pPr>
              <w:rPr>
                <w:rFonts w:ascii="Calibri" w:hAnsi="Calibri" w:cs="Calibri"/>
                <w:sz w:val="20"/>
                <w:szCs w:val="20"/>
              </w:rPr>
            </w:pPr>
            <w:r w:rsidRPr="002D2106">
              <w:rPr>
                <w:rFonts w:ascii="Calibri" w:hAnsi="Calibri" w:cs="Calibri"/>
                <w:color w:val="000000" w:themeColor="text1"/>
                <w:sz w:val="20"/>
                <w:szCs w:val="20"/>
              </w:rPr>
              <w:t>Westpac-Melbourne Institute Leading Index of Economic Activity</w:t>
            </w:r>
          </w:p>
        </w:tc>
        <w:tc>
          <w:tcPr>
            <w:tcW w:w="1077" w:type="dxa"/>
            <w:tcBorders>
              <w:top w:val="single" w:sz="4" w:space="0" w:color="auto"/>
              <w:left w:val="single" w:sz="4" w:space="0" w:color="auto"/>
              <w:bottom w:val="single" w:sz="4" w:space="0" w:color="auto"/>
              <w:right w:val="single" w:sz="4" w:space="0" w:color="auto"/>
            </w:tcBorders>
          </w:tcPr>
          <w:p w:rsidR="0057403C" w:rsidRPr="00B84D4B" w:rsidRDefault="008F58FE" w:rsidP="0057403C">
            <w:pPr>
              <w:jc w:val="center"/>
              <w:rPr>
                <w:rFonts w:asciiTheme="minorHAnsi" w:hAnsiTheme="minorHAnsi" w:cstheme="minorHAnsi"/>
                <w:b/>
                <w:sz w:val="20"/>
                <w:szCs w:val="20"/>
              </w:rPr>
            </w:pPr>
            <w:r>
              <w:rPr>
                <w:rFonts w:asciiTheme="minorHAnsi" w:hAnsiTheme="minorHAnsi" w:cstheme="minorHAnsi"/>
                <w:b/>
                <w:sz w:val="20"/>
                <w:szCs w:val="20"/>
              </w:rPr>
              <w:t>1</w:t>
            </w:r>
            <w:r w:rsidR="000C1DB8">
              <w:rPr>
                <w:rFonts w:asciiTheme="minorHAnsi" w:hAnsiTheme="minorHAnsi" w:cstheme="minorHAnsi"/>
                <w:b/>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57403C" w:rsidRPr="0057403C" w:rsidRDefault="008F58FE" w:rsidP="0057403C">
            <w:pPr>
              <w:jc w:val="center"/>
              <w:rPr>
                <w:rFonts w:asciiTheme="minorHAnsi" w:hAnsiTheme="minorHAnsi" w:cstheme="minorHAnsi"/>
                <w:sz w:val="20"/>
                <w:szCs w:val="20"/>
              </w:rPr>
            </w:pPr>
            <w:r>
              <w:rPr>
                <w:rFonts w:asciiTheme="minorHAnsi" w:hAnsiTheme="minorHAnsi" w:cstheme="minorHAnsi"/>
                <w:sz w:val="20"/>
                <w:szCs w:val="20"/>
              </w:rPr>
              <w:t>0.4</w:t>
            </w:r>
            <w:r w:rsidR="000C1DB8">
              <w:rPr>
                <w:rFonts w:asciiTheme="minorHAnsi" w:hAnsiTheme="minorHAnsi" w:cstheme="minorHAnsi"/>
                <w:sz w:val="20"/>
                <w:szCs w:val="20"/>
              </w:rPr>
              <w:t>45</w:t>
            </w:r>
          </w:p>
        </w:tc>
        <w:tc>
          <w:tcPr>
            <w:tcW w:w="1417" w:type="dxa"/>
            <w:tcBorders>
              <w:top w:val="single" w:sz="4" w:space="0" w:color="auto"/>
              <w:left w:val="single" w:sz="4" w:space="0" w:color="auto"/>
              <w:bottom w:val="single" w:sz="4" w:space="0" w:color="auto"/>
              <w:right w:val="single" w:sz="4" w:space="0" w:color="auto"/>
            </w:tcBorders>
          </w:tcPr>
          <w:p w:rsidR="0057403C" w:rsidRPr="0057403C" w:rsidRDefault="000C1DB8" w:rsidP="0057403C">
            <w:pPr>
              <w:jc w:val="center"/>
              <w:rPr>
                <w:rFonts w:asciiTheme="minorHAnsi" w:hAnsiTheme="minorHAnsi" w:cstheme="minorHAnsi"/>
                <w:sz w:val="20"/>
                <w:szCs w:val="20"/>
              </w:rPr>
            </w:pPr>
            <w:r>
              <w:rPr>
                <w:rFonts w:asciiTheme="minorHAnsi" w:hAnsiTheme="minorHAnsi" w:cstheme="minorHAnsi"/>
                <w:sz w:val="20"/>
                <w:szCs w:val="20"/>
              </w:rPr>
              <w:t>10.90</w:t>
            </w:r>
            <w:r w:rsidR="008F58FE">
              <w:rPr>
                <w:rFonts w:asciiTheme="minorHAnsi" w:hAnsiTheme="minorHAnsi" w:cstheme="minorHAnsi"/>
                <w:sz w:val="20"/>
                <w:szCs w:val="20"/>
              </w:rPr>
              <w:t>***</w:t>
            </w:r>
          </w:p>
        </w:tc>
        <w:tc>
          <w:tcPr>
            <w:tcW w:w="1077" w:type="dxa"/>
            <w:tcBorders>
              <w:top w:val="single" w:sz="4" w:space="0" w:color="auto"/>
              <w:left w:val="single" w:sz="4" w:space="0" w:color="auto"/>
              <w:bottom w:val="single" w:sz="4" w:space="0" w:color="auto"/>
            </w:tcBorders>
          </w:tcPr>
          <w:p w:rsidR="0057403C" w:rsidRPr="0057403C" w:rsidRDefault="008F58FE" w:rsidP="0057403C">
            <w:pPr>
              <w:jc w:val="center"/>
              <w:rPr>
                <w:rFonts w:asciiTheme="minorHAnsi" w:hAnsiTheme="minorHAnsi" w:cstheme="minorHAnsi"/>
                <w:sz w:val="20"/>
                <w:szCs w:val="20"/>
              </w:rPr>
            </w:pPr>
            <w:r>
              <w:rPr>
                <w:rFonts w:asciiTheme="minorHAnsi" w:hAnsiTheme="minorHAnsi" w:cstheme="minorHAnsi"/>
                <w:sz w:val="20"/>
                <w:szCs w:val="20"/>
              </w:rPr>
              <w:t>0.3</w:t>
            </w:r>
            <w:r w:rsidR="000C1DB8">
              <w:rPr>
                <w:rFonts w:asciiTheme="minorHAnsi" w:hAnsiTheme="minorHAnsi" w:cstheme="minorHAnsi"/>
                <w:sz w:val="20"/>
                <w:szCs w:val="20"/>
              </w:rPr>
              <w:t>73</w:t>
            </w:r>
          </w:p>
        </w:tc>
      </w:tr>
      <w:tr w:rsidR="0046330A" w:rsidRPr="0057403C" w:rsidTr="0046330A">
        <w:tc>
          <w:tcPr>
            <w:tcW w:w="3402" w:type="dxa"/>
            <w:tcBorders>
              <w:top w:val="single" w:sz="4" w:space="0" w:color="auto"/>
              <w:right w:val="single" w:sz="4" w:space="0" w:color="auto"/>
            </w:tcBorders>
          </w:tcPr>
          <w:p w:rsidR="0057403C" w:rsidRPr="002D2106" w:rsidRDefault="002D2106">
            <w:pPr>
              <w:rPr>
                <w:rFonts w:ascii="Calibri" w:hAnsi="Calibri" w:cs="Calibri"/>
                <w:sz w:val="20"/>
                <w:szCs w:val="20"/>
              </w:rPr>
            </w:pPr>
            <w:r w:rsidRPr="002D2106">
              <w:rPr>
                <w:rFonts w:ascii="Calibri" w:hAnsi="Calibri" w:cs="Calibri"/>
                <w:color w:val="000000" w:themeColor="text1"/>
                <w:sz w:val="20"/>
                <w:szCs w:val="20"/>
              </w:rPr>
              <w:t>Westpac-Melbourne Institute Consumer Sentiment Index</w:t>
            </w:r>
          </w:p>
        </w:tc>
        <w:tc>
          <w:tcPr>
            <w:tcW w:w="1077" w:type="dxa"/>
            <w:tcBorders>
              <w:top w:val="single" w:sz="4" w:space="0" w:color="auto"/>
              <w:left w:val="single" w:sz="4" w:space="0" w:color="auto"/>
              <w:right w:val="single" w:sz="4" w:space="0" w:color="auto"/>
            </w:tcBorders>
          </w:tcPr>
          <w:p w:rsidR="0057403C" w:rsidRPr="00B84D4B" w:rsidRDefault="0046330A" w:rsidP="0057403C">
            <w:pPr>
              <w:jc w:val="center"/>
              <w:rPr>
                <w:rFonts w:asciiTheme="minorHAnsi" w:hAnsiTheme="minorHAnsi" w:cstheme="minorHAnsi"/>
                <w:b/>
                <w:sz w:val="20"/>
                <w:szCs w:val="20"/>
              </w:rPr>
            </w:pPr>
            <w:r>
              <w:rPr>
                <w:rFonts w:asciiTheme="minorHAnsi" w:hAnsiTheme="minorHAnsi" w:cstheme="minorHAnsi"/>
                <w:b/>
                <w:sz w:val="20"/>
                <w:szCs w:val="20"/>
              </w:rPr>
              <w:t>1</w:t>
            </w:r>
            <w:r w:rsidR="000C1DB8">
              <w:rPr>
                <w:rFonts w:asciiTheme="minorHAnsi" w:hAnsiTheme="minorHAnsi" w:cstheme="minorHAnsi"/>
                <w:b/>
                <w:sz w:val="20"/>
                <w:szCs w:val="20"/>
              </w:rPr>
              <w:t>5</w:t>
            </w:r>
          </w:p>
        </w:tc>
        <w:tc>
          <w:tcPr>
            <w:tcW w:w="1417" w:type="dxa"/>
            <w:tcBorders>
              <w:top w:val="single" w:sz="4" w:space="0" w:color="auto"/>
              <w:left w:val="single" w:sz="4" w:space="0" w:color="auto"/>
              <w:right w:val="single" w:sz="4" w:space="0" w:color="auto"/>
            </w:tcBorders>
          </w:tcPr>
          <w:p w:rsidR="0057403C" w:rsidRPr="0057403C" w:rsidRDefault="0046330A" w:rsidP="0057403C">
            <w:pPr>
              <w:jc w:val="center"/>
              <w:rPr>
                <w:rFonts w:asciiTheme="minorHAnsi" w:hAnsiTheme="minorHAnsi" w:cstheme="minorHAnsi"/>
                <w:sz w:val="20"/>
                <w:szCs w:val="20"/>
              </w:rPr>
            </w:pPr>
            <w:r>
              <w:rPr>
                <w:rFonts w:asciiTheme="minorHAnsi" w:hAnsiTheme="minorHAnsi" w:cstheme="minorHAnsi"/>
                <w:sz w:val="20"/>
                <w:szCs w:val="20"/>
              </w:rPr>
              <w:t>0.</w:t>
            </w:r>
            <w:r w:rsidR="000C1DB8">
              <w:rPr>
                <w:rFonts w:asciiTheme="minorHAnsi" w:hAnsiTheme="minorHAnsi" w:cstheme="minorHAnsi"/>
                <w:sz w:val="20"/>
                <w:szCs w:val="20"/>
              </w:rPr>
              <w:t>348</w:t>
            </w:r>
          </w:p>
        </w:tc>
        <w:tc>
          <w:tcPr>
            <w:tcW w:w="1417" w:type="dxa"/>
            <w:tcBorders>
              <w:top w:val="single" w:sz="4" w:space="0" w:color="auto"/>
              <w:left w:val="single" w:sz="4" w:space="0" w:color="auto"/>
              <w:right w:val="single" w:sz="4" w:space="0" w:color="auto"/>
            </w:tcBorders>
          </w:tcPr>
          <w:p w:rsidR="0057403C" w:rsidRPr="0057403C" w:rsidRDefault="000C1DB8" w:rsidP="0057403C">
            <w:pPr>
              <w:jc w:val="center"/>
              <w:rPr>
                <w:rFonts w:asciiTheme="minorHAnsi" w:hAnsiTheme="minorHAnsi" w:cstheme="minorHAnsi"/>
                <w:sz w:val="20"/>
                <w:szCs w:val="20"/>
              </w:rPr>
            </w:pPr>
            <w:r>
              <w:rPr>
                <w:rFonts w:asciiTheme="minorHAnsi" w:hAnsiTheme="minorHAnsi" w:cstheme="minorHAnsi"/>
                <w:sz w:val="20"/>
                <w:szCs w:val="20"/>
              </w:rPr>
              <w:t>7.81</w:t>
            </w:r>
            <w:r w:rsidR="0046330A">
              <w:rPr>
                <w:rFonts w:asciiTheme="minorHAnsi" w:hAnsiTheme="minorHAnsi" w:cstheme="minorHAnsi"/>
                <w:sz w:val="20"/>
                <w:szCs w:val="20"/>
              </w:rPr>
              <w:t>***</w:t>
            </w:r>
          </w:p>
        </w:tc>
        <w:tc>
          <w:tcPr>
            <w:tcW w:w="1077" w:type="dxa"/>
            <w:tcBorders>
              <w:top w:val="single" w:sz="4" w:space="0" w:color="auto"/>
              <w:left w:val="single" w:sz="4" w:space="0" w:color="auto"/>
            </w:tcBorders>
          </w:tcPr>
          <w:p w:rsidR="0057403C" w:rsidRPr="0057403C" w:rsidRDefault="0046330A" w:rsidP="0057403C">
            <w:pPr>
              <w:jc w:val="center"/>
              <w:rPr>
                <w:rFonts w:asciiTheme="minorHAnsi" w:hAnsiTheme="minorHAnsi" w:cstheme="minorHAnsi"/>
                <w:sz w:val="20"/>
                <w:szCs w:val="20"/>
              </w:rPr>
            </w:pPr>
            <w:r>
              <w:rPr>
                <w:rFonts w:asciiTheme="minorHAnsi" w:hAnsiTheme="minorHAnsi" w:cstheme="minorHAnsi"/>
                <w:sz w:val="20"/>
                <w:szCs w:val="20"/>
              </w:rPr>
              <w:t>0.</w:t>
            </w:r>
            <w:r w:rsidR="000C1DB8">
              <w:rPr>
                <w:rFonts w:asciiTheme="minorHAnsi" w:hAnsiTheme="minorHAnsi" w:cstheme="minorHAnsi"/>
                <w:sz w:val="20"/>
                <w:szCs w:val="20"/>
              </w:rPr>
              <w:t>233</w:t>
            </w:r>
          </w:p>
        </w:tc>
      </w:tr>
    </w:tbl>
    <w:p w:rsidR="0057403C" w:rsidRPr="0057403C" w:rsidRDefault="0057403C">
      <w:pPr>
        <w:rPr>
          <w:rFonts w:asciiTheme="minorHAnsi" w:hAnsiTheme="minorHAnsi" w:cstheme="minorHAnsi"/>
          <w:sz w:val="20"/>
          <w:szCs w:val="20"/>
        </w:rPr>
      </w:pPr>
      <w:r w:rsidRPr="0057403C">
        <w:rPr>
          <w:rFonts w:asciiTheme="minorHAnsi" w:hAnsiTheme="minorHAnsi" w:cstheme="minorHAnsi"/>
          <w:sz w:val="20"/>
          <w:szCs w:val="20"/>
        </w:rPr>
        <w:t xml:space="preserve">Notes: </w:t>
      </w:r>
      <w:r w:rsidR="0049527F">
        <w:rPr>
          <w:rFonts w:asciiTheme="minorHAnsi" w:hAnsiTheme="minorHAnsi" w:cstheme="minorHAnsi"/>
          <w:sz w:val="20"/>
          <w:szCs w:val="20"/>
        </w:rPr>
        <w:t xml:space="preserve">The dependent variable for all these regressions was cyclical employment. </w:t>
      </w:r>
      <w:r>
        <w:rPr>
          <w:rFonts w:asciiTheme="minorHAnsi" w:hAnsiTheme="minorHAnsi" w:cstheme="minorHAnsi"/>
          <w:sz w:val="20"/>
          <w:szCs w:val="20"/>
        </w:rPr>
        <w:t xml:space="preserve">The sample period for each equation was </w:t>
      </w:r>
      <w:r w:rsidR="00032F56">
        <w:rPr>
          <w:rFonts w:asciiTheme="minorHAnsi" w:hAnsiTheme="minorHAnsi" w:cstheme="minorHAnsi"/>
          <w:sz w:val="20"/>
          <w:szCs w:val="20"/>
        </w:rPr>
        <w:t>July 1994 through January 2011</w:t>
      </w:r>
      <w:r>
        <w:rPr>
          <w:rFonts w:asciiTheme="minorHAnsi" w:hAnsiTheme="minorHAnsi" w:cstheme="minorHAnsi"/>
          <w:sz w:val="20"/>
          <w:szCs w:val="20"/>
        </w:rPr>
        <w:t xml:space="preserve">, </w:t>
      </w:r>
      <w:r w:rsidR="0049527F">
        <w:rPr>
          <w:rFonts w:asciiTheme="minorHAnsi" w:hAnsiTheme="minorHAnsi" w:cstheme="minorHAnsi"/>
          <w:sz w:val="20"/>
          <w:szCs w:val="20"/>
        </w:rPr>
        <w:t>except where otherwise noted</w:t>
      </w:r>
      <w:r>
        <w:rPr>
          <w:rFonts w:asciiTheme="minorHAnsi" w:hAnsiTheme="minorHAnsi" w:cstheme="minorHAnsi"/>
          <w:sz w:val="20"/>
          <w:szCs w:val="20"/>
        </w:rPr>
        <w:t xml:space="preserve">. </w:t>
      </w:r>
      <w:r w:rsidR="00C56FE5">
        <w:rPr>
          <w:rFonts w:asciiTheme="minorHAnsi" w:hAnsiTheme="minorHAnsi" w:cstheme="minorHAnsi"/>
          <w:sz w:val="20"/>
          <w:szCs w:val="20"/>
          <w:vertAlign w:val="superscript"/>
        </w:rPr>
        <w:t>a</w:t>
      </w:r>
      <w:r w:rsidR="00C56FE5">
        <w:rPr>
          <w:rFonts w:asciiTheme="minorHAnsi" w:hAnsiTheme="minorHAnsi" w:cstheme="minorHAnsi"/>
          <w:sz w:val="20"/>
          <w:szCs w:val="20"/>
        </w:rPr>
        <w:t xml:space="preserve"> The sample period was fr</w:t>
      </w:r>
      <w:r w:rsidR="00032F56">
        <w:rPr>
          <w:rFonts w:asciiTheme="minorHAnsi" w:hAnsiTheme="minorHAnsi" w:cstheme="minorHAnsi"/>
          <w:sz w:val="20"/>
          <w:szCs w:val="20"/>
        </w:rPr>
        <w:t>om October 2005 through January 2011</w:t>
      </w:r>
      <w:r w:rsidR="00C56FE5">
        <w:rPr>
          <w:rFonts w:asciiTheme="minorHAnsi" w:hAnsiTheme="minorHAnsi" w:cstheme="minorHAnsi"/>
          <w:sz w:val="20"/>
          <w:szCs w:val="20"/>
        </w:rPr>
        <w:t xml:space="preserve">. </w:t>
      </w:r>
      <w:r>
        <w:rPr>
          <w:rFonts w:asciiTheme="minorHAnsi" w:hAnsiTheme="minorHAnsi" w:cstheme="minorHAnsi"/>
          <w:sz w:val="20"/>
          <w:szCs w:val="20"/>
        </w:rPr>
        <w:t xml:space="preserve">***, ** and * denote statistically significant from zero at the one per cent level, five per cent level and 10 per cent level respectively.  </w:t>
      </w:r>
    </w:p>
    <w:p w:rsidR="0087553E" w:rsidRDefault="0087553E">
      <w:pPr>
        <w:rPr>
          <w:rFonts w:asciiTheme="minorHAnsi" w:hAnsiTheme="minorHAnsi" w:cstheme="minorHAnsi"/>
        </w:rPr>
      </w:pPr>
    </w:p>
    <w:p w:rsidR="0049527F" w:rsidRDefault="0049527F">
      <w:pPr>
        <w:rPr>
          <w:rFonts w:asciiTheme="minorHAnsi" w:hAnsiTheme="minorHAnsi" w:cstheme="minorHAnsi"/>
        </w:rPr>
      </w:pPr>
      <w:r>
        <w:rPr>
          <w:rFonts w:asciiTheme="minorHAnsi" w:hAnsiTheme="minorHAnsi" w:cstheme="minorHAnsi"/>
        </w:rPr>
        <w:t>The preferred lag lengths shown in Table 1 were used for the next part of the analysis in the final stage of the Review.</w:t>
      </w:r>
    </w:p>
    <w:p w:rsidR="0049527F" w:rsidRPr="004C239E" w:rsidRDefault="0049527F">
      <w:pPr>
        <w:rPr>
          <w:rFonts w:asciiTheme="minorHAnsi" w:hAnsiTheme="minorHAnsi" w:cstheme="minorHAnsi"/>
        </w:rPr>
      </w:pPr>
    </w:p>
    <w:p w:rsidR="004C239E" w:rsidRDefault="005E310E">
      <w:pPr>
        <w:rPr>
          <w:rFonts w:asciiTheme="minorHAnsi" w:hAnsiTheme="minorHAnsi" w:cstheme="minorHAnsi"/>
        </w:rPr>
      </w:pPr>
      <w:r>
        <w:rPr>
          <w:rFonts w:asciiTheme="minorHAnsi" w:hAnsiTheme="minorHAnsi" w:cstheme="minorHAnsi"/>
        </w:rPr>
        <w:t xml:space="preserve">Two methods of estimating time-varying weights for the components were performed: Kalman Filtering and setting time-varying weights on the basis of </w:t>
      </w:r>
      <w:r>
        <w:rPr>
          <w:rFonts w:asciiTheme="minorHAnsi" w:hAnsiTheme="minorHAnsi" w:cstheme="minorHAnsi"/>
        </w:rPr>
        <w:lastRenderedPageBreak/>
        <w:t>international trade and domestic shares of Gross Domestic Product (GDP). These methods</w:t>
      </w:r>
      <w:r w:rsidR="00F1140C">
        <w:rPr>
          <w:rFonts w:asciiTheme="minorHAnsi" w:hAnsiTheme="minorHAnsi" w:cstheme="minorHAnsi"/>
        </w:rPr>
        <w:t xml:space="preserve"> and the results from using them</w:t>
      </w:r>
      <w:r>
        <w:rPr>
          <w:rFonts w:asciiTheme="minorHAnsi" w:hAnsiTheme="minorHAnsi" w:cstheme="minorHAnsi"/>
        </w:rPr>
        <w:t xml:space="preserve"> are explained in turn.</w:t>
      </w:r>
    </w:p>
    <w:p w:rsidR="001E35D4" w:rsidRDefault="001E35D4">
      <w:pPr>
        <w:rPr>
          <w:rFonts w:asciiTheme="minorHAnsi" w:hAnsiTheme="minorHAnsi" w:cstheme="minorHAnsi"/>
        </w:rPr>
      </w:pPr>
    </w:p>
    <w:p w:rsidR="005E310E" w:rsidRPr="005E310E" w:rsidRDefault="005E310E">
      <w:pPr>
        <w:rPr>
          <w:rFonts w:asciiTheme="minorHAnsi" w:hAnsiTheme="minorHAnsi" w:cstheme="minorHAnsi"/>
          <w:u w:val="single"/>
        </w:rPr>
      </w:pPr>
      <w:r w:rsidRPr="005E310E">
        <w:rPr>
          <w:rFonts w:asciiTheme="minorHAnsi" w:hAnsiTheme="minorHAnsi" w:cstheme="minorHAnsi"/>
          <w:u w:val="single"/>
        </w:rPr>
        <w:t>Kalman Filtering</w:t>
      </w:r>
    </w:p>
    <w:p w:rsidR="004C239E" w:rsidRDefault="004C239E">
      <w:pPr>
        <w:rPr>
          <w:rFonts w:asciiTheme="minorHAnsi" w:hAnsiTheme="minorHAnsi" w:cstheme="minorHAnsi"/>
        </w:rPr>
      </w:pPr>
    </w:p>
    <w:p w:rsidR="005E310E" w:rsidRDefault="00257344">
      <w:pPr>
        <w:rPr>
          <w:rFonts w:asciiTheme="minorHAnsi" w:hAnsiTheme="minorHAnsi" w:cstheme="minorHAnsi"/>
        </w:rPr>
      </w:pPr>
      <w:r>
        <w:rPr>
          <w:rFonts w:asciiTheme="minorHAnsi" w:hAnsiTheme="minorHAnsi" w:cstheme="minorHAnsi"/>
        </w:rPr>
        <w:t>Hall and Cummins (2009</w:t>
      </w:r>
      <w:r w:rsidR="00B604D8">
        <w:rPr>
          <w:rFonts w:asciiTheme="minorHAnsi" w:hAnsiTheme="minorHAnsi" w:cstheme="minorHAnsi"/>
        </w:rPr>
        <w:t>, page 157</w:t>
      </w:r>
      <w:r>
        <w:rPr>
          <w:rFonts w:asciiTheme="minorHAnsi" w:hAnsiTheme="minorHAnsi" w:cstheme="minorHAnsi"/>
        </w:rPr>
        <w:t>) wrote that the Kalman Filter is an estimation method used to estimate “state-space” models. These models originated in the engineering literature in the early 1960s and were imported into economics in the late 1960s</w:t>
      </w:r>
      <w:r w:rsidR="005D6567">
        <w:rPr>
          <w:rFonts w:asciiTheme="minorHAnsi" w:hAnsiTheme="minorHAnsi" w:cstheme="minorHAnsi"/>
        </w:rPr>
        <w:t xml:space="preserve">, </w:t>
      </w:r>
      <w:r>
        <w:rPr>
          <w:rFonts w:asciiTheme="minorHAnsi" w:hAnsiTheme="minorHAnsi" w:cstheme="minorHAnsi"/>
        </w:rPr>
        <w:t>with their importance in economics being partly due to their ability</w:t>
      </w:r>
      <w:r w:rsidR="005D6567">
        <w:rPr>
          <w:rFonts w:asciiTheme="minorHAnsi" w:hAnsiTheme="minorHAnsi" w:cstheme="minorHAnsi"/>
        </w:rPr>
        <w:t xml:space="preserve"> to model time-varying parameters in an intuitively appealing way. They stated:</w:t>
      </w:r>
    </w:p>
    <w:p w:rsidR="005E310E" w:rsidRDefault="005E310E">
      <w:pPr>
        <w:rPr>
          <w:rFonts w:asciiTheme="minorHAnsi" w:hAnsiTheme="minorHAnsi" w:cstheme="minorHAnsi"/>
        </w:rPr>
      </w:pPr>
    </w:p>
    <w:p w:rsidR="005E310E" w:rsidRDefault="005D6567" w:rsidP="00B604D8">
      <w:pPr>
        <w:ind w:left="567"/>
        <w:rPr>
          <w:rFonts w:asciiTheme="minorHAnsi" w:hAnsiTheme="minorHAnsi" w:cstheme="minorHAnsi"/>
        </w:rPr>
      </w:pPr>
      <w:r>
        <w:rPr>
          <w:rFonts w:asciiTheme="minorHAnsi" w:hAnsiTheme="minorHAnsi" w:cstheme="minorHAnsi"/>
        </w:rPr>
        <w:t xml:space="preserve">In addition, the Kalman Filtering estimation method is an updating method that bases the regression estimates for each time period on last period’s estimates plus the data </w:t>
      </w:r>
      <w:r w:rsidR="00B604D8">
        <w:rPr>
          <w:rFonts w:asciiTheme="minorHAnsi" w:hAnsiTheme="minorHAnsi" w:cstheme="minorHAnsi"/>
        </w:rPr>
        <w:t xml:space="preserve">for the current time period; that is, it bases estimates only on data up to and including the current period. This makes it useful for investigating structural change in parameters or constructing forecasts based only on historical data. </w:t>
      </w:r>
    </w:p>
    <w:p w:rsidR="005E310E" w:rsidRDefault="005E310E">
      <w:pPr>
        <w:rPr>
          <w:rFonts w:asciiTheme="minorHAnsi" w:hAnsiTheme="minorHAnsi" w:cstheme="minorHAnsi"/>
        </w:rPr>
      </w:pPr>
    </w:p>
    <w:p w:rsidR="001E35D4" w:rsidRDefault="006C7587">
      <w:pPr>
        <w:rPr>
          <w:rFonts w:asciiTheme="minorHAnsi" w:hAnsiTheme="minorHAnsi" w:cstheme="minorHAnsi"/>
        </w:rPr>
      </w:pPr>
      <w:r>
        <w:rPr>
          <w:rFonts w:asciiTheme="minorHAnsi" w:hAnsiTheme="minorHAnsi" w:cstheme="minorHAnsi"/>
        </w:rPr>
        <w:t>The Kalman Filter</w:t>
      </w:r>
      <w:r w:rsidR="00973032">
        <w:rPr>
          <w:rFonts w:asciiTheme="minorHAnsi" w:hAnsiTheme="minorHAnsi" w:cstheme="minorHAnsi"/>
        </w:rPr>
        <w:t xml:space="preserve"> technique from TSP International Version 5.1 (Hall and Cummins (2009) was used to estimate time-varying parameters for the cyclical components of the variables in the shortlist. </w:t>
      </w:r>
      <w:r w:rsidR="000A4AE6">
        <w:rPr>
          <w:rFonts w:asciiTheme="minorHAnsi" w:hAnsiTheme="minorHAnsi" w:cstheme="minorHAnsi"/>
        </w:rPr>
        <w:t xml:space="preserve">The expectation from using this technique is that the coefficient on Chinese electricity production </w:t>
      </w:r>
      <w:r>
        <w:rPr>
          <w:rFonts w:asciiTheme="minorHAnsi" w:hAnsiTheme="minorHAnsi" w:cstheme="minorHAnsi"/>
        </w:rPr>
        <w:t>would be positive and</w:t>
      </w:r>
      <w:r w:rsidR="000A4AE6">
        <w:rPr>
          <w:rFonts w:asciiTheme="minorHAnsi" w:hAnsiTheme="minorHAnsi" w:cstheme="minorHAnsi"/>
        </w:rPr>
        <w:t xml:space="preserve"> rise smoothly over time, reflecting China’s growing importance as a trading partner with Australia, while the coefficient on the US Yield Difference would fall smoothly over time but remain positive, reflecting the diminishing importance of the USA as a direct trading partner with Australia. </w:t>
      </w:r>
    </w:p>
    <w:p w:rsidR="001E35D4" w:rsidRDefault="001E35D4">
      <w:pPr>
        <w:rPr>
          <w:rFonts w:asciiTheme="minorHAnsi" w:hAnsiTheme="minorHAnsi" w:cstheme="minorHAnsi"/>
        </w:rPr>
      </w:pPr>
    </w:p>
    <w:p w:rsidR="006E09AE" w:rsidRDefault="001E35D4">
      <w:pPr>
        <w:rPr>
          <w:rFonts w:ascii="Calibri" w:hAnsi="Calibri" w:cs="Calibri"/>
          <w:color w:val="000000" w:themeColor="text1"/>
        </w:rPr>
      </w:pPr>
      <w:r>
        <w:rPr>
          <w:rFonts w:asciiTheme="minorHAnsi" w:hAnsiTheme="minorHAnsi" w:cstheme="minorHAnsi"/>
        </w:rPr>
        <w:t xml:space="preserve">The base sample period used was the same as for the bivariate regression analysis; namely, July 1994 through </w:t>
      </w:r>
      <w:r w:rsidR="00181B6A">
        <w:rPr>
          <w:rFonts w:asciiTheme="minorHAnsi" w:hAnsiTheme="minorHAnsi" w:cstheme="minorHAnsi"/>
        </w:rPr>
        <w:t>January 2011</w:t>
      </w:r>
      <w:r>
        <w:rPr>
          <w:rFonts w:asciiTheme="minorHAnsi" w:hAnsiTheme="minorHAnsi" w:cstheme="minorHAnsi"/>
        </w:rPr>
        <w:t xml:space="preserve">, although the actual sample period is </w:t>
      </w:r>
      <w:r w:rsidR="00750D41">
        <w:rPr>
          <w:rFonts w:asciiTheme="minorHAnsi" w:hAnsiTheme="minorHAnsi" w:cstheme="minorHAnsi"/>
        </w:rPr>
        <w:t xml:space="preserve">slightly </w:t>
      </w:r>
      <w:r>
        <w:rPr>
          <w:rFonts w:asciiTheme="minorHAnsi" w:hAnsiTheme="minorHAnsi" w:cstheme="minorHAnsi"/>
        </w:rPr>
        <w:t xml:space="preserve">shorter than this depending on the number of explanatory variables in the Kalman Filter model. </w:t>
      </w:r>
      <w:r w:rsidR="007B1646">
        <w:rPr>
          <w:rFonts w:asciiTheme="minorHAnsi" w:hAnsiTheme="minorHAnsi" w:cstheme="minorHAnsi"/>
        </w:rPr>
        <w:t>We made several</w:t>
      </w:r>
      <w:r w:rsidR="006E09AE">
        <w:rPr>
          <w:rFonts w:asciiTheme="minorHAnsi" w:hAnsiTheme="minorHAnsi" w:cstheme="minorHAnsi"/>
        </w:rPr>
        <w:t xml:space="preserve"> attempts to estimate a satisfactory Kalman Filter model, but none were successful. </w:t>
      </w:r>
      <w:r w:rsidR="00F07F5C">
        <w:rPr>
          <w:rFonts w:asciiTheme="minorHAnsi" w:hAnsiTheme="minorHAnsi" w:cstheme="minorHAnsi"/>
        </w:rPr>
        <w:t xml:space="preserve">In general, we used the default settings in TSP International where the first few observations were used to provide the initial estimates of the coefficients. </w:t>
      </w:r>
      <w:r w:rsidR="006E09AE">
        <w:rPr>
          <w:rFonts w:asciiTheme="minorHAnsi" w:hAnsiTheme="minorHAnsi" w:cstheme="minorHAnsi"/>
        </w:rPr>
        <w:t xml:space="preserve">When all coefficients were allowed to vary through time, all of the smoothed coefficients were negative at one time or another during the estimation period, except for the coefficients for the </w:t>
      </w:r>
      <w:r w:rsidR="006E09AE" w:rsidRPr="006E09AE">
        <w:rPr>
          <w:rFonts w:ascii="Calibri" w:hAnsi="Calibri" w:cs="Calibri"/>
          <w:color w:val="000000" w:themeColor="text1"/>
        </w:rPr>
        <w:t>Westpac-Melbourne Institute Leading Index of Economic Activity</w:t>
      </w:r>
      <w:r w:rsidR="006E09AE">
        <w:rPr>
          <w:rFonts w:ascii="Calibri" w:hAnsi="Calibri" w:cs="Calibri"/>
          <w:color w:val="000000" w:themeColor="text1"/>
        </w:rPr>
        <w:t xml:space="preserve">, lagged 12 months. </w:t>
      </w:r>
    </w:p>
    <w:p w:rsidR="006E09AE" w:rsidRDefault="006E09AE">
      <w:pPr>
        <w:rPr>
          <w:rFonts w:ascii="Calibri" w:hAnsi="Calibri" w:cs="Calibri"/>
          <w:color w:val="000000" w:themeColor="text1"/>
        </w:rPr>
      </w:pPr>
    </w:p>
    <w:p w:rsidR="00B604D8" w:rsidRDefault="006E09AE">
      <w:pPr>
        <w:rPr>
          <w:rFonts w:ascii="Calibri" w:hAnsi="Calibri" w:cs="Calibri"/>
          <w:color w:val="000000" w:themeColor="text1"/>
        </w:rPr>
      </w:pPr>
      <w:r>
        <w:rPr>
          <w:rFonts w:ascii="Calibri" w:hAnsi="Calibri" w:cs="Calibri"/>
          <w:color w:val="000000" w:themeColor="text1"/>
        </w:rPr>
        <w:t>When the coefficients on the domestic explanatory variables were restricted to be constant through time, with only the constant term and the coefficients of the two international variables allowed to vary through time, the estimated smoothed coefficients are as shown in Figure 1</w:t>
      </w:r>
      <w:r w:rsidR="004268F6">
        <w:rPr>
          <w:rFonts w:ascii="Calibri" w:hAnsi="Calibri" w:cs="Calibri"/>
          <w:color w:val="000000" w:themeColor="text1"/>
        </w:rPr>
        <w:t xml:space="preserve"> and the explanatory notes below Figure 1</w:t>
      </w:r>
      <w:r>
        <w:rPr>
          <w:rFonts w:ascii="Calibri" w:hAnsi="Calibri" w:cs="Calibri"/>
          <w:color w:val="000000" w:themeColor="text1"/>
        </w:rPr>
        <w:t>.</w:t>
      </w:r>
    </w:p>
    <w:p w:rsidR="006E09AE" w:rsidRDefault="006E09AE">
      <w:pPr>
        <w:rPr>
          <w:rFonts w:ascii="Calibri" w:hAnsi="Calibri" w:cs="Calibri"/>
          <w:color w:val="000000" w:themeColor="text1"/>
        </w:rPr>
      </w:pPr>
    </w:p>
    <w:p w:rsidR="00750D41" w:rsidRDefault="00750D41" w:rsidP="00750D41">
      <w:pPr>
        <w:rPr>
          <w:rFonts w:asciiTheme="minorHAnsi" w:hAnsiTheme="minorHAnsi" w:cstheme="minorHAnsi"/>
        </w:rPr>
      </w:pPr>
      <w:r>
        <w:rPr>
          <w:rFonts w:asciiTheme="minorHAnsi" w:hAnsiTheme="minorHAnsi" w:cstheme="minorHAnsi"/>
        </w:rPr>
        <w:t xml:space="preserve">As shown in Figure 1, the restricted Kalman Filter estimates were also unsatisfactory. The estimated coefficients for </w:t>
      </w:r>
      <w:r w:rsidRPr="0013528F">
        <w:rPr>
          <w:rFonts w:ascii="Calibri" w:hAnsi="Calibri" w:cs="Calibri"/>
        </w:rPr>
        <w:t xml:space="preserve">Electricity Production in China </w:t>
      </w:r>
      <w:r w:rsidR="008F0EA2">
        <w:rPr>
          <w:rFonts w:ascii="Calibri" w:hAnsi="Calibri" w:cs="Calibri"/>
        </w:rPr>
        <w:t xml:space="preserve">were negative for a substantial portion of time, while the estimated coefficients for the the US Yield Difference were negative for some of the time, </w:t>
      </w:r>
      <w:r>
        <w:rPr>
          <w:rFonts w:ascii="Calibri" w:hAnsi="Calibri" w:cs="Calibri"/>
        </w:rPr>
        <w:t>during the sample period</w:t>
      </w:r>
      <w:r w:rsidR="008F0EA2">
        <w:rPr>
          <w:rFonts w:ascii="Calibri" w:hAnsi="Calibri" w:cs="Calibri"/>
        </w:rPr>
        <w:t>. E</w:t>
      </w:r>
      <w:r>
        <w:rPr>
          <w:rFonts w:ascii="Calibri" w:hAnsi="Calibri" w:cs="Calibri"/>
        </w:rPr>
        <w:t xml:space="preserve">ven </w:t>
      </w:r>
      <w:r>
        <w:rPr>
          <w:rFonts w:ascii="Calibri" w:hAnsi="Calibri" w:cs="Calibri"/>
        </w:rPr>
        <w:lastRenderedPageBreak/>
        <w:t xml:space="preserve">though the coefficients were smoothed, they did not evolve smoothly through time in accordance with expectations. Also, the estimated coefficient for one of the domestic variables that was restricted to be constant through time; namely the </w:t>
      </w:r>
      <w:r w:rsidRPr="004268F6">
        <w:rPr>
          <w:rFonts w:asciiTheme="minorHAnsi" w:hAnsiTheme="minorHAnsi" w:cstheme="minorHAnsi"/>
        </w:rPr>
        <w:t>Dun and Bradstreet Employment Expectations Index</w:t>
      </w:r>
      <w:r>
        <w:rPr>
          <w:rFonts w:asciiTheme="minorHAnsi" w:hAnsiTheme="minorHAnsi" w:cstheme="minorHAnsi"/>
        </w:rPr>
        <w:t>, is negative</w:t>
      </w:r>
      <w:r w:rsidR="00F07F5C">
        <w:rPr>
          <w:rFonts w:asciiTheme="minorHAnsi" w:hAnsiTheme="minorHAnsi" w:cstheme="minorHAnsi"/>
        </w:rPr>
        <w:t xml:space="preserve"> (although this coefficient is not statistically significantly different from zero)</w:t>
      </w:r>
      <w:r>
        <w:rPr>
          <w:rFonts w:asciiTheme="minorHAnsi" w:hAnsiTheme="minorHAnsi" w:cstheme="minorHAnsi"/>
        </w:rPr>
        <w:t xml:space="preserve">, which is contrary to expectations. </w:t>
      </w:r>
    </w:p>
    <w:p w:rsidR="00750D41" w:rsidRDefault="00750D41">
      <w:pPr>
        <w:rPr>
          <w:rFonts w:ascii="Calibri" w:hAnsi="Calibri" w:cs="Calibri"/>
          <w:color w:val="000000" w:themeColor="text1"/>
        </w:rPr>
      </w:pPr>
    </w:p>
    <w:p w:rsidR="006E09AE" w:rsidRPr="006E09AE" w:rsidRDefault="006E09AE">
      <w:pPr>
        <w:rPr>
          <w:rFonts w:ascii="Calibri" w:hAnsi="Calibri" w:cs="Calibri"/>
        </w:rPr>
      </w:pPr>
      <w:r>
        <w:rPr>
          <w:rFonts w:ascii="Calibri" w:hAnsi="Calibri" w:cs="Calibri"/>
          <w:color w:val="000000" w:themeColor="text1"/>
        </w:rPr>
        <w:t xml:space="preserve">Figure 1: </w:t>
      </w:r>
      <w:r w:rsidRPr="006E09AE">
        <w:rPr>
          <w:rFonts w:ascii="Calibri" w:hAnsi="Calibri" w:cs="Calibri"/>
          <w:b/>
          <w:color w:val="000000" w:themeColor="text1"/>
        </w:rPr>
        <w:t>Estimated Smoothed Coefficients from Kalman Filter Estimation of Time-varying Parameters of International Components of Potential Leading Indicator of Employment</w:t>
      </w:r>
    </w:p>
    <w:p w:rsidR="006E09AE" w:rsidRDefault="00626A0F">
      <w:pPr>
        <w:rPr>
          <w:rFonts w:asciiTheme="minorHAnsi" w:hAnsiTheme="minorHAnsi" w:cstheme="minorHAnsi"/>
        </w:rPr>
      </w:pPr>
      <w:r w:rsidRPr="00626A0F">
        <w:rPr>
          <w:noProof/>
        </w:rPr>
        <w:drawing>
          <wp:inline distT="0" distB="0" distL="0" distR="0" wp14:anchorId="449140DD" wp14:editId="13723F78">
            <wp:extent cx="5274310" cy="347210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3472104"/>
                    </a:xfrm>
                    <a:prstGeom prst="rect">
                      <a:avLst/>
                    </a:prstGeom>
                    <a:noFill/>
                    <a:ln>
                      <a:noFill/>
                    </a:ln>
                  </pic:spPr>
                </pic:pic>
              </a:graphicData>
            </a:graphic>
          </wp:inline>
        </w:drawing>
      </w:r>
    </w:p>
    <w:p w:rsidR="006E09AE" w:rsidRPr="001E35D4" w:rsidRDefault="001E35D4">
      <w:pPr>
        <w:rPr>
          <w:rFonts w:asciiTheme="minorHAnsi" w:hAnsiTheme="minorHAnsi" w:cstheme="minorHAnsi"/>
          <w:sz w:val="20"/>
          <w:szCs w:val="20"/>
        </w:rPr>
      </w:pPr>
      <w:r w:rsidRPr="001E35D4">
        <w:rPr>
          <w:rFonts w:asciiTheme="minorHAnsi" w:hAnsiTheme="minorHAnsi" w:cstheme="minorHAnsi"/>
          <w:sz w:val="20"/>
          <w:szCs w:val="20"/>
        </w:rPr>
        <w:t xml:space="preserve">Source: </w:t>
      </w:r>
      <w:r>
        <w:rPr>
          <w:rFonts w:asciiTheme="minorHAnsi" w:hAnsiTheme="minorHAnsi" w:cstheme="minorHAnsi"/>
          <w:sz w:val="20"/>
          <w:szCs w:val="20"/>
        </w:rPr>
        <w:t xml:space="preserve">Kalman Filter estimates of coefficients in the smoothed state vectors of </w:t>
      </w:r>
      <w:r w:rsidR="000A4AE6">
        <w:rPr>
          <w:rFonts w:asciiTheme="minorHAnsi" w:hAnsiTheme="minorHAnsi" w:cstheme="minorHAnsi"/>
          <w:sz w:val="20"/>
          <w:szCs w:val="20"/>
        </w:rPr>
        <w:t xml:space="preserve">a potential Composite Leading Indicator of Employment. Apart from the variables shown in Figure 1, the other explanatory variables were restricted to have constant coefficients through time. These variables, with their estimated coefficients shown in brackets after the variables are: the </w:t>
      </w:r>
      <w:r w:rsidR="000A4AE6" w:rsidRPr="002D2106">
        <w:rPr>
          <w:rFonts w:ascii="Calibri" w:hAnsi="Calibri" w:cs="Calibri"/>
          <w:color w:val="000000" w:themeColor="text1"/>
          <w:sz w:val="20"/>
          <w:szCs w:val="20"/>
        </w:rPr>
        <w:t>Westpac-Melbourne Institute Leading Index of Economic Activity</w:t>
      </w:r>
      <w:r w:rsidR="00626A0F">
        <w:rPr>
          <w:rFonts w:ascii="Calibri" w:hAnsi="Calibri" w:cs="Calibri"/>
          <w:color w:val="000000" w:themeColor="text1"/>
          <w:sz w:val="20"/>
          <w:szCs w:val="20"/>
        </w:rPr>
        <w:t>, lagged 12 months {0.321</w:t>
      </w:r>
      <w:r w:rsidR="000A4AE6">
        <w:rPr>
          <w:rFonts w:ascii="Calibri" w:hAnsi="Calibri" w:cs="Calibri"/>
          <w:color w:val="000000" w:themeColor="text1"/>
          <w:sz w:val="20"/>
          <w:szCs w:val="20"/>
        </w:rPr>
        <w:t xml:space="preserve">}; </w:t>
      </w:r>
      <w:r w:rsidR="000A4AE6">
        <w:rPr>
          <w:rFonts w:asciiTheme="minorHAnsi" w:hAnsiTheme="minorHAnsi" w:cstheme="minorHAnsi"/>
          <w:sz w:val="20"/>
          <w:szCs w:val="20"/>
        </w:rPr>
        <w:t xml:space="preserve">the </w:t>
      </w:r>
      <w:r w:rsidR="004268F6">
        <w:rPr>
          <w:rFonts w:asciiTheme="minorHAnsi" w:hAnsiTheme="minorHAnsi" w:cstheme="minorHAnsi"/>
          <w:sz w:val="20"/>
          <w:szCs w:val="20"/>
        </w:rPr>
        <w:t>Dun and Bradstreet Employment Expectations Index</w:t>
      </w:r>
      <w:r w:rsidR="00626A0F">
        <w:rPr>
          <w:rFonts w:ascii="Calibri" w:hAnsi="Calibri" w:cs="Calibri"/>
          <w:color w:val="000000" w:themeColor="text1"/>
          <w:sz w:val="20"/>
          <w:szCs w:val="20"/>
        </w:rPr>
        <w:t>, lagged 12 months {-0.0111</w:t>
      </w:r>
      <w:r w:rsidR="000A4AE6">
        <w:rPr>
          <w:rFonts w:ascii="Calibri" w:hAnsi="Calibri" w:cs="Calibri"/>
          <w:color w:val="000000" w:themeColor="text1"/>
          <w:sz w:val="20"/>
          <w:szCs w:val="20"/>
        </w:rPr>
        <w:t xml:space="preserve">}; </w:t>
      </w:r>
      <w:r w:rsidR="0013528F" w:rsidRPr="002D2106">
        <w:rPr>
          <w:rFonts w:ascii="Calibri" w:hAnsi="Calibri" w:cs="Calibri"/>
          <w:color w:val="000000" w:themeColor="text1"/>
          <w:sz w:val="20"/>
          <w:szCs w:val="20"/>
        </w:rPr>
        <w:t xml:space="preserve">Westpac-Melbourne Institute </w:t>
      </w:r>
      <w:r w:rsidR="0013528F">
        <w:rPr>
          <w:rFonts w:ascii="Calibri" w:hAnsi="Calibri" w:cs="Calibri"/>
          <w:color w:val="000000" w:themeColor="text1"/>
          <w:sz w:val="20"/>
          <w:szCs w:val="20"/>
        </w:rPr>
        <w:t>Consumer Sentiment</w:t>
      </w:r>
      <w:r w:rsidR="0013528F" w:rsidRPr="002D2106">
        <w:rPr>
          <w:rFonts w:ascii="Calibri" w:hAnsi="Calibri" w:cs="Calibri"/>
          <w:color w:val="000000" w:themeColor="text1"/>
          <w:sz w:val="20"/>
          <w:szCs w:val="20"/>
        </w:rPr>
        <w:t xml:space="preserve"> Index</w:t>
      </w:r>
      <w:r w:rsidR="00626A0F">
        <w:rPr>
          <w:rFonts w:ascii="Calibri" w:hAnsi="Calibri" w:cs="Calibri"/>
          <w:color w:val="000000" w:themeColor="text1"/>
          <w:sz w:val="20"/>
          <w:szCs w:val="20"/>
        </w:rPr>
        <w:t>, lagged 15 months {0.0674}</w:t>
      </w:r>
      <w:r w:rsidR="0013528F">
        <w:rPr>
          <w:rFonts w:ascii="Calibri" w:hAnsi="Calibri" w:cs="Calibri"/>
          <w:color w:val="000000" w:themeColor="text1"/>
          <w:sz w:val="20"/>
          <w:szCs w:val="20"/>
        </w:rPr>
        <w:t xml:space="preserve">; and the NAB Forward Orders </w:t>
      </w:r>
      <w:r w:rsidR="00626A0F">
        <w:rPr>
          <w:rFonts w:ascii="Calibri" w:hAnsi="Calibri" w:cs="Calibri"/>
          <w:color w:val="000000" w:themeColor="text1"/>
          <w:sz w:val="20"/>
          <w:szCs w:val="20"/>
        </w:rPr>
        <w:t>Index, lagged 15 months {0.0295</w:t>
      </w:r>
      <w:r w:rsidR="0013528F">
        <w:rPr>
          <w:rFonts w:ascii="Calibri" w:hAnsi="Calibri" w:cs="Calibri"/>
          <w:color w:val="000000" w:themeColor="text1"/>
          <w:sz w:val="20"/>
          <w:szCs w:val="20"/>
        </w:rPr>
        <w:t>}. Version 5.1 of the TSP International</w:t>
      </w:r>
      <w:r w:rsidR="000A4AE6">
        <w:rPr>
          <w:rFonts w:ascii="Calibri" w:hAnsi="Calibri" w:cs="Calibri"/>
          <w:color w:val="000000" w:themeColor="text1"/>
          <w:sz w:val="20"/>
          <w:szCs w:val="20"/>
        </w:rPr>
        <w:t xml:space="preserve"> </w:t>
      </w:r>
      <w:r w:rsidR="0013528F">
        <w:rPr>
          <w:rFonts w:ascii="Calibri" w:hAnsi="Calibri" w:cs="Calibri"/>
          <w:color w:val="000000" w:themeColor="text1"/>
          <w:sz w:val="20"/>
          <w:szCs w:val="20"/>
        </w:rPr>
        <w:t xml:space="preserve">computer package was used for the analysis. The sample period </w:t>
      </w:r>
      <w:r w:rsidR="00750D41">
        <w:rPr>
          <w:rFonts w:ascii="Calibri" w:hAnsi="Calibri" w:cs="Calibri"/>
          <w:color w:val="000000" w:themeColor="text1"/>
          <w:sz w:val="20"/>
          <w:szCs w:val="20"/>
        </w:rPr>
        <w:t xml:space="preserve">actually used for the estimation of smoothed state vectors </w:t>
      </w:r>
      <w:r w:rsidR="0013528F">
        <w:rPr>
          <w:rFonts w:ascii="Calibri" w:hAnsi="Calibri" w:cs="Calibri"/>
          <w:color w:val="000000" w:themeColor="text1"/>
          <w:sz w:val="20"/>
          <w:szCs w:val="20"/>
        </w:rPr>
        <w:t>w</w:t>
      </w:r>
      <w:r w:rsidR="00626A0F">
        <w:rPr>
          <w:rFonts w:ascii="Calibri" w:hAnsi="Calibri" w:cs="Calibri"/>
          <w:color w:val="000000" w:themeColor="text1"/>
          <w:sz w:val="20"/>
          <w:szCs w:val="20"/>
        </w:rPr>
        <w:t>as February 1995 through January 2011</w:t>
      </w:r>
      <w:r w:rsidR="00750D41">
        <w:rPr>
          <w:rFonts w:ascii="Calibri" w:hAnsi="Calibri" w:cs="Calibri"/>
          <w:color w:val="000000" w:themeColor="text1"/>
          <w:sz w:val="20"/>
          <w:szCs w:val="20"/>
        </w:rPr>
        <w:t>, with the period from July 1994 through January 1995 used to estimate prior weights</w:t>
      </w:r>
      <w:r w:rsidR="0013528F">
        <w:rPr>
          <w:rFonts w:ascii="Calibri" w:hAnsi="Calibri" w:cs="Calibri"/>
          <w:color w:val="000000" w:themeColor="text1"/>
          <w:sz w:val="20"/>
          <w:szCs w:val="20"/>
        </w:rPr>
        <w:t xml:space="preserve">. </w:t>
      </w:r>
    </w:p>
    <w:p w:rsidR="006E09AE" w:rsidRDefault="006E09AE">
      <w:pPr>
        <w:rPr>
          <w:rFonts w:asciiTheme="minorHAnsi" w:hAnsiTheme="minorHAnsi" w:cstheme="minorHAnsi"/>
        </w:rPr>
      </w:pPr>
    </w:p>
    <w:p w:rsidR="0013528F" w:rsidRPr="00A56F98" w:rsidRDefault="00A56F98">
      <w:pPr>
        <w:rPr>
          <w:rFonts w:asciiTheme="minorHAnsi" w:hAnsiTheme="minorHAnsi" w:cstheme="minorHAnsi"/>
          <w:u w:val="single"/>
        </w:rPr>
      </w:pPr>
      <w:r w:rsidRPr="00A56F98">
        <w:rPr>
          <w:rFonts w:asciiTheme="minorHAnsi" w:hAnsiTheme="minorHAnsi" w:cstheme="minorHAnsi"/>
          <w:u w:val="single"/>
        </w:rPr>
        <w:t>Domestic and International Shares of GDP</w:t>
      </w:r>
    </w:p>
    <w:p w:rsidR="00A56F98" w:rsidRDefault="00A56F98">
      <w:pPr>
        <w:rPr>
          <w:rFonts w:asciiTheme="minorHAnsi" w:hAnsiTheme="minorHAnsi" w:cstheme="minorHAnsi"/>
        </w:rPr>
      </w:pPr>
    </w:p>
    <w:p w:rsidR="004C297B" w:rsidRDefault="0040490A">
      <w:pPr>
        <w:rPr>
          <w:rFonts w:asciiTheme="minorHAnsi" w:hAnsiTheme="minorHAnsi" w:cstheme="minorHAnsi"/>
        </w:rPr>
      </w:pPr>
      <w:r>
        <w:rPr>
          <w:rFonts w:asciiTheme="minorHAnsi" w:hAnsiTheme="minorHAnsi" w:cstheme="minorHAnsi"/>
        </w:rPr>
        <w:t xml:space="preserve">In the absence of satisfactory results from Kalman Filtering, </w:t>
      </w:r>
      <w:r w:rsidR="007B1646">
        <w:rPr>
          <w:rFonts w:asciiTheme="minorHAnsi" w:hAnsiTheme="minorHAnsi" w:cstheme="minorHAnsi"/>
        </w:rPr>
        <w:t xml:space="preserve">we attempted </w:t>
      </w:r>
      <w:r>
        <w:rPr>
          <w:rFonts w:asciiTheme="minorHAnsi" w:hAnsiTheme="minorHAnsi" w:cstheme="minorHAnsi"/>
        </w:rPr>
        <w:t>a simpler method of obtain</w:t>
      </w:r>
      <w:r w:rsidR="007B1646">
        <w:rPr>
          <w:rFonts w:asciiTheme="minorHAnsi" w:hAnsiTheme="minorHAnsi" w:cstheme="minorHAnsi"/>
        </w:rPr>
        <w:t>ing</w:t>
      </w:r>
      <w:r>
        <w:rPr>
          <w:rFonts w:asciiTheme="minorHAnsi" w:hAnsiTheme="minorHAnsi" w:cstheme="minorHAnsi"/>
        </w:rPr>
        <w:t xml:space="preserve"> coefficient estimates that varied </w:t>
      </w:r>
      <w:r w:rsidR="004C297B">
        <w:rPr>
          <w:rFonts w:asciiTheme="minorHAnsi" w:hAnsiTheme="minorHAnsi" w:cstheme="minorHAnsi"/>
        </w:rPr>
        <w:t xml:space="preserve">appropriately </w:t>
      </w:r>
      <w:r>
        <w:rPr>
          <w:rFonts w:asciiTheme="minorHAnsi" w:hAnsiTheme="minorHAnsi" w:cstheme="minorHAnsi"/>
        </w:rPr>
        <w:t>through time.</w:t>
      </w:r>
      <w:r w:rsidR="00D47789">
        <w:rPr>
          <w:rFonts w:asciiTheme="minorHAnsi" w:hAnsiTheme="minorHAnsi" w:cstheme="minorHAnsi"/>
        </w:rPr>
        <w:t xml:space="preserve"> </w:t>
      </w:r>
      <w:r w:rsidR="007B1646">
        <w:rPr>
          <w:rFonts w:asciiTheme="minorHAnsi" w:hAnsiTheme="minorHAnsi" w:cstheme="minorHAnsi"/>
        </w:rPr>
        <w:t xml:space="preserve">We </w:t>
      </w:r>
      <w:r w:rsidR="00D47789">
        <w:rPr>
          <w:rFonts w:asciiTheme="minorHAnsi" w:hAnsiTheme="minorHAnsi" w:cstheme="minorHAnsi"/>
        </w:rPr>
        <w:t>allocat</w:t>
      </w:r>
      <w:r w:rsidR="007B1646">
        <w:rPr>
          <w:rFonts w:asciiTheme="minorHAnsi" w:hAnsiTheme="minorHAnsi" w:cstheme="minorHAnsi"/>
        </w:rPr>
        <w:t>ed</w:t>
      </w:r>
      <w:r w:rsidR="00D47789">
        <w:rPr>
          <w:rFonts w:asciiTheme="minorHAnsi" w:hAnsiTheme="minorHAnsi" w:cstheme="minorHAnsi"/>
        </w:rPr>
        <w:t xml:space="preserve"> relative weights to the domestic and international variables according to their shares of </w:t>
      </w:r>
      <w:r w:rsidR="004C297B">
        <w:rPr>
          <w:rFonts w:asciiTheme="minorHAnsi" w:hAnsiTheme="minorHAnsi" w:cstheme="minorHAnsi"/>
        </w:rPr>
        <w:t xml:space="preserve">Australian </w:t>
      </w:r>
      <w:r w:rsidR="00D47789">
        <w:rPr>
          <w:rFonts w:asciiTheme="minorHAnsi" w:hAnsiTheme="minorHAnsi" w:cstheme="minorHAnsi"/>
        </w:rPr>
        <w:t xml:space="preserve">GDP. In doing so, </w:t>
      </w:r>
      <w:r w:rsidR="007B1646">
        <w:rPr>
          <w:rFonts w:asciiTheme="minorHAnsi" w:hAnsiTheme="minorHAnsi" w:cstheme="minorHAnsi"/>
        </w:rPr>
        <w:t>we</w:t>
      </w:r>
      <w:r w:rsidR="00D47789">
        <w:rPr>
          <w:rFonts w:asciiTheme="minorHAnsi" w:hAnsiTheme="minorHAnsi" w:cstheme="minorHAnsi"/>
        </w:rPr>
        <w:t xml:space="preserve"> assumed that the allocation that was relevant to the variable for Chinese electricity production was not only Australia’s exports to China as a share of Australian GDP, but also the export shares of other Dynamic Asian Economies</w:t>
      </w:r>
      <w:r w:rsidR="004C297B">
        <w:rPr>
          <w:rFonts w:asciiTheme="minorHAnsi" w:hAnsiTheme="minorHAnsi" w:cstheme="minorHAnsi"/>
        </w:rPr>
        <w:t xml:space="preserve"> or DAEs</w:t>
      </w:r>
      <w:r w:rsidR="00D47789">
        <w:rPr>
          <w:rFonts w:asciiTheme="minorHAnsi" w:hAnsiTheme="minorHAnsi" w:cstheme="minorHAnsi"/>
        </w:rPr>
        <w:t xml:space="preserve"> (Hong Kong, India, Indonesia, Malaysia, Singapore, South Korea, Thailand and Taiwan), given the close trade linkages among </w:t>
      </w:r>
      <w:r w:rsidR="00D47789">
        <w:rPr>
          <w:rFonts w:asciiTheme="minorHAnsi" w:hAnsiTheme="minorHAnsi" w:cstheme="minorHAnsi"/>
        </w:rPr>
        <w:lastRenderedPageBreak/>
        <w:t xml:space="preserve">these countries. Similarly, </w:t>
      </w:r>
      <w:r w:rsidR="007B1646">
        <w:rPr>
          <w:rFonts w:asciiTheme="minorHAnsi" w:hAnsiTheme="minorHAnsi" w:cstheme="minorHAnsi"/>
        </w:rPr>
        <w:t>we</w:t>
      </w:r>
      <w:r w:rsidR="00D47789">
        <w:rPr>
          <w:rFonts w:asciiTheme="minorHAnsi" w:hAnsiTheme="minorHAnsi" w:cstheme="minorHAnsi"/>
        </w:rPr>
        <w:t xml:space="preserve"> also assumed that the allocation that was relevant to the variable for the US yield difference was not only </w:t>
      </w:r>
      <w:r w:rsidR="004C297B">
        <w:rPr>
          <w:rFonts w:asciiTheme="minorHAnsi" w:hAnsiTheme="minorHAnsi" w:cstheme="minorHAnsi"/>
        </w:rPr>
        <w:t>USA</w:t>
      </w:r>
      <w:r w:rsidR="00D47789">
        <w:rPr>
          <w:rFonts w:asciiTheme="minorHAnsi" w:hAnsiTheme="minorHAnsi" w:cstheme="minorHAnsi"/>
        </w:rPr>
        <w:t xml:space="preserve">’s exports as a share of Australian GDP, but also the export shares of other </w:t>
      </w:r>
      <w:r w:rsidR="004C297B">
        <w:rPr>
          <w:rFonts w:asciiTheme="minorHAnsi" w:hAnsiTheme="minorHAnsi" w:cstheme="minorHAnsi"/>
        </w:rPr>
        <w:t>Developed Countries or DCs that are Major Trading Partners of Australia (i.e., Canada, France, Germany, Italy, Japan, New Zealand and the UK), given the linkages (not only through trade but through other channels such as investment and business confidence) between the USA and other developed countries. The domestic and international shares or weights were allocated according to the following three equations:</w:t>
      </w:r>
    </w:p>
    <w:p w:rsidR="004C297B" w:rsidRDefault="004C297B">
      <w:pPr>
        <w:rPr>
          <w:rFonts w:asciiTheme="minorHAnsi" w:hAnsiTheme="minorHAnsi" w:cstheme="minorHAnsi"/>
        </w:rPr>
      </w:pPr>
    </w:p>
    <w:p w:rsidR="00750D41" w:rsidRDefault="004C297B" w:rsidP="00750D41">
      <w:pPr>
        <w:rPr>
          <w:rFonts w:asciiTheme="minorHAnsi" w:hAnsiTheme="minorHAnsi" w:cstheme="minorHAnsi"/>
        </w:rPr>
      </w:pPr>
      <w:r>
        <w:rPr>
          <w:rFonts w:asciiTheme="minorHAnsi" w:hAnsiTheme="minorHAnsi" w:cstheme="minorHAnsi"/>
        </w:rPr>
        <w:t xml:space="preserve">Share (DAEs) = Value of Exports of Goods and Services from Australia </w:t>
      </w:r>
    </w:p>
    <w:p w:rsidR="00A56F98" w:rsidRDefault="00750D41" w:rsidP="00750D41">
      <w:pPr>
        <w:spacing w:after="120"/>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4C297B">
        <w:rPr>
          <w:rFonts w:asciiTheme="minorHAnsi" w:hAnsiTheme="minorHAnsi" w:cstheme="minorHAnsi"/>
        </w:rPr>
        <w:t>to DAEs/nominal Australian GDP</w:t>
      </w:r>
      <w:r w:rsidR="0040490A">
        <w:rPr>
          <w:rFonts w:asciiTheme="minorHAnsi" w:hAnsiTheme="minorHAnsi" w:cstheme="minorHAnsi"/>
        </w:rPr>
        <w:t xml:space="preserve"> </w:t>
      </w:r>
      <w:r w:rsidR="004C297B">
        <w:rPr>
          <w:rFonts w:asciiTheme="minorHAnsi" w:hAnsiTheme="minorHAnsi" w:cstheme="minorHAnsi"/>
        </w:rPr>
        <w:tab/>
      </w:r>
      <w:r>
        <w:rPr>
          <w:rFonts w:asciiTheme="minorHAnsi" w:hAnsiTheme="minorHAnsi" w:cstheme="minorHAnsi"/>
        </w:rPr>
        <w:tab/>
      </w:r>
      <w:r w:rsidR="004C297B">
        <w:rPr>
          <w:rFonts w:asciiTheme="minorHAnsi" w:hAnsiTheme="minorHAnsi" w:cstheme="minorHAnsi"/>
        </w:rPr>
        <w:tab/>
      </w:r>
      <w:r w:rsidR="004C297B">
        <w:rPr>
          <w:rFonts w:asciiTheme="minorHAnsi" w:hAnsiTheme="minorHAnsi" w:cstheme="minorHAnsi"/>
        </w:rPr>
        <w:tab/>
      </w:r>
      <w:r w:rsidR="004C297B">
        <w:rPr>
          <w:rFonts w:asciiTheme="minorHAnsi" w:hAnsiTheme="minorHAnsi" w:cstheme="minorHAnsi"/>
        </w:rPr>
        <w:tab/>
        <w:t>(1)</w:t>
      </w:r>
    </w:p>
    <w:p w:rsidR="00750D41" w:rsidRDefault="004C297B" w:rsidP="00750D41">
      <w:pPr>
        <w:rPr>
          <w:rFonts w:asciiTheme="minorHAnsi" w:hAnsiTheme="minorHAnsi" w:cstheme="minorHAnsi"/>
        </w:rPr>
      </w:pPr>
      <w:r>
        <w:rPr>
          <w:rFonts w:asciiTheme="minorHAnsi" w:hAnsiTheme="minorHAnsi" w:cstheme="minorHAnsi"/>
        </w:rPr>
        <w:t xml:space="preserve">Share (DCs) = Value of Exports of Goods and Services from Australia </w:t>
      </w:r>
    </w:p>
    <w:p w:rsidR="004C297B" w:rsidRDefault="00750D41" w:rsidP="00750D41">
      <w:pPr>
        <w:spacing w:after="120"/>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4C297B">
        <w:rPr>
          <w:rFonts w:asciiTheme="minorHAnsi" w:hAnsiTheme="minorHAnsi" w:cstheme="minorHAnsi"/>
        </w:rPr>
        <w:t xml:space="preserve">to DCs/nominal Australian GDP </w:t>
      </w:r>
      <w:r w:rsidR="004C297B">
        <w:rPr>
          <w:rFonts w:asciiTheme="minorHAnsi" w:hAnsiTheme="minorHAnsi" w:cstheme="minorHAnsi"/>
        </w:rPr>
        <w:tab/>
      </w:r>
      <w:r w:rsidR="004C297B">
        <w:rPr>
          <w:rFonts w:asciiTheme="minorHAnsi" w:hAnsiTheme="minorHAnsi" w:cstheme="minorHAnsi"/>
        </w:rPr>
        <w:tab/>
      </w:r>
      <w:r w:rsidR="004C297B">
        <w:rPr>
          <w:rFonts w:asciiTheme="minorHAnsi" w:hAnsiTheme="minorHAnsi" w:cstheme="minorHAnsi"/>
        </w:rPr>
        <w:tab/>
      </w:r>
      <w:r w:rsidR="004C297B">
        <w:rPr>
          <w:rFonts w:asciiTheme="minorHAnsi" w:hAnsiTheme="minorHAnsi" w:cstheme="minorHAnsi"/>
        </w:rPr>
        <w:tab/>
      </w:r>
      <w:r w:rsidR="004C297B">
        <w:rPr>
          <w:rFonts w:asciiTheme="minorHAnsi" w:hAnsiTheme="minorHAnsi" w:cstheme="minorHAnsi"/>
        </w:rPr>
        <w:tab/>
        <w:t>(2)</w:t>
      </w:r>
    </w:p>
    <w:p w:rsidR="00D47789" w:rsidRDefault="004C297B">
      <w:pPr>
        <w:rPr>
          <w:rFonts w:asciiTheme="minorHAnsi" w:hAnsiTheme="minorHAnsi" w:cstheme="minorHAnsi"/>
        </w:rPr>
      </w:pPr>
      <w:r>
        <w:rPr>
          <w:rFonts w:asciiTheme="minorHAnsi" w:hAnsiTheme="minorHAnsi" w:cstheme="minorHAnsi"/>
        </w:rPr>
        <w:t xml:space="preserve">Domestic Share = 1 – Share(DAEs) – Share(DCs)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(3)</w:t>
      </w:r>
    </w:p>
    <w:p w:rsidR="00D47789" w:rsidRDefault="00D47789">
      <w:pPr>
        <w:rPr>
          <w:rFonts w:asciiTheme="minorHAnsi" w:hAnsiTheme="minorHAnsi" w:cstheme="minorHAnsi"/>
        </w:rPr>
      </w:pPr>
    </w:p>
    <w:p w:rsidR="005B0BD7" w:rsidRDefault="004C297B">
      <w:pPr>
        <w:rPr>
          <w:rFonts w:asciiTheme="minorHAnsi" w:hAnsiTheme="minorHAnsi" w:cstheme="minorHAnsi"/>
        </w:rPr>
      </w:pPr>
      <w:r>
        <w:rPr>
          <w:rFonts w:asciiTheme="minorHAnsi" w:hAnsiTheme="minorHAnsi" w:cstheme="minorHAnsi"/>
        </w:rPr>
        <w:t>The domestic share was applied equally to the four domestic series (</w:t>
      </w:r>
      <w:r w:rsidR="00814E38" w:rsidRPr="00814E38">
        <w:rPr>
          <w:rFonts w:ascii="Calibri" w:hAnsi="Calibri" w:cs="Calibri"/>
          <w:color w:val="000000" w:themeColor="text1"/>
        </w:rPr>
        <w:t xml:space="preserve">Dun &amp; Bradstreet Employment Expectations Index, </w:t>
      </w:r>
      <w:r w:rsidR="00814E38" w:rsidRPr="00814E38">
        <w:rPr>
          <w:rFonts w:asciiTheme="minorHAnsi" w:hAnsiTheme="minorHAnsi" w:cstheme="minorHAnsi"/>
        </w:rPr>
        <w:t xml:space="preserve">NAB Forward Orders Index, </w:t>
      </w:r>
      <w:r w:rsidR="00814E38" w:rsidRPr="00814E38">
        <w:rPr>
          <w:rFonts w:ascii="Calibri" w:hAnsi="Calibri" w:cs="Calibri"/>
          <w:color w:val="000000" w:themeColor="text1"/>
        </w:rPr>
        <w:t>Westpac-Melbourne Institute Leading Index of Economic Activity</w:t>
      </w:r>
      <w:r w:rsidR="00814E38">
        <w:rPr>
          <w:rFonts w:ascii="Calibri" w:hAnsi="Calibri" w:cs="Calibri"/>
          <w:color w:val="000000" w:themeColor="text1"/>
        </w:rPr>
        <w:t>; and</w:t>
      </w:r>
      <w:r w:rsidR="00814E38" w:rsidRPr="00814E38">
        <w:rPr>
          <w:rFonts w:ascii="Calibri" w:hAnsi="Calibri" w:cs="Calibri"/>
          <w:color w:val="000000" w:themeColor="text1"/>
        </w:rPr>
        <w:t xml:space="preserve"> Westpac-Melbourne Institute </w:t>
      </w:r>
      <w:r w:rsidR="00814E38">
        <w:rPr>
          <w:rFonts w:ascii="Calibri" w:hAnsi="Calibri" w:cs="Calibri"/>
          <w:color w:val="000000" w:themeColor="text1"/>
        </w:rPr>
        <w:t>Consumer Sentiment</w:t>
      </w:r>
      <w:r w:rsidR="00814E38" w:rsidRPr="00814E38">
        <w:rPr>
          <w:rFonts w:ascii="Calibri" w:hAnsi="Calibri" w:cs="Calibri"/>
          <w:color w:val="000000" w:themeColor="text1"/>
        </w:rPr>
        <w:t xml:space="preserve"> Index</w:t>
      </w:r>
      <w:r w:rsidR="00814E38">
        <w:rPr>
          <w:rFonts w:ascii="Calibri" w:hAnsi="Calibri" w:cs="Calibri"/>
          <w:color w:val="000000" w:themeColor="text1"/>
        </w:rPr>
        <w:t xml:space="preserve">). </w:t>
      </w:r>
      <w:r w:rsidR="005B0BD7">
        <w:rPr>
          <w:rFonts w:asciiTheme="minorHAnsi" w:hAnsiTheme="minorHAnsi" w:cstheme="minorHAnsi"/>
        </w:rPr>
        <w:t xml:space="preserve">The evolution of these three shares through time is shown in Figure 2, for the sample period used in </w:t>
      </w:r>
      <w:r w:rsidR="00EB27D3">
        <w:rPr>
          <w:rFonts w:asciiTheme="minorHAnsi" w:hAnsiTheme="minorHAnsi" w:cstheme="minorHAnsi"/>
        </w:rPr>
        <w:t>the econometric estimation</w:t>
      </w:r>
      <w:r w:rsidR="005B0BD7">
        <w:rPr>
          <w:rFonts w:asciiTheme="minorHAnsi" w:hAnsiTheme="minorHAnsi" w:cstheme="minorHAnsi"/>
        </w:rPr>
        <w:t xml:space="preserve">. </w:t>
      </w:r>
    </w:p>
    <w:p w:rsidR="00484AFE" w:rsidRDefault="00484AFE">
      <w:pPr>
        <w:rPr>
          <w:rFonts w:ascii="Calibri" w:hAnsi="Calibri" w:cs="Calibri"/>
          <w:color w:val="000000" w:themeColor="text1"/>
        </w:rPr>
      </w:pPr>
    </w:p>
    <w:p w:rsidR="00814E38" w:rsidRPr="006E09AE" w:rsidRDefault="00814E38" w:rsidP="00814E38">
      <w:pPr>
        <w:rPr>
          <w:rFonts w:ascii="Calibri" w:hAnsi="Calibri" w:cs="Calibri"/>
        </w:rPr>
      </w:pPr>
      <w:r>
        <w:rPr>
          <w:rFonts w:ascii="Calibri" w:hAnsi="Calibri" w:cs="Calibri"/>
          <w:color w:val="000000" w:themeColor="text1"/>
        </w:rPr>
        <w:t xml:space="preserve">Figure 2: </w:t>
      </w:r>
      <w:r w:rsidRPr="00814E38">
        <w:rPr>
          <w:rFonts w:ascii="Calibri" w:hAnsi="Calibri" w:cs="Calibri"/>
          <w:b/>
          <w:color w:val="000000" w:themeColor="text1"/>
        </w:rPr>
        <w:t>Domestic and International Shares of Australian GDP</w:t>
      </w:r>
    </w:p>
    <w:p w:rsidR="0013528F" w:rsidRDefault="00484AFE">
      <w:pPr>
        <w:rPr>
          <w:rFonts w:asciiTheme="minorHAnsi" w:hAnsiTheme="minorHAnsi" w:cstheme="minorHAnsi"/>
        </w:rPr>
      </w:pPr>
      <w:r w:rsidRPr="00484AFE">
        <w:rPr>
          <w:noProof/>
        </w:rPr>
        <w:drawing>
          <wp:inline distT="0" distB="0" distL="0" distR="0" wp14:anchorId="20F9A8A0" wp14:editId="24C6C749">
            <wp:extent cx="4871923" cy="3194529"/>
            <wp:effectExtent l="0" t="0" r="508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72229" cy="3194730"/>
                    </a:xfrm>
                    <a:prstGeom prst="rect">
                      <a:avLst/>
                    </a:prstGeom>
                    <a:noFill/>
                    <a:ln>
                      <a:noFill/>
                    </a:ln>
                  </pic:spPr>
                </pic:pic>
              </a:graphicData>
            </a:graphic>
          </wp:inline>
        </w:drawing>
      </w:r>
    </w:p>
    <w:p w:rsidR="0013528F" w:rsidRPr="00814E38" w:rsidRDefault="00814E38">
      <w:pPr>
        <w:rPr>
          <w:rFonts w:asciiTheme="minorHAnsi" w:hAnsiTheme="minorHAnsi" w:cstheme="minorHAnsi"/>
          <w:sz w:val="20"/>
          <w:szCs w:val="20"/>
        </w:rPr>
      </w:pPr>
      <w:r w:rsidRPr="00814E38">
        <w:rPr>
          <w:rFonts w:asciiTheme="minorHAnsi" w:hAnsiTheme="minorHAnsi" w:cstheme="minorHAnsi"/>
          <w:sz w:val="20"/>
          <w:szCs w:val="20"/>
        </w:rPr>
        <w:t xml:space="preserve">Sources: </w:t>
      </w:r>
      <w:r>
        <w:rPr>
          <w:rFonts w:asciiTheme="minorHAnsi" w:hAnsiTheme="minorHAnsi" w:cstheme="minorHAnsi"/>
          <w:sz w:val="20"/>
          <w:szCs w:val="20"/>
        </w:rPr>
        <w:t xml:space="preserve">The values of </w:t>
      </w:r>
      <w:r w:rsidRPr="00814E38">
        <w:rPr>
          <w:rFonts w:asciiTheme="minorHAnsi" w:hAnsiTheme="minorHAnsi" w:cstheme="minorHAnsi"/>
          <w:sz w:val="20"/>
          <w:szCs w:val="20"/>
        </w:rPr>
        <w:t xml:space="preserve">Australian </w:t>
      </w:r>
      <w:r>
        <w:rPr>
          <w:rFonts w:asciiTheme="minorHAnsi" w:hAnsiTheme="minorHAnsi" w:cstheme="minorHAnsi"/>
          <w:sz w:val="20"/>
          <w:szCs w:val="20"/>
        </w:rPr>
        <w:t>e</w:t>
      </w:r>
      <w:r w:rsidRPr="00814E38">
        <w:rPr>
          <w:rFonts w:asciiTheme="minorHAnsi" w:hAnsiTheme="minorHAnsi" w:cstheme="minorHAnsi"/>
          <w:sz w:val="20"/>
          <w:szCs w:val="20"/>
        </w:rPr>
        <w:t>xports</w:t>
      </w:r>
      <w:r>
        <w:rPr>
          <w:rFonts w:asciiTheme="minorHAnsi" w:hAnsiTheme="minorHAnsi" w:cstheme="minorHAnsi"/>
          <w:sz w:val="20"/>
          <w:szCs w:val="20"/>
        </w:rPr>
        <w:t xml:space="preserve"> of goods and services</w:t>
      </w:r>
      <w:r w:rsidRPr="00814E38">
        <w:rPr>
          <w:rFonts w:asciiTheme="minorHAnsi" w:hAnsiTheme="minorHAnsi" w:cstheme="minorHAnsi"/>
          <w:sz w:val="20"/>
          <w:szCs w:val="20"/>
        </w:rPr>
        <w:t xml:space="preserve"> to </w:t>
      </w:r>
      <w:r>
        <w:rPr>
          <w:rFonts w:asciiTheme="minorHAnsi" w:hAnsiTheme="minorHAnsi" w:cstheme="minorHAnsi"/>
          <w:sz w:val="20"/>
          <w:szCs w:val="20"/>
        </w:rPr>
        <w:t>Developed and Dynamic Asian economies were obtained from ABS international trade data. Data on exports of goods</w:t>
      </w:r>
      <w:r w:rsidR="0019255C">
        <w:rPr>
          <w:rFonts w:asciiTheme="minorHAnsi" w:hAnsiTheme="minorHAnsi" w:cstheme="minorHAnsi"/>
          <w:sz w:val="20"/>
          <w:szCs w:val="20"/>
        </w:rPr>
        <w:t xml:space="preserve"> (merchandise)</w:t>
      </w:r>
      <w:r>
        <w:rPr>
          <w:rFonts w:asciiTheme="minorHAnsi" w:hAnsiTheme="minorHAnsi" w:cstheme="minorHAnsi"/>
          <w:sz w:val="20"/>
          <w:szCs w:val="20"/>
        </w:rPr>
        <w:t xml:space="preserve"> were obtained from </w:t>
      </w:r>
      <w:r w:rsidRPr="00814E38">
        <w:rPr>
          <w:rFonts w:asciiTheme="minorHAnsi" w:hAnsiTheme="minorHAnsi" w:cstheme="minorHAnsi"/>
          <w:sz w:val="20"/>
          <w:szCs w:val="20"/>
        </w:rPr>
        <w:t xml:space="preserve">Spreadsheet 14a from ABS (2014), </w:t>
      </w:r>
      <w:r w:rsidRPr="00814E38">
        <w:rPr>
          <w:rFonts w:asciiTheme="minorHAnsi" w:hAnsiTheme="minorHAnsi" w:cstheme="minorHAnsi"/>
          <w:i/>
          <w:sz w:val="20"/>
          <w:szCs w:val="20"/>
        </w:rPr>
        <w:t>International Trade in Goods &amp; Services, March 2014</w:t>
      </w:r>
      <w:r w:rsidRPr="00814E38">
        <w:rPr>
          <w:rFonts w:asciiTheme="minorHAnsi" w:hAnsiTheme="minorHAnsi" w:cstheme="minorHAnsi"/>
          <w:sz w:val="20"/>
          <w:szCs w:val="20"/>
        </w:rPr>
        <w:t>, ABS Cat No. 5368.0</w:t>
      </w:r>
      <w:r>
        <w:rPr>
          <w:rFonts w:asciiTheme="minorHAnsi" w:hAnsiTheme="minorHAnsi" w:cstheme="minorHAnsi"/>
          <w:sz w:val="20"/>
          <w:szCs w:val="20"/>
        </w:rPr>
        <w:t xml:space="preserve"> and converted to a moving annual sum to reduce </w:t>
      </w:r>
      <w:r w:rsidR="00DC6926">
        <w:rPr>
          <w:rFonts w:asciiTheme="minorHAnsi" w:hAnsiTheme="minorHAnsi" w:cstheme="minorHAnsi"/>
          <w:sz w:val="20"/>
          <w:szCs w:val="20"/>
        </w:rPr>
        <w:t>irregularities in the data</w:t>
      </w:r>
      <w:r>
        <w:rPr>
          <w:rFonts w:asciiTheme="minorHAnsi" w:hAnsiTheme="minorHAnsi" w:cstheme="minorHAnsi"/>
          <w:sz w:val="20"/>
          <w:szCs w:val="20"/>
        </w:rPr>
        <w:t xml:space="preserve">, while data on </w:t>
      </w:r>
      <w:r w:rsidR="00DC6926">
        <w:rPr>
          <w:rFonts w:asciiTheme="minorHAnsi" w:hAnsiTheme="minorHAnsi" w:cstheme="minorHAnsi"/>
          <w:sz w:val="20"/>
          <w:szCs w:val="20"/>
        </w:rPr>
        <w:t xml:space="preserve">the value of exports </w:t>
      </w:r>
      <w:r w:rsidR="0019255C">
        <w:rPr>
          <w:rFonts w:asciiTheme="minorHAnsi" w:hAnsiTheme="minorHAnsi" w:cstheme="minorHAnsi"/>
          <w:sz w:val="20"/>
          <w:szCs w:val="20"/>
        </w:rPr>
        <w:t xml:space="preserve">of services </w:t>
      </w:r>
      <w:r w:rsidR="00DC6926">
        <w:rPr>
          <w:rFonts w:asciiTheme="minorHAnsi" w:hAnsiTheme="minorHAnsi" w:cstheme="minorHAnsi"/>
          <w:sz w:val="20"/>
          <w:szCs w:val="20"/>
        </w:rPr>
        <w:t xml:space="preserve">by destination were obtained from </w:t>
      </w:r>
      <w:r w:rsidR="0019255C" w:rsidRPr="0019255C">
        <w:rPr>
          <w:rFonts w:asciiTheme="minorHAnsi" w:hAnsiTheme="minorHAnsi" w:cstheme="minorHAnsi"/>
          <w:sz w:val="20"/>
          <w:szCs w:val="20"/>
        </w:rPr>
        <w:t>Spreadsheet 5</w:t>
      </w:r>
      <w:r w:rsidR="0019255C">
        <w:rPr>
          <w:rFonts w:asciiTheme="minorHAnsi" w:hAnsiTheme="minorHAnsi" w:cstheme="minorHAnsi"/>
          <w:sz w:val="20"/>
          <w:szCs w:val="20"/>
        </w:rPr>
        <w:t xml:space="preserve"> </w:t>
      </w:r>
      <w:r w:rsidR="0019255C" w:rsidRPr="0019255C">
        <w:rPr>
          <w:rFonts w:asciiTheme="minorHAnsi" w:hAnsiTheme="minorHAnsi" w:cstheme="minorHAnsi"/>
          <w:sz w:val="20"/>
          <w:szCs w:val="20"/>
        </w:rPr>
        <w:t xml:space="preserve">from </w:t>
      </w:r>
      <w:r w:rsidR="0019255C" w:rsidRPr="0019255C">
        <w:rPr>
          <w:rFonts w:asciiTheme="minorHAnsi" w:hAnsiTheme="minorHAnsi" w:cstheme="minorHAnsi"/>
          <w:i/>
          <w:sz w:val="20"/>
          <w:szCs w:val="20"/>
        </w:rPr>
        <w:t>International Trade in Services by Country, by State and Detailed Services Category, Financial Year 2012-13</w:t>
      </w:r>
      <w:r w:rsidR="0019255C">
        <w:rPr>
          <w:rFonts w:asciiTheme="minorHAnsi" w:hAnsiTheme="minorHAnsi" w:cstheme="minorHAnsi"/>
          <w:sz w:val="20"/>
          <w:szCs w:val="20"/>
        </w:rPr>
        <w:t xml:space="preserve">, </w:t>
      </w:r>
      <w:r w:rsidR="0019255C" w:rsidRPr="0019255C">
        <w:rPr>
          <w:rFonts w:asciiTheme="minorHAnsi" w:hAnsiTheme="minorHAnsi" w:cstheme="minorHAnsi"/>
          <w:sz w:val="20"/>
          <w:szCs w:val="20"/>
        </w:rPr>
        <w:t>ABS Cat No. 5368.0.55.003</w:t>
      </w:r>
      <w:r w:rsidR="0019255C">
        <w:rPr>
          <w:rFonts w:asciiTheme="minorHAnsi" w:hAnsiTheme="minorHAnsi" w:cstheme="minorHAnsi"/>
          <w:sz w:val="20"/>
          <w:szCs w:val="20"/>
        </w:rPr>
        <w:t xml:space="preserve">. These were divided by Australian nominal GDP, which was obtained from </w:t>
      </w:r>
      <w:r w:rsidR="0019255C" w:rsidRPr="0019255C">
        <w:rPr>
          <w:rFonts w:asciiTheme="minorHAnsi" w:hAnsiTheme="minorHAnsi" w:cstheme="minorHAnsi"/>
          <w:sz w:val="20"/>
          <w:szCs w:val="20"/>
        </w:rPr>
        <w:t xml:space="preserve">ABS (2014), </w:t>
      </w:r>
      <w:r w:rsidR="0019255C" w:rsidRPr="0019255C">
        <w:rPr>
          <w:rFonts w:asciiTheme="minorHAnsi" w:hAnsiTheme="minorHAnsi" w:cstheme="minorHAnsi"/>
          <w:i/>
          <w:sz w:val="20"/>
          <w:szCs w:val="20"/>
        </w:rPr>
        <w:t xml:space="preserve">Australian National Accounts: National Income, Expenditure and Product, December quarter 2013 </w:t>
      </w:r>
      <w:r w:rsidR="0019255C" w:rsidRPr="0019255C">
        <w:rPr>
          <w:rFonts w:asciiTheme="minorHAnsi" w:hAnsiTheme="minorHAnsi" w:cstheme="minorHAnsi"/>
          <w:sz w:val="20"/>
          <w:szCs w:val="20"/>
        </w:rPr>
        <w:t>(Cat. No. 5206.0)</w:t>
      </w:r>
      <w:r w:rsidR="0019255C">
        <w:rPr>
          <w:rFonts w:asciiTheme="minorHAnsi" w:hAnsiTheme="minorHAnsi" w:cstheme="minorHAnsi"/>
          <w:sz w:val="20"/>
          <w:szCs w:val="20"/>
        </w:rPr>
        <w:t>.</w:t>
      </w:r>
      <w:r w:rsidRPr="0019255C">
        <w:rPr>
          <w:rFonts w:asciiTheme="minorHAnsi" w:hAnsiTheme="minorHAnsi" w:cstheme="minorHAnsi"/>
          <w:sz w:val="20"/>
          <w:szCs w:val="20"/>
        </w:rPr>
        <w:t xml:space="preserve"> </w:t>
      </w:r>
    </w:p>
    <w:p w:rsidR="00814E38" w:rsidRDefault="00814E38">
      <w:pPr>
        <w:rPr>
          <w:rFonts w:asciiTheme="minorHAnsi" w:hAnsiTheme="minorHAnsi" w:cstheme="minorHAnsi"/>
        </w:rPr>
      </w:pPr>
    </w:p>
    <w:p w:rsidR="00484AFE" w:rsidRDefault="00484AFE" w:rsidP="00484AFE">
      <w:pPr>
        <w:rPr>
          <w:rFonts w:asciiTheme="minorHAnsi" w:hAnsiTheme="minorHAnsi" w:cstheme="minorHAnsi"/>
        </w:rPr>
      </w:pPr>
      <w:r>
        <w:rPr>
          <w:rFonts w:asciiTheme="minorHAnsi" w:hAnsiTheme="minorHAnsi" w:cstheme="minorHAnsi"/>
        </w:rPr>
        <w:t xml:space="preserve">The share of DAEs has risen at the expense of the share of DCs, while the domestic share has fallen slightly (by about two percentage points). </w:t>
      </w:r>
    </w:p>
    <w:p w:rsidR="00484AFE" w:rsidRDefault="00484AFE">
      <w:pPr>
        <w:rPr>
          <w:rFonts w:asciiTheme="minorHAnsi" w:hAnsiTheme="minorHAnsi" w:cstheme="minorHAnsi"/>
        </w:rPr>
      </w:pPr>
    </w:p>
    <w:p w:rsidR="00BC054D" w:rsidRDefault="00BC054D" w:rsidP="0019255C">
      <w:pPr>
        <w:rPr>
          <w:rFonts w:asciiTheme="minorHAnsi" w:hAnsiTheme="minorHAnsi" w:cstheme="minorHAnsi"/>
        </w:rPr>
      </w:pPr>
      <w:r>
        <w:rPr>
          <w:rFonts w:asciiTheme="minorHAnsi" w:hAnsiTheme="minorHAnsi" w:cstheme="minorHAnsi"/>
        </w:rPr>
        <w:t>The resulting equation was estimated using the Non-linear Least Squares technique in the TSP International Version 5.1 computer package</w:t>
      </w:r>
      <w:r>
        <w:rPr>
          <w:rStyle w:val="FootnoteReference"/>
          <w:rFonts w:asciiTheme="minorHAnsi" w:hAnsiTheme="minorHAnsi" w:cstheme="minorHAnsi"/>
        </w:rPr>
        <w:footnoteReference w:id="7"/>
      </w:r>
      <w:r>
        <w:rPr>
          <w:rFonts w:asciiTheme="minorHAnsi" w:hAnsiTheme="minorHAnsi" w:cstheme="minorHAnsi"/>
        </w:rPr>
        <w:t xml:space="preserve">, using the same sample period as for the Kalman Filtering of July 1994 through </w:t>
      </w:r>
      <w:r w:rsidR="00484AFE">
        <w:rPr>
          <w:rFonts w:asciiTheme="minorHAnsi" w:hAnsiTheme="minorHAnsi" w:cstheme="minorHAnsi"/>
        </w:rPr>
        <w:t>January 2011</w:t>
      </w:r>
      <w:r>
        <w:rPr>
          <w:rFonts w:asciiTheme="minorHAnsi" w:hAnsiTheme="minorHAnsi" w:cstheme="minorHAnsi"/>
        </w:rPr>
        <w:t>. The results are as shown in equation (4):</w:t>
      </w:r>
    </w:p>
    <w:p w:rsidR="00BC054D" w:rsidRDefault="00BC054D" w:rsidP="0019255C">
      <w:pPr>
        <w:rPr>
          <w:rFonts w:asciiTheme="minorHAnsi" w:hAnsiTheme="minorHAnsi" w:cstheme="minorHAnsi"/>
        </w:rPr>
      </w:pPr>
    </w:p>
    <w:p w:rsidR="00814E38" w:rsidRPr="00BC054D" w:rsidRDefault="00BC054D" w:rsidP="0019255C">
      <w:pPr>
        <w:rPr>
          <w:rFonts w:asciiTheme="minorHAnsi" w:hAnsiTheme="minorHAnsi" w:cstheme="minorHAnsi"/>
        </w:rPr>
      </w:pPr>
      <w:r>
        <w:rPr>
          <w:rFonts w:asciiTheme="minorHAnsi" w:hAnsiTheme="minorHAnsi" w:cstheme="minorHAnsi"/>
        </w:rPr>
        <w:t>E</w:t>
      </w:r>
      <w:r w:rsidR="00343250">
        <w:rPr>
          <w:rFonts w:asciiTheme="minorHAnsi" w:hAnsiTheme="minorHAnsi" w:cstheme="minorHAnsi"/>
        </w:rPr>
        <w:t>mployment</w:t>
      </w:r>
      <w:r>
        <w:rPr>
          <w:rFonts w:asciiTheme="minorHAnsi" w:hAnsiTheme="minorHAnsi" w:cstheme="minorHAnsi"/>
          <w:vertAlign w:val="subscript"/>
        </w:rPr>
        <w:t>t</w:t>
      </w:r>
      <w:r>
        <w:rPr>
          <w:rFonts w:asciiTheme="minorHAnsi" w:hAnsiTheme="minorHAnsi" w:cstheme="minorHAnsi"/>
        </w:rPr>
        <w:t xml:space="preserve"> </w:t>
      </w:r>
      <w:r w:rsidR="00484AFE">
        <w:rPr>
          <w:rFonts w:asciiTheme="minorHAnsi" w:hAnsiTheme="minorHAnsi" w:cstheme="minorHAnsi"/>
        </w:rPr>
        <w:t>= 0.0493</w:t>
      </w:r>
      <w:r>
        <w:rPr>
          <w:rFonts w:asciiTheme="minorHAnsi" w:hAnsiTheme="minorHAnsi" w:cstheme="minorHAnsi"/>
        </w:rPr>
        <w:t xml:space="preserve">  </w:t>
      </w:r>
      <w:r w:rsidR="00484AFE">
        <w:rPr>
          <w:rFonts w:asciiTheme="minorHAnsi" w:hAnsiTheme="minorHAnsi" w:cstheme="minorHAnsi"/>
        </w:rPr>
        <w:t>+ 1.774</w:t>
      </w:r>
      <w:r>
        <w:rPr>
          <w:rFonts w:asciiTheme="minorHAnsi" w:hAnsiTheme="minorHAnsi" w:cstheme="minorHAnsi"/>
        </w:rPr>
        <w:t xml:space="preserve"> * Share (DAEs)</w:t>
      </w:r>
      <w:r>
        <w:rPr>
          <w:rFonts w:asciiTheme="minorHAnsi" w:hAnsiTheme="minorHAnsi" w:cstheme="minorHAnsi"/>
          <w:vertAlign w:val="subscript"/>
        </w:rPr>
        <w:t>t-9</w:t>
      </w:r>
      <w:r>
        <w:rPr>
          <w:rFonts w:asciiTheme="minorHAnsi" w:hAnsiTheme="minorHAnsi" w:cstheme="minorHAnsi"/>
        </w:rPr>
        <w:t xml:space="preserve"> * </w:t>
      </w:r>
      <w:r w:rsidRPr="00BC054D">
        <w:rPr>
          <w:rFonts w:asciiTheme="minorHAnsi" w:hAnsiTheme="minorHAnsi" w:cstheme="minorHAnsi"/>
        </w:rPr>
        <w:t>Chinese Electricity Productio</w:t>
      </w:r>
      <w:r>
        <w:rPr>
          <w:rFonts w:asciiTheme="minorHAnsi" w:hAnsiTheme="minorHAnsi" w:cstheme="minorHAnsi"/>
        </w:rPr>
        <w:t>n</w:t>
      </w:r>
      <w:r>
        <w:rPr>
          <w:rFonts w:asciiTheme="minorHAnsi" w:hAnsiTheme="minorHAnsi" w:cstheme="minorHAnsi"/>
          <w:vertAlign w:val="subscript"/>
        </w:rPr>
        <w:t>t-9</w:t>
      </w:r>
      <w:r>
        <w:rPr>
          <w:rFonts w:asciiTheme="minorHAnsi" w:hAnsiTheme="minorHAnsi" w:cstheme="minorHAnsi"/>
        </w:rPr>
        <w:t xml:space="preserve">  </w:t>
      </w:r>
    </w:p>
    <w:p w:rsidR="00814E38" w:rsidRDefault="00BC054D">
      <w:pPr>
        <w:rPr>
          <w:rFonts w:asciiTheme="minorHAnsi" w:hAnsiTheme="minorHAnsi" w:cstheme="minorHAnsi"/>
        </w:rPr>
      </w:pPr>
      <w:r>
        <w:rPr>
          <w:rFonts w:asciiTheme="minorHAnsi" w:hAnsiTheme="minorHAnsi" w:cstheme="minorHAnsi"/>
        </w:rPr>
        <w:t xml:space="preserve"> </w:t>
      </w:r>
      <w:r w:rsidR="00343250">
        <w:rPr>
          <w:rFonts w:asciiTheme="minorHAnsi" w:hAnsiTheme="minorHAnsi" w:cstheme="minorHAnsi"/>
        </w:rPr>
        <w:t xml:space="preserve">               </w:t>
      </w:r>
      <w:r>
        <w:rPr>
          <w:rFonts w:asciiTheme="minorHAnsi" w:hAnsiTheme="minorHAnsi" w:cstheme="minorHAnsi"/>
        </w:rPr>
        <w:t xml:space="preserve">           </w:t>
      </w:r>
      <w:r w:rsidR="00484AFE">
        <w:rPr>
          <w:rFonts w:asciiTheme="minorHAnsi" w:hAnsiTheme="minorHAnsi" w:cstheme="minorHAnsi"/>
        </w:rPr>
        <w:t>(1.55)       (4.02</w:t>
      </w:r>
      <w:r w:rsidR="00343250">
        <w:rPr>
          <w:rFonts w:asciiTheme="minorHAnsi" w:hAnsiTheme="minorHAnsi" w:cstheme="minorHAnsi"/>
        </w:rPr>
        <w:t>)**</w:t>
      </w:r>
      <w:r w:rsidR="009C0051">
        <w:rPr>
          <w:rFonts w:asciiTheme="minorHAnsi" w:hAnsiTheme="minorHAnsi" w:cstheme="minorHAnsi"/>
        </w:rPr>
        <w:t>*</w:t>
      </w:r>
    </w:p>
    <w:p w:rsidR="00814E38" w:rsidRDefault="00814E38">
      <w:pPr>
        <w:rPr>
          <w:rFonts w:asciiTheme="minorHAnsi" w:hAnsiTheme="minorHAnsi" w:cstheme="minorHAnsi"/>
        </w:rPr>
      </w:pPr>
    </w:p>
    <w:p w:rsidR="00343250" w:rsidRPr="00BC054D" w:rsidRDefault="00935CBD" w:rsidP="00343250">
      <w:pPr>
        <w:rPr>
          <w:rFonts w:asciiTheme="minorHAnsi" w:hAnsiTheme="minorHAnsi" w:cstheme="minorHAnsi"/>
        </w:rPr>
      </w:pPr>
      <w:r>
        <w:rPr>
          <w:rFonts w:asciiTheme="minorHAnsi" w:hAnsiTheme="minorHAnsi" w:cstheme="minorHAnsi"/>
        </w:rPr>
        <w:tab/>
      </w:r>
      <w:r w:rsidR="00343250">
        <w:rPr>
          <w:rFonts w:asciiTheme="minorHAnsi" w:hAnsiTheme="minorHAnsi" w:cstheme="minorHAnsi"/>
        </w:rPr>
        <w:t xml:space="preserve">  </w:t>
      </w:r>
      <w:r w:rsidR="00484AFE">
        <w:rPr>
          <w:rFonts w:asciiTheme="minorHAnsi" w:hAnsiTheme="minorHAnsi" w:cstheme="minorHAnsi"/>
        </w:rPr>
        <w:t>+ 1.334</w:t>
      </w:r>
      <w:r w:rsidR="00343250">
        <w:rPr>
          <w:rFonts w:asciiTheme="minorHAnsi" w:hAnsiTheme="minorHAnsi" w:cstheme="minorHAnsi"/>
        </w:rPr>
        <w:t xml:space="preserve"> * Share (DCs)</w:t>
      </w:r>
      <w:r w:rsidR="00343250">
        <w:rPr>
          <w:rFonts w:asciiTheme="minorHAnsi" w:hAnsiTheme="minorHAnsi" w:cstheme="minorHAnsi"/>
          <w:vertAlign w:val="subscript"/>
        </w:rPr>
        <w:t>t-9</w:t>
      </w:r>
      <w:r w:rsidR="00343250">
        <w:rPr>
          <w:rFonts w:asciiTheme="minorHAnsi" w:hAnsiTheme="minorHAnsi" w:cstheme="minorHAnsi"/>
        </w:rPr>
        <w:t xml:space="preserve"> * US Yield Difference</w:t>
      </w:r>
      <w:r w:rsidR="00343250">
        <w:rPr>
          <w:rFonts w:asciiTheme="minorHAnsi" w:hAnsiTheme="minorHAnsi" w:cstheme="minorHAnsi"/>
          <w:vertAlign w:val="subscript"/>
        </w:rPr>
        <w:t>t-3</w:t>
      </w:r>
      <w:r w:rsidR="00484AFE">
        <w:rPr>
          <w:rFonts w:asciiTheme="minorHAnsi" w:hAnsiTheme="minorHAnsi" w:cstheme="minorHAnsi"/>
          <w:vertAlign w:val="subscript"/>
        </w:rPr>
        <w:t>9</w:t>
      </w:r>
      <w:r w:rsidR="00343250">
        <w:rPr>
          <w:rFonts w:asciiTheme="minorHAnsi" w:hAnsiTheme="minorHAnsi" w:cstheme="minorHAnsi"/>
        </w:rPr>
        <w:t xml:space="preserve">  </w:t>
      </w:r>
    </w:p>
    <w:p w:rsidR="00343250" w:rsidRDefault="00935CBD" w:rsidP="00343250">
      <w:pPr>
        <w:rPr>
          <w:rFonts w:asciiTheme="minorHAnsi" w:hAnsiTheme="minorHAnsi" w:cstheme="minorHAnsi"/>
        </w:rPr>
      </w:pPr>
      <w:r>
        <w:rPr>
          <w:rFonts w:asciiTheme="minorHAnsi" w:hAnsiTheme="minorHAnsi" w:cstheme="minorHAnsi"/>
        </w:rPr>
        <w:tab/>
        <w:t xml:space="preserve">    </w:t>
      </w:r>
      <w:r w:rsidR="00484AFE">
        <w:rPr>
          <w:rFonts w:asciiTheme="minorHAnsi" w:hAnsiTheme="minorHAnsi" w:cstheme="minorHAnsi"/>
        </w:rPr>
        <w:t>(2.89</w:t>
      </w:r>
      <w:r w:rsidR="00343250">
        <w:rPr>
          <w:rFonts w:asciiTheme="minorHAnsi" w:hAnsiTheme="minorHAnsi" w:cstheme="minorHAnsi"/>
        </w:rPr>
        <w:t>)**</w:t>
      </w:r>
      <w:r w:rsidR="009C0051">
        <w:rPr>
          <w:rFonts w:asciiTheme="minorHAnsi" w:hAnsiTheme="minorHAnsi" w:cstheme="minorHAnsi"/>
        </w:rPr>
        <w:t>*</w:t>
      </w:r>
    </w:p>
    <w:p w:rsidR="00343250" w:rsidRDefault="00343250">
      <w:pPr>
        <w:rPr>
          <w:rFonts w:asciiTheme="minorHAnsi" w:hAnsiTheme="minorHAnsi" w:cstheme="minorHAnsi"/>
        </w:rPr>
      </w:pPr>
    </w:p>
    <w:p w:rsidR="00BC054D" w:rsidRDefault="00935CBD">
      <w:pPr>
        <w:rPr>
          <w:rFonts w:asciiTheme="minorHAnsi" w:hAnsiTheme="minorHAnsi" w:cstheme="minorHAnsi"/>
        </w:rPr>
      </w:pPr>
      <w:r>
        <w:rPr>
          <w:rFonts w:asciiTheme="minorHAnsi" w:hAnsiTheme="minorHAnsi" w:cstheme="minorHAnsi"/>
        </w:rPr>
        <w:tab/>
      </w:r>
      <w:r w:rsidR="00343250">
        <w:rPr>
          <w:rFonts w:asciiTheme="minorHAnsi" w:hAnsiTheme="minorHAnsi" w:cstheme="minorHAnsi"/>
        </w:rPr>
        <w:t xml:space="preserve">  + Share (Domestic)</w:t>
      </w:r>
      <w:r w:rsidR="00343250">
        <w:rPr>
          <w:rFonts w:asciiTheme="minorHAnsi" w:hAnsiTheme="minorHAnsi" w:cstheme="minorHAnsi"/>
          <w:vertAlign w:val="subscript"/>
        </w:rPr>
        <w:t>t-9</w:t>
      </w:r>
      <w:r w:rsidR="00343250">
        <w:rPr>
          <w:rFonts w:asciiTheme="minorHAnsi" w:hAnsiTheme="minorHAnsi" w:cstheme="minorHAnsi"/>
        </w:rPr>
        <w:t xml:space="preserve"> *</w:t>
      </w:r>
    </w:p>
    <w:p w:rsidR="00343250" w:rsidRPr="00BC054D" w:rsidRDefault="00935CBD" w:rsidP="00343250">
      <w:pPr>
        <w:rPr>
          <w:rFonts w:asciiTheme="minorHAnsi" w:hAnsiTheme="minorHAnsi" w:cstheme="minorHAnsi"/>
        </w:rPr>
      </w:pPr>
      <w:r>
        <w:rPr>
          <w:rFonts w:asciiTheme="minorHAnsi" w:hAnsiTheme="minorHAnsi" w:cstheme="minorHAnsi"/>
        </w:rPr>
        <w:tab/>
      </w:r>
      <w:r w:rsidR="009C0051">
        <w:rPr>
          <w:rFonts w:asciiTheme="minorHAnsi" w:hAnsiTheme="minorHAnsi" w:cstheme="minorHAnsi"/>
        </w:rPr>
        <w:t>{0.0256</w:t>
      </w:r>
      <w:r w:rsidR="00343250">
        <w:rPr>
          <w:rFonts w:asciiTheme="minorHAnsi" w:hAnsiTheme="minorHAnsi" w:cstheme="minorHAnsi"/>
        </w:rPr>
        <w:t xml:space="preserve"> * Consumer Sentiment</w:t>
      </w:r>
      <w:r w:rsidR="00343250">
        <w:rPr>
          <w:rFonts w:asciiTheme="minorHAnsi" w:hAnsiTheme="minorHAnsi" w:cstheme="minorHAnsi"/>
          <w:vertAlign w:val="subscript"/>
        </w:rPr>
        <w:t>t-1</w:t>
      </w:r>
      <w:r w:rsidR="00484AFE">
        <w:rPr>
          <w:rFonts w:asciiTheme="minorHAnsi" w:hAnsiTheme="minorHAnsi" w:cstheme="minorHAnsi"/>
          <w:vertAlign w:val="subscript"/>
        </w:rPr>
        <w:t>5</w:t>
      </w:r>
      <w:r w:rsidR="00343250">
        <w:rPr>
          <w:rFonts w:asciiTheme="minorHAnsi" w:hAnsiTheme="minorHAnsi" w:cstheme="minorHAnsi"/>
        </w:rPr>
        <w:t xml:space="preserve"> </w:t>
      </w:r>
      <w:r w:rsidR="009C0051">
        <w:rPr>
          <w:rFonts w:asciiTheme="minorHAnsi" w:hAnsiTheme="minorHAnsi" w:cstheme="minorHAnsi"/>
        </w:rPr>
        <w:t>+ 0.332</w:t>
      </w:r>
      <w:r w:rsidR="00343250">
        <w:rPr>
          <w:rFonts w:asciiTheme="minorHAnsi" w:hAnsiTheme="minorHAnsi" w:cstheme="minorHAnsi"/>
        </w:rPr>
        <w:t xml:space="preserve"> * Economic Activity</w:t>
      </w:r>
      <w:r w:rsidR="00343250">
        <w:rPr>
          <w:rFonts w:asciiTheme="minorHAnsi" w:hAnsiTheme="minorHAnsi" w:cstheme="minorHAnsi"/>
          <w:vertAlign w:val="subscript"/>
        </w:rPr>
        <w:t>t-12</w:t>
      </w:r>
      <w:r w:rsidR="00343250">
        <w:rPr>
          <w:rFonts w:asciiTheme="minorHAnsi" w:hAnsiTheme="minorHAnsi" w:cstheme="minorHAnsi"/>
        </w:rPr>
        <w:t xml:space="preserve"> </w:t>
      </w:r>
    </w:p>
    <w:p w:rsidR="00343250" w:rsidRDefault="00935CBD" w:rsidP="00343250">
      <w:pPr>
        <w:rPr>
          <w:rFonts w:asciiTheme="minorHAnsi" w:hAnsiTheme="minorHAnsi" w:cstheme="minorHAnsi"/>
        </w:rPr>
      </w:pPr>
      <w:r>
        <w:rPr>
          <w:rFonts w:asciiTheme="minorHAnsi" w:hAnsiTheme="minorHAnsi" w:cstheme="minorHAnsi"/>
        </w:rPr>
        <w:tab/>
      </w:r>
      <w:r w:rsidR="009C0051">
        <w:rPr>
          <w:rFonts w:asciiTheme="minorHAnsi" w:hAnsiTheme="minorHAnsi" w:cstheme="minorHAnsi"/>
        </w:rPr>
        <w:t>(0.35)</w:t>
      </w:r>
      <w:r w:rsidR="00506C3F">
        <w:rPr>
          <w:rFonts w:asciiTheme="minorHAnsi" w:hAnsiTheme="minorHAnsi" w:cstheme="minorHAnsi"/>
        </w:rPr>
        <w:tab/>
      </w:r>
      <w:r w:rsidR="00506C3F">
        <w:rPr>
          <w:rFonts w:asciiTheme="minorHAnsi" w:hAnsiTheme="minorHAnsi" w:cstheme="minorHAnsi"/>
        </w:rPr>
        <w:tab/>
      </w:r>
      <w:r w:rsidR="00506C3F">
        <w:rPr>
          <w:rFonts w:asciiTheme="minorHAnsi" w:hAnsiTheme="minorHAnsi" w:cstheme="minorHAnsi"/>
        </w:rPr>
        <w:tab/>
      </w:r>
      <w:r w:rsidR="009C0051">
        <w:rPr>
          <w:rFonts w:asciiTheme="minorHAnsi" w:hAnsiTheme="minorHAnsi" w:cstheme="minorHAnsi"/>
        </w:rPr>
        <w:tab/>
      </w:r>
      <w:r w:rsidR="00506C3F">
        <w:rPr>
          <w:rFonts w:asciiTheme="minorHAnsi" w:hAnsiTheme="minorHAnsi" w:cstheme="minorHAnsi"/>
        </w:rPr>
        <w:t xml:space="preserve">      </w:t>
      </w:r>
      <w:r w:rsidR="009C0051">
        <w:rPr>
          <w:rFonts w:asciiTheme="minorHAnsi" w:hAnsiTheme="minorHAnsi" w:cstheme="minorHAnsi"/>
        </w:rPr>
        <w:t xml:space="preserve">    (6.09</w:t>
      </w:r>
      <w:r w:rsidR="00343250">
        <w:rPr>
          <w:rFonts w:asciiTheme="minorHAnsi" w:hAnsiTheme="minorHAnsi" w:cstheme="minorHAnsi"/>
        </w:rPr>
        <w:t>)***</w:t>
      </w:r>
    </w:p>
    <w:p w:rsidR="00BC054D" w:rsidRDefault="00BC054D">
      <w:pPr>
        <w:rPr>
          <w:rFonts w:asciiTheme="minorHAnsi" w:hAnsiTheme="minorHAnsi" w:cstheme="minorHAnsi"/>
        </w:rPr>
      </w:pPr>
    </w:p>
    <w:p w:rsidR="00343250" w:rsidRPr="00BC054D" w:rsidRDefault="00935CBD" w:rsidP="00343250">
      <w:pPr>
        <w:rPr>
          <w:rFonts w:asciiTheme="minorHAnsi" w:hAnsiTheme="minorHAnsi" w:cstheme="minorHAnsi"/>
        </w:rPr>
      </w:pPr>
      <w:r>
        <w:rPr>
          <w:rFonts w:asciiTheme="minorHAnsi" w:hAnsiTheme="minorHAnsi" w:cstheme="minorHAnsi"/>
        </w:rPr>
        <w:tab/>
      </w:r>
      <w:r w:rsidR="00EA54C0">
        <w:rPr>
          <w:rFonts w:asciiTheme="minorHAnsi" w:hAnsiTheme="minorHAnsi" w:cstheme="minorHAnsi"/>
        </w:rPr>
        <w:t>-</w:t>
      </w:r>
      <w:r>
        <w:rPr>
          <w:rFonts w:asciiTheme="minorHAnsi" w:hAnsiTheme="minorHAnsi" w:cstheme="minorHAnsi"/>
        </w:rPr>
        <w:t xml:space="preserve"> </w:t>
      </w:r>
      <w:r w:rsidR="009C0051">
        <w:rPr>
          <w:rFonts w:asciiTheme="minorHAnsi" w:hAnsiTheme="minorHAnsi" w:cstheme="minorHAnsi"/>
        </w:rPr>
        <w:t>0.270</w:t>
      </w:r>
      <w:r w:rsidR="00343250">
        <w:rPr>
          <w:rFonts w:asciiTheme="minorHAnsi" w:hAnsiTheme="minorHAnsi" w:cstheme="minorHAnsi"/>
        </w:rPr>
        <w:t xml:space="preserve">* </w:t>
      </w:r>
      <w:r w:rsidR="00506C3F">
        <w:rPr>
          <w:rFonts w:asciiTheme="minorHAnsi" w:hAnsiTheme="minorHAnsi" w:cstheme="minorHAnsi"/>
        </w:rPr>
        <w:t>Employment Expectations</w:t>
      </w:r>
      <w:r w:rsidR="00343250">
        <w:rPr>
          <w:rFonts w:asciiTheme="minorHAnsi" w:hAnsiTheme="minorHAnsi" w:cstheme="minorHAnsi"/>
          <w:vertAlign w:val="subscript"/>
        </w:rPr>
        <w:t>t-</w:t>
      </w:r>
      <w:r w:rsidR="00506C3F">
        <w:rPr>
          <w:rFonts w:asciiTheme="minorHAnsi" w:hAnsiTheme="minorHAnsi" w:cstheme="minorHAnsi"/>
          <w:vertAlign w:val="subscript"/>
        </w:rPr>
        <w:t>12</w:t>
      </w:r>
      <w:r w:rsidR="00343250">
        <w:rPr>
          <w:rFonts w:asciiTheme="minorHAnsi" w:hAnsiTheme="minorHAnsi" w:cstheme="minorHAnsi"/>
        </w:rPr>
        <w:t xml:space="preserve">  </w:t>
      </w:r>
      <w:r w:rsidR="00630158">
        <w:rPr>
          <w:rFonts w:asciiTheme="minorHAnsi" w:hAnsiTheme="minorHAnsi" w:cstheme="minorHAnsi"/>
        </w:rPr>
        <w:t>+ 0.</w:t>
      </w:r>
      <w:r w:rsidR="009C0051">
        <w:rPr>
          <w:rFonts w:asciiTheme="minorHAnsi" w:hAnsiTheme="minorHAnsi" w:cstheme="minorHAnsi"/>
        </w:rPr>
        <w:t>267</w:t>
      </w:r>
      <w:r w:rsidR="00343250">
        <w:rPr>
          <w:rFonts w:asciiTheme="minorHAnsi" w:hAnsiTheme="minorHAnsi" w:cstheme="minorHAnsi"/>
        </w:rPr>
        <w:t xml:space="preserve"> * </w:t>
      </w:r>
      <w:r w:rsidR="00630158">
        <w:rPr>
          <w:rFonts w:asciiTheme="minorHAnsi" w:hAnsiTheme="minorHAnsi" w:cstheme="minorHAnsi"/>
        </w:rPr>
        <w:t>Forward Orders</w:t>
      </w:r>
      <w:r w:rsidR="00343250">
        <w:rPr>
          <w:rFonts w:asciiTheme="minorHAnsi" w:hAnsiTheme="minorHAnsi" w:cstheme="minorHAnsi"/>
          <w:vertAlign w:val="subscript"/>
        </w:rPr>
        <w:t>t-1</w:t>
      </w:r>
      <w:r w:rsidR="00484AFE">
        <w:rPr>
          <w:rFonts w:asciiTheme="minorHAnsi" w:hAnsiTheme="minorHAnsi" w:cstheme="minorHAnsi"/>
          <w:vertAlign w:val="subscript"/>
        </w:rPr>
        <w:t>5</w:t>
      </w:r>
      <w:r w:rsidR="00506C3F">
        <w:rPr>
          <w:rFonts w:asciiTheme="minorHAnsi" w:hAnsiTheme="minorHAnsi" w:cstheme="minorHAnsi"/>
        </w:rPr>
        <w:t>}</w:t>
      </w:r>
      <w:r>
        <w:rPr>
          <w:rFonts w:asciiTheme="minorHAnsi" w:hAnsiTheme="minorHAnsi" w:cstheme="minorHAnsi"/>
        </w:rPr>
        <w:t xml:space="preserve">         (4)</w:t>
      </w:r>
    </w:p>
    <w:p w:rsidR="00343250" w:rsidRDefault="00935CBD" w:rsidP="00343250">
      <w:pPr>
        <w:rPr>
          <w:rFonts w:asciiTheme="minorHAnsi" w:hAnsiTheme="minorHAnsi" w:cstheme="minorHAnsi"/>
        </w:rPr>
      </w:pPr>
      <w:r>
        <w:rPr>
          <w:rFonts w:asciiTheme="minorHAnsi" w:hAnsiTheme="minorHAnsi" w:cstheme="minorHAnsi"/>
        </w:rPr>
        <w:tab/>
      </w:r>
      <w:r w:rsidR="00630158">
        <w:rPr>
          <w:rFonts w:asciiTheme="minorHAnsi" w:hAnsiTheme="minorHAnsi" w:cstheme="minorHAnsi"/>
        </w:rPr>
        <w:t>(</w:t>
      </w:r>
      <w:r w:rsidR="009C0051">
        <w:rPr>
          <w:rFonts w:asciiTheme="minorHAnsi" w:hAnsiTheme="minorHAnsi" w:cstheme="minorHAnsi"/>
        </w:rPr>
        <w:t>-3.51</w:t>
      </w:r>
      <w:r w:rsidR="00343250">
        <w:rPr>
          <w:rFonts w:asciiTheme="minorHAnsi" w:hAnsiTheme="minorHAnsi" w:cstheme="minorHAnsi"/>
        </w:rPr>
        <w:t>)**</w:t>
      </w:r>
      <w:r w:rsidR="00630158">
        <w:rPr>
          <w:rFonts w:asciiTheme="minorHAnsi" w:hAnsiTheme="minorHAnsi" w:cstheme="minorHAnsi"/>
        </w:rPr>
        <w:tab/>
      </w:r>
      <w:r w:rsidR="00630158">
        <w:rPr>
          <w:rFonts w:asciiTheme="minorHAnsi" w:hAnsiTheme="minorHAnsi" w:cstheme="minorHAnsi"/>
        </w:rPr>
        <w:tab/>
      </w:r>
      <w:r w:rsidR="00630158">
        <w:rPr>
          <w:rFonts w:asciiTheme="minorHAnsi" w:hAnsiTheme="minorHAnsi" w:cstheme="minorHAnsi"/>
        </w:rPr>
        <w:tab/>
      </w:r>
      <w:r w:rsidR="009C0051">
        <w:rPr>
          <w:rFonts w:asciiTheme="minorHAnsi" w:hAnsiTheme="minorHAnsi" w:cstheme="minorHAnsi"/>
        </w:rPr>
        <w:tab/>
        <w:t xml:space="preserve">      (4.24</w:t>
      </w:r>
      <w:r w:rsidR="00EA54C0">
        <w:rPr>
          <w:rFonts w:asciiTheme="minorHAnsi" w:hAnsiTheme="minorHAnsi" w:cstheme="minorHAnsi"/>
        </w:rPr>
        <w:t>)</w:t>
      </w:r>
      <w:r w:rsidR="009C0051">
        <w:rPr>
          <w:rFonts w:asciiTheme="minorHAnsi" w:hAnsiTheme="minorHAnsi" w:cstheme="minorHAnsi"/>
        </w:rPr>
        <w:t>***</w:t>
      </w:r>
    </w:p>
    <w:p w:rsidR="00343250" w:rsidRDefault="00343250" w:rsidP="00343250">
      <w:pPr>
        <w:rPr>
          <w:rFonts w:asciiTheme="minorHAnsi" w:hAnsiTheme="minorHAnsi" w:cstheme="minorHAnsi"/>
        </w:rPr>
      </w:pPr>
    </w:p>
    <w:p w:rsidR="006446F6" w:rsidRDefault="006446F6" w:rsidP="00343250">
      <w:pPr>
        <w:rPr>
          <w:rFonts w:asciiTheme="minorHAnsi" w:hAnsiTheme="minorHAnsi" w:cstheme="minorHAnsi"/>
        </w:rPr>
      </w:pPr>
      <w:r>
        <w:rPr>
          <w:rFonts w:asciiTheme="minorHAnsi" w:hAnsiTheme="minorHAnsi" w:cstheme="minorHAnsi"/>
        </w:rPr>
        <w:t>Adju</w:t>
      </w:r>
      <w:r w:rsidR="005D3665">
        <w:rPr>
          <w:rFonts w:asciiTheme="minorHAnsi" w:hAnsiTheme="minorHAnsi" w:cstheme="minorHAnsi"/>
        </w:rPr>
        <w:t>sted R-squared statistic =</w:t>
      </w:r>
      <w:r w:rsidR="009C0051">
        <w:rPr>
          <w:rFonts w:asciiTheme="minorHAnsi" w:hAnsiTheme="minorHAnsi" w:cstheme="minorHAnsi"/>
        </w:rPr>
        <w:t xml:space="preserve"> 0.537</w:t>
      </w:r>
      <w:r>
        <w:rPr>
          <w:rFonts w:asciiTheme="minorHAnsi" w:hAnsiTheme="minorHAnsi" w:cstheme="minorHAnsi"/>
        </w:rPr>
        <w:t>;</w:t>
      </w:r>
      <w:r w:rsidR="009C0051">
        <w:rPr>
          <w:rFonts w:asciiTheme="minorHAnsi" w:hAnsiTheme="minorHAnsi" w:cstheme="minorHAnsi"/>
        </w:rPr>
        <w:t xml:space="preserve"> Durbin-Watson statistic = 0.06</w:t>
      </w:r>
      <w:r>
        <w:rPr>
          <w:rFonts w:asciiTheme="minorHAnsi" w:hAnsiTheme="minorHAnsi" w:cstheme="minorHAnsi"/>
        </w:rPr>
        <w:t xml:space="preserve"> </w:t>
      </w:r>
      <w:r w:rsidR="00397353">
        <w:rPr>
          <w:rFonts w:asciiTheme="minorHAnsi" w:hAnsiTheme="minorHAnsi" w:cstheme="minorHAnsi"/>
        </w:rPr>
        <w:t>[0.000, 0.000]</w:t>
      </w:r>
    </w:p>
    <w:p w:rsidR="006446F6" w:rsidRDefault="006446F6" w:rsidP="00343250">
      <w:pPr>
        <w:rPr>
          <w:rFonts w:asciiTheme="minorHAnsi" w:hAnsiTheme="minorHAnsi" w:cstheme="minorHAnsi"/>
        </w:rPr>
      </w:pPr>
      <w:r>
        <w:rPr>
          <w:rFonts w:asciiTheme="minorHAnsi" w:hAnsiTheme="minorHAnsi" w:cstheme="minorHAnsi"/>
        </w:rPr>
        <w:t xml:space="preserve">Lagrange Multiplier Heteroscedasticity statistic = </w:t>
      </w:r>
      <w:r w:rsidR="009C0051">
        <w:rPr>
          <w:rFonts w:asciiTheme="minorHAnsi" w:hAnsiTheme="minorHAnsi" w:cstheme="minorHAnsi"/>
        </w:rPr>
        <w:t>58.5</w:t>
      </w:r>
      <w:r w:rsidR="005D3665">
        <w:rPr>
          <w:rFonts w:asciiTheme="minorHAnsi" w:hAnsiTheme="minorHAnsi" w:cstheme="minorHAnsi"/>
        </w:rPr>
        <w:t xml:space="preserve"> [0.000</w:t>
      </w:r>
      <w:r w:rsidR="00397353">
        <w:rPr>
          <w:rFonts w:asciiTheme="minorHAnsi" w:hAnsiTheme="minorHAnsi" w:cstheme="minorHAnsi"/>
        </w:rPr>
        <w:t>]</w:t>
      </w:r>
    </w:p>
    <w:p w:rsidR="006446F6" w:rsidRDefault="006446F6" w:rsidP="00343250">
      <w:pPr>
        <w:rPr>
          <w:rFonts w:asciiTheme="minorHAnsi" w:hAnsiTheme="minorHAnsi" w:cstheme="minorHAnsi"/>
        </w:rPr>
      </w:pPr>
    </w:p>
    <w:p w:rsidR="00BC054D" w:rsidRDefault="006446F6">
      <w:pPr>
        <w:rPr>
          <w:rFonts w:asciiTheme="minorHAnsi" w:hAnsiTheme="minorHAnsi" w:cstheme="minorHAnsi"/>
        </w:rPr>
      </w:pPr>
      <w:r>
        <w:rPr>
          <w:rFonts w:asciiTheme="minorHAnsi" w:hAnsiTheme="minorHAnsi" w:cstheme="minorHAnsi"/>
        </w:rPr>
        <w:t>Where:</w:t>
      </w:r>
    </w:p>
    <w:p w:rsidR="00BC054D" w:rsidRDefault="00BC054D">
      <w:pPr>
        <w:rPr>
          <w:rFonts w:asciiTheme="minorHAnsi" w:hAnsiTheme="minorHAnsi" w:cstheme="minorHAnsi"/>
        </w:rPr>
      </w:pPr>
    </w:p>
    <w:p w:rsidR="006446F6" w:rsidRDefault="006446F6">
      <w:pPr>
        <w:rPr>
          <w:rFonts w:asciiTheme="minorHAnsi" w:hAnsiTheme="minorHAnsi" w:cstheme="minorHAnsi"/>
        </w:rPr>
      </w:pPr>
      <w:r w:rsidRPr="006446F6">
        <w:rPr>
          <w:rFonts w:asciiTheme="minorHAnsi" w:hAnsiTheme="minorHAnsi" w:cstheme="minorHAnsi"/>
          <w:i/>
        </w:rPr>
        <w:t>Employment</w:t>
      </w:r>
      <w:r w:rsidRPr="006446F6">
        <w:rPr>
          <w:rFonts w:asciiTheme="minorHAnsi" w:hAnsiTheme="minorHAnsi" w:cstheme="minorHAnsi"/>
          <w:i/>
          <w:vertAlign w:val="subscript"/>
        </w:rPr>
        <w:t>t</w:t>
      </w:r>
      <w:r>
        <w:rPr>
          <w:rFonts w:asciiTheme="minorHAnsi" w:hAnsiTheme="minorHAnsi" w:cstheme="minorHAnsi"/>
        </w:rPr>
        <w:t xml:space="preserve"> is the cyclical component of total employment.</w:t>
      </w:r>
    </w:p>
    <w:p w:rsidR="006446F6" w:rsidRDefault="006446F6">
      <w:pPr>
        <w:rPr>
          <w:rFonts w:asciiTheme="minorHAnsi" w:hAnsiTheme="minorHAnsi" w:cstheme="minorHAnsi"/>
        </w:rPr>
      </w:pPr>
      <w:r w:rsidRPr="006446F6">
        <w:rPr>
          <w:rFonts w:asciiTheme="minorHAnsi" w:hAnsiTheme="minorHAnsi" w:cstheme="minorHAnsi"/>
          <w:i/>
        </w:rPr>
        <w:t>Share (DAEs)</w:t>
      </w:r>
      <w:r w:rsidRPr="006446F6">
        <w:rPr>
          <w:rFonts w:asciiTheme="minorHAnsi" w:hAnsiTheme="minorHAnsi" w:cstheme="minorHAnsi"/>
          <w:i/>
          <w:vertAlign w:val="subscript"/>
        </w:rPr>
        <w:t>t-9</w:t>
      </w:r>
      <w:r>
        <w:rPr>
          <w:rFonts w:asciiTheme="minorHAnsi" w:hAnsiTheme="minorHAnsi" w:cstheme="minorHAnsi"/>
        </w:rPr>
        <w:t xml:space="preserve"> is the share of Australian Exports of Goods and Services to Dynamic Asian Economies in Australian nominal GDP, lagged 9 months.</w:t>
      </w:r>
    </w:p>
    <w:p w:rsidR="006446F6" w:rsidRPr="006446F6" w:rsidRDefault="006446F6">
      <w:pPr>
        <w:rPr>
          <w:rFonts w:asciiTheme="minorHAnsi" w:hAnsiTheme="minorHAnsi" w:cstheme="minorHAnsi"/>
        </w:rPr>
      </w:pPr>
      <w:r w:rsidRPr="006446F6">
        <w:rPr>
          <w:rFonts w:asciiTheme="minorHAnsi" w:hAnsiTheme="minorHAnsi" w:cstheme="minorHAnsi"/>
          <w:i/>
        </w:rPr>
        <w:t>Chinese Electricity Production</w:t>
      </w:r>
      <w:r w:rsidRPr="006446F6">
        <w:rPr>
          <w:rFonts w:asciiTheme="minorHAnsi" w:hAnsiTheme="minorHAnsi" w:cstheme="minorHAnsi"/>
          <w:i/>
          <w:vertAlign w:val="subscript"/>
        </w:rPr>
        <w:t>t-9</w:t>
      </w:r>
      <w:r>
        <w:rPr>
          <w:rFonts w:asciiTheme="minorHAnsi" w:hAnsiTheme="minorHAnsi" w:cstheme="minorHAnsi"/>
        </w:rPr>
        <w:t xml:space="preserve"> is the cyclical component of </w:t>
      </w:r>
      <w:r w:rsidRPr="00BC054D">
        <w:rPr>
          <w:rFonts w:asciiTheme="minorHAnsi" w:hAnsiTheme="minorHAnsi" w:cstheme="minorHAnsi"/>
        </w:rPr>
        <w:t>Chinese Electricity Productio</w:t>
      </w:r>
      <w:r>
        <w:rPr>
          <w:rFonts w:asciiTheme="minorHAnsi" w:hAnsiTheme="minorHAnsi" w:cstheme="minorHAnsi"/>
        </w:rPr>
        <w:t xml:space="preserve">n, lagged 9 months.     </w:t>
      </w:r>
    </w:p>
    <w:p w:rsidR="00BC054D" w:rsidRDefault="006446F6">
      <w:pPr>
        <w:rPr>
          <w:rFonts w:asciiTheme="minorHAnsi" w:hAnsiTheme="minorHAnsi" w:cstheme="minorHAnsi"/>
        </w:rPr>
      </w:pPr>
      <w:r w:rsidRPr="006446F6">
        <w:rPr>
          <w:rFonts w:asciiTheme="minorHAnsi" w:hAnsiTheme="minorHAnsi" w:cstheme="minorHAnsi"/>
          <w:i/>
        </w:rPr>
        <w:t>Share (DCs)</w:t>
      </w:r>
      <w:r w:rsidRPr="006446F6">
        <w:rPr>
          <w:rFonts w:asciiTheme="minorHAnsi" w:hAnsiTheme="minorHAnsi" w:cstheme="minorHAnsi"/>
          <w:i/>
          <w:vertAlign w:val="subscript"/>
        </w:rPr>
        <w:t>t-9</w:t>
      </w:r>
      <w:r>
        <w:rPr>
          <w:rFonts w:asciiTheme="minorHAnsi" w:hAnsiTheme="minorHAnsi" w:cstheme="minorHAnsi"/>
        </w:rPr>
        <w:t xml:space="preserve"> is the share of Australian Exports of Goods and Services to Developed Main Trading Partner Countries in Australian nominal GDP, lagged 9 months.</w:t>
      </w:r>
    </w:p>
    <w:p w:rsidR="006446F6" w:rsidRDefault="006446F6">
      <w:pPr>
        <w:rPr>
          <w:rFonts w:asciiTheme="minorHAnsi" w:hAnsiTheme="minorHAnsi" w:cstheme="minorHAnsi"/>
        </w:rPr>
      </w:pPr>
      <w:r w:rsidRPr="006446F6">
        <w:rPr>
          <w:rFonts w:asciiTheme="minorHAnsi" w:hAnsiTheme="minorHAnsi" w:cstheme="minorHAnsi"/>
          <w:i/>
        </w:rPr>
        <w:t>US Yield Difference</w:t>
      </w:r>
      <w:r w:rsidRPr="006446F6">
        <w:rPr>
          <w:rFonts w:asciiTheme="minorHAnsi" w:hAnsiTheme="minorHAnsi" w:cstheme="minorHAnsi"/>
          <w:i/>
          <w:vertAlign w:val="subscript"/>
        </w:rPr>
        <w:t>t-3</w:t>
      </w:r>
      <w:r w:rsidR="009C0051">
        <w:rPr>
          <w:rFonts w:asciiTheme="minorHAnsi" w:hAnsiTheme="minorHAnsi" w:cstheme="minorHAnsi"/>
          <w:i/>
          <w:vertAlign w:val="subscript"/>
        </w:rPr>
        <w:t>9</w:t>
      </w:r>
      <w:r>
        <w:rPr>
          <w:rFonts w:asciiTheme="minorHAnsi" w:hAnsiTheme="minorHAnsi" w:cstheme="minorHAnsi"/>
        </w:rPr>
        <w:t xml:space="preserve"> is the cyclical component of th</w:t>
      </w:r>
      <w:r w:rsidR="009C0051">
        <w:rPr>
          <w:rFonts w:asciiTheme="minorHAnsi" w:hAnsiTheme="minorHAnsi" w:cstheme="minorHAnsi"/>
        </w:rPr>
        <w:t>e US Yield Difference, lagged 39</w:t>
      </w:r>
      <w:r>
        <w:rPr>
          <w:rFonts w:asciiTheme="minorHAnsi" w:hAnsiTheme="minorHAnsi" w:cstheme="minorHAnsi"/>
        </w:rPr>
        <w:t xml:space="preserve"> months.      </w:t>
      </w:r>
    </w:p>
    <w:p w:rsidR="006446F6" w:rsidRDefault="006446F6">
      <w:pPr>
        <w:rPr>
          <w:rFonts w:asciiTheme="minorHAnsi" w:hAnsiTheme="minorHAnsi" w:cstheme="minorHAnsi"/>
        </w:rPr>
      </w:pPr>
      <w:r w:rsidRPr="00506C3F">
        <w:rPr>
          <w:rFonts w:asciiTheme="minorHAnsi" w:hAnsiTheme="minorHAnsi" w:cstheme="minorHAnsi"/>
          <w:i/>
        </w:rPr>
        <w:t>Share (Domestic)</w:t>
      </w:r>
      <w:r w:rsidRPr="00506C3F">
        <w:rPr>
          <w:rFonts w:asciiTheme="minorHAnsi" w:hAnsiTheme="minorHAnsi" w:cstheme="minorHAnsi"/>
          <w:i/>
          <w:vertAlign w:val="subscript"/>
        </w:rPr>
        <w:t>t-9</w:t>
      </w:r>
      <w:r>
        <w:rPr>
          <w:rFonts w:asciiTheme="minorHAnsi" w:hAnsiTheme="minorHAnsi" w:cstheme="minorHAnsi"/>
        </w:rPr>
        <w:t xml:space="preserve"> is a proxy for the share of domestic production in Australian nominal GDP, lagged 9 months.</w:t>
      </w:r>
    </w:p>
    <w:p w:rsidR="006446F6" w:rsidRPr="005D3665" w:rsidRDefault="00506C3F">
      <w:pPr>
        <w:rPr>
          <w:rFonts w:asciiTheme="minorHAnsi" w:hAnsiTheme="minorHAnsi" w:cstheme="minorHAnsi"/>
        </w:rPr>
      </w:pPr>
      <w:r w:rsidRPr="00506C3F">
        <w:rPr>
          <w:rFonts w:asciiTheme="minorHAnsi" w:hAnsiTheme="minorHAnsi" w:cstheme="minorHAnsi"/>
          <w:i/>
        </w:rPr>
        <w:t>Consumer Sentiment</w:t>
      </w:r>
      <w:r w:rsidRPr="00506C3F">
        <w:rPr>
          <w:rFonts w:asciiTheme="minorHAnsi" w:hAnsiTheme="minorHAnsi" w:cstheme="minorHAnsi"/>
          <w:i/>
          <w:vertAlign w:val="subscript"/>
        </w:rPr>
        <w:t>t-1</w:t>
      </w:r>
      <w:r w:rsidR="009C0051">
        <w:rPr>
          <w:rFonts w:asciiTheme="minorHAnsi" w:hAnsiTheme="minorHAnsi" w:cstheme="minorHAnsi"/>
          <w:i/>
          <w:vertAlign w:val="subscript"/>
        </w:rPr>
        <w:t>5</w:t>
      </w:r>
      <w:r w:rsidRPr="00506C3F">
        <w:rPr>
          <w:rFonts w:asciiTheme="minorHAnsi" w:hAnsiTheme="minorHAnsi" w:cstheme="minorHAnsi"/>
          <w:i/>
        </w:rPr>
        <w:t xml:space="preserve"> </w:t>
      </w:r>
      <w:r w:rsidR="005D3665">
        <w:rPr>
          <w:rFonts w:asciiTheme="minorHAnsi" w:hAnsiTheme="minorHAnsi" w:cstheme="minorHAnsi"/>
        </w:rPr>
        <w:t xml:space="preserve">is the cyclical component of the </w:t>
      </w:r>
      <w:r w:rsidR="005D3665" w:rsidRPr="00814E38">
        <w:rPr>
          <w:rFonts w:ascii="Calibri" w:hAnsi="Calibri" w:cs="Calibri"/>
          <w:color w:val="000000" w:themeColor="text1"/>
        </w:rPr>
        <w:t xml:space="preserve">Westpac-Melbourne Institute </w:t>
      </w:r>
      <w:r w:rsidR="005D3665">
        <w:rPr>
          <w:rFonts w:ascii="Calibri" w:hAnsi="Calibri" w:cs="Calibri"/>
          <w:color w:val="000000" w:themeColor="text1"/>
        </w:rPr>
        <w:t>Consumer Sentiment</w:t>
      </w:r>
      <w:r w:rsidR="005D3665" w:rsidRPr="00814E38">
        <w:rPr>
          <w:rFonts w:ascii="Calibri" w:hAnsi="Calibri" w:cs="Calibri"/>
          <w:color w:val="000000" w:themeColor="text1"/>
        </w:rPr>
        <w:t xml:space="preserve"> Index</w:t>
      </w:r>
      <w:r w:rsidR="005D3665">
        <w:rPr>
          <w:rFonts w:asciiTheme="minorHAnsi" w:hAnsiTheme="minorHAnsi" w:cstheme="minorHAnsi"/>
        </w:rPr>
        <w:t>, lagged 1</w:t>
      </w:r>
      <w:r w:rsidR="009C0051">
        <w:rPr>
          <w:rFonts w:asciiTheme="minorHAnsi" w:hAnsiTheme="minorHAnsi" w:cstheme="minorHAnsi"/>
        </w:rPr>
        <w:t>5</w:t>
      </w:r>
      <w:r w:rsidR="005D3665">
        <w:rPr>
          <w:rFonts w:asciiTheme="minorHAnsi" w:hAnsiTheme="minorHAnsi" w:cstheme="minorHAnsi"/>
        </w:rPr>
        <w:t xml:space="preserve"> months.  </w:t>
      </w:r>
      <w:r w:rsidRPr="005D3665">
        <w:rPr>
          <w:rFonts w:asciiTheme="minorHAnsi" w:hAnsiTheme="minorHAnsi" w:cstheme="minorHAnsi"/>
        </w:rPr>
        <w:t xml:space="preserve">   </w:t>
      </w:r>
    </w:p>
    <w:p w:rsidR="006446F6" w:rsidRPr="006446F6" w:rsidRDefault="006446F6">
      <w:pPr>
        <w:rPr>
          <w:rFonts w:asciiTheme="minorHAnsi" w:hAnsiTheme="minorHAnsi" w:cstheme="minorHAnsi"/>
        </w:rPr>
      </w:pPr>
      <w:r w:rsidRPr="005D3665">
        <w:rPr>
          <w:rFonts w:asciiTheme="minorHAnsi" w:hAnsiTheme="minorHAnsi" w:cstheme="minorHAnsi"/>
          <w:i/>
        </w:rPr>
        <w:t>Economic Activity</w:t>
      </w:r>
      <w:r w:rsidRPr="005D3665">
        <w:rPr>
          <w:rFonts w:asciiTheme="minorHAnsi" w:hAnsiTheme="minorHAnsi" w:cstheme="minorHAnsi"/>
          <w:i/>
          <w:vertAlign w:val="subscript"/>
        </w:rPr>
        <w:t>t-12</w:t>
      </w:r>
      <w:r>
        <w:rPr>
          <w:rFonts w:asciiTheme="minorHAnsi" w:hAnsiTheme="minorHAnsi" w:cstheme="minorHAnsi"/>
        </w:rPr>
        <w:t xml:space="preserve"> </w:t>
      </w:r>
      <w:r w:rsidR="005D3665">
        <w:rPr>
          <w:rFonts w:asciiTheme="minorHAnsi" w:hAnsiTheme="minorHAnsi" w:cstheme="minorHAnsi"/>
        </w:rPr>
        <w:t xml:space="preserve">is the cyclical component of the </w:t>
      </w:r>
      <w:r w:rsidR="005D3665" w:rsidRPr="00814E38">
        <w:rPr>
          <w:rFonts w:ascii="Calibri" w:hAnsi="Calibri" w:cs="Calibri"/>
          <w:color w:val="000000" w:themeColor="text1"/>
        </w:rPr>
        <w:t xml:space="preserve">Westpac-Melbourne Institute </w:t>
      </w:r>
      <w:r w:rsidR="005D3665">
        <w:rPr>
          <w:rFonts w:ascii="Calibri" w:hAnsi="Calibri" w:cs="Calibri"/>
          <w:color w:val="000000" w:themeColor="text1"/>
        </w:rPr>
        <w:t xml:space="preserve">Leading </w:t>
      </w:r>
      <w:r w:rsidR="005D3665" w:rsidRPr="00814E38">
        <w:rPr>
          <w:rFonts w:ascii="Calibri" w:hAnsi="Calibri" w:cs="Calibri"/>
          <w:color w:val="000000" w:themeColor="text1"/>
        </w:rPr>
        <w:t>Index</w:t>
      </w:r>
      <w:r w:rsidR="005D3665">
        <w:rPr>
          <w:rFonts w:ascii="Calibri" w:hAnsi="Calibri" w:cs="Calibri"/>
          <w:color w:val="000000" w:themeColor="text1"/>
        </w:rPr>
        <w:t xml:space="preserve"> of </w:t>
      </w:r>
      <w:r w:rsidR="005D3665">
        <w:rPr>
          <w:rFonts w:asciiTheme="minorHAnsi" w:hAnsiTheme="minorHAnsi" w:cstheme="minorHAnsi"/>
        </w:rPr>
        <w:t xml:space="preserve">Economic Activity, lagged 12 months.  </w:t>
      </w:r>
      <w:r w:rsidR="005D3665" w:rsidRPr="005D3665">
        <w:rPr>
          <w:rFonts w:asciiTheme="minorHAnsi" w:hAnsiTheme="minorHAnsi" w:cstheme="minorHAnsi"/>
        </w:rPr>
        <w:t xml:space="preserve">   </w:t>
      </w:r>
      <w:r>
        <w:rPr>
          <w:rFonts w:asciiTheme="minorHAnsi" w:hAnsiTheme="minorHAnsi" w:cstheme="minorHAnsi"/>
        </w:rPr>
        <w:t xml:space="preserve">    </w:t>
      </w:r>
    </w:p>
    <w:p w:rsidR="00EB47B2" w:rsidRPr="006446F6" w:rsidRDefault="00EB47B2" w:rsidP="00EB47B2">
      <w:pPr>
        <w:rPr>
          <w:rFonts w:asciiTheme="minorHAnsi" w:hAnsiTheme="minorHAnsi" w:cstheme="minorHAnsi"/>
        </w:rPr>
      </w:pPr>
      <w:r w:rsidRPr="00EB47B2">
        <w:rPr>
          <w:rFonts w:asciiTheme="minorHAnsi" w:hAnsiTheme="minorHAnsi" w:cstheme="minorHAnsi"/>
          <w:i/>
        </w:rPr>
        <w:t>Employment Expectations</w:t>
      </w:r>
      <w:r w:rsidRPr="00EB47B2">
        <w:rPr>
          <w:rFonts w:asciiTheme="minorHAnsi" w:hAnsiTheme="minorHAnsi" w:cstheme="minorHAnsi"/>
          <w:i/>
          <w:vertAlign w:val="subscript"/>
        </w:rPr>
        <w:t>t</w:t>
      </w:r>
      <w:r w:rsidRPr="005D3665">
        <w:rPr>
          <w:rFonts w:asciiTheme="minorHAnsi" w:hAnsiTheme="minorHAnsi" w:cstheme="minorHAnsi"/>
          <w:i/>
          <w:vertAlign w:val="subscript"/>
        </w:rPr>
        <w:t xml:space="preserve"> -12</w:t>
      </w:r>
      <w:r>
        <w:rPr>
          <w:rFonts w:asciiTheme="minorHAnsi" w:hAnsiTheme="minorHAnsi" w:cstheme="minorHAnsi"/>
        </w:rPr>
        <w:t xml:space="preserve"> is the cyclical component of the </w:t>
      </w:r>
      <w:r w:rsidRPr="00814E38">
        <w:rPr>
          <w:rFonts w:ascii="Calibri" w:hAnsi="Calibri" w:cs="Calibri"/>
          <w:color w:val="000000" w:themeColor="text1"/>
        </w:rPr>
        <w:t xml:space="preserve">Dun &amp; Bradstreet Employment </w:t>
      </w:r>
      <w:r w:rsidR="00B9584F">
        <w:rPr>
          <w:rFonts w:ascii="Calibri" w:hAnsi="Calibri" w:cs="Calibri"/>
          <w:color w:val="000000" w:themeColor="text1"/>
        </w:rPr>
        <w:t>Outlook</w:t>
      </w:r>
      <w:r w:rsidRPr="00814E38">
        <w:rPr>
          <w:rFonts w:ascii="Calibri" w:hAnsi="Calibri" w:cs="Calibri"/>
          <w:color w:val="000000" w:themeColor="text1"/>
        </w:rPr>
        <w:t xml:space="preserve"> Index</w:t>
      </w:r>
      <w:r>
        <w:rPr>
          <w:rFonts w:asciiTheme="minorHAnsi" w:hAnsiTheme="minorHAnsi" w:cstheme="minorHAnsi"/>
        </w:rPr>
        <w:t xml:space="preserve">, lagged 12 months.  </w:t>
      </w:r>
      <w:r w:rsidRPr="005D3665">
        <w:rPr>
          <w:rFonts w:asciiTheme="minorHAnsi" w:hAnsiTheme="minorHAnsi" w:cstheme="minorHAnsi"/>
        </w:rPr>
        <w:t xml:space="preserve">   </w:t>
      </w:r>
      <w:r>
        <w:rPr>
          <w:rFonts w:asciiTheme="minorHAnsi" w:hAnsiTheme="minorHAnsi" w:cstheme="minorHAnsi"/>
        </w:rPr>
        <w:t xml:space="preserve">    </w:t>
      </w:r>
    </w:p>
    <w:p w:rsidR="00EB47B2" w:rsidRPr="006446F6" w:rsidRDefault="00EB47B2" w:rsidP="00EB47B2">
      <w:pPr>
        <w:rPr>
          <w:rFonts w:asciiTheme="minorHAnsi" w:hAnsiTheme="minorHAnsi" w:cstheme="minorHAnsi"/>
        </w:rPr>
      </w:pPr>
      <w:r w:rsidRPr="00EB47B2">
        <w:rPr>
          <w:rFonts w:asciiTheme="minorHAnsi" w:hAnsiTheme="minorHAnsi" w:cstheme="minorHAnsi"/>
          <w:i/>
        </w:rPr>
        <w:lastRenderedPageBreak/>
        <w:t>Forward Orders</w:t>
      </w:r>
      <w:r w:rsidRPr="00EB47B2">
        <w:rPr>
          <w:rFonts w:asciiTheme="minorHAnsi" w:hAnsiTheme="minorHAnsi" w:cstheme="minorHAnsi"/>
          <w:i/>
          <w:vertAlign w:val="subscript"/>
        </w:rPr>
        <w:t>t</w:t>
      </w:r>
      <w:r w:rsidRPr="005D3665">
        <w:rPr>
          <w:rFonts w:asciiTheme="minorHAnsi" w:hAnsiTheme="minorHAnsi" w:cstheme="minorHAnsi"/>
          <w:i/>
          <w:vertAlign w:val="subscript"/>
        </w:rPr>
        <w:t xml:space="preserve"> -1</w:t>
      </w:r>
      <w:r w:rsidR="009C0051">
        <w:rPr>
          <w:rFonts w:asciiTheme="minorHAnsi" w:hAnsiTheme="minorHAnsi" w:cstheme="minorHAnsi"/>
          <w:i/>
          <w:vertAlign w:val="subscript"/>
        </w:rPr>
        <w:t>5</w:t>
      </w:r>
      <w:r>
        <w:rPr>
          <w:rFonts w:asciiTheme="minorHAnsi" w:hAnsiTheme="minorHAnsi" w:cstheme="minorHAnsi"/>
        </w:rPr>
        <w:t xml:space="preserve"> is the cyclical component of the </w:t>
      </w:r>
      <w:r w:rsidRPr="00814E38">
        <w:rPr>
          <w:rFonts w:asciiTheme="minorHAnsi" w:hAnsiTheme="minorHAnsi" w:cstheme="minorHAnsi"/>
        </w:rPr>
        <w:t>NAB Forward Orders Index</w:t>
      </w:r>
      <w:r w:rsidR="009C0051">
        <w:rPr>
          <w:rFonts w:asciiTheme="minorHAnsi" w:hAnsiTheme="minorHAnsi" w:cstheme="minorHAnsi"/>
        </w:rPr>
        <w:t>, lagged 15</w:t>
      </w:r>
      <w:r>
        <w:rPr>
          <w:rFonts w:asciiTheme="minorHAnsi" w:hAnsiTheme="minorHAnsi" w:cstheme="minorHAnsi"/>
        </w:rPr>
        <w:t xml:space="preserve"> months.  </w:t>
      </w:r>
      <w:r w:rsidRPr="005D3665">
        <w:rPr>
          <w:rFonts w:asciiTheme="minorHAnsi" w:hAnsiTheme="minorHAnsi" w:cstheme="minorHAnsi"/>
        </w:rPr>
        <w:t xml:space="preserve">   </w:t>
      </w:r>
      <w:r>
        <w:rPr>
          <w:rFonts w:asciiTheme="minorHAnsi" w:hAnsiTheme="minorHAnsi" w:cstheme="minorHAnsi"/>
        </w:rPr>
        <w:t xml:space="preserve">    </w:t>
      </w:r>
    </w:p>
    <w:p w:rsidR="006446F6" w:rsidRDefault="00EB47B2">
      <w:pPr>
        <w:rPr>
          <w:rFonts w:asciiTheme="minorHAnsi" w:hAnsiTheme="minorHAnsi" w:cstheme="minorHAnsi"/>
        </w:rPr>
      </w:pPr>
      <w:r>
        <w:rPr>
          <w:rFonts w:asciiTheme="minorHAnsi" w:hAnsiTheme="minorHAnsi" w:cstheme="minorHAnsi"/>
        </w:rPr>
        <w:t>The numbers in round brackets below the coefficient estimates are their t-statistics; the numbers in square brackets after the diagnostic statistics below the equation are the probabilit</w:t>
      </w:r>
      <w:r w:rsidR="00E1669D">
        <w:rPr>
          <w:rFonts w:asciiTheme="minorHAnsi" w:hAnsiTheme="minorHAnsi" w:cstheme="minorHAnsi"/>
        </w:rPr>
        <w:t>ies that the null hypothesis that the coefficient is zero would not be rejected; *** denotes statistically significant from zero at the one per cent level; ** denotes statisticall</w:t>
      </w:r>
      <w:r w:rsidR="00750D41">
        <w:rPr>
          <w:rFonts w:asciiTheme="minorHAnsi" w:hAnsiTheme="minorHAnsi" w:cstheme="minorHAnsi"/>
        </w:rPr>
        <w:t>y significant from zero at the f</w:t>
      </w:r>
      <w:r w:rsidR="00E1669D">
        <w:rPr>
          <w:rFonts w:asciiTheme="minorHAnsi" w:hAnsiTheme="minorHAnsi" w:cstheme="minorHAnsi"/>
        </w:rPr>
        <w:t>ive per cent level; and * denotes statistically significant from zero at the 10 per cent level.</w:t>
      </w:r>
    </w:p>
    <w:p w:rsidR="00EB47B2" w:rsidRDefault="00EB47B2">
      <w:pPr>
        <w:rPr>
          <w:rFonts w:asciiTheme="minorHAnsi" w:hAnsiTheme="minorHAnsi" w:cstheme="minorHAnsi"/>
        </w:rPr>
      </w:pPr>
    </w:p>
    <w:p w:rsidR="00EB47B2" w:rsidRDefault="008C1FED">
      <w:pPr>
        <w:rPr>
          <w:rFonts w:asciiTheme="minorHAnsi" w:hAnsiTheme="minorHAnsi" w:cstheme="minorHAnsi"/>
        </w:rPr>
      </w:pPr>
      <w:r>
        <w:rPr>
          <w:rFonts w:asciiTheme="minorHAnsi" w:hAnsiTheme="minorHAnsi" w:cstheme="minorHAnsi"/>
        </w:rPr>
        <w:t xml:space="preserve">The results of this equation are only moderately satisfactory. The main drawbacks are that the coefficient for the Employment Expectations Index is negative (and statistically significant) and the coefficient for the </w:t>
      </w:r>
      <w:r w:rsidR="009C0051">
        <w:rPr>
          <w:rFonts w:asciiTheme="minorHAnsi" w:hAnsiTheme="minorHAnsi" w:cstheme="minorHAnsi"/>
        </w:rPr>
        <w:t>Consumer Sentiment</w:t>
      </w:r>
      <w:r>
        <w:rPr>
          <w:rFonts w:asciiTheme="minorHAnsi" w:hAnsiTheme="minorHAnsi" w:cstheme="minorHAnsi"/>
        </w:rPr>
        <w:t xml:space="preserve"> Index is very low and not statistically significant. </w:t>
      </w:r>
    </w:p>
    <w:p w:rsidR="008C1FED" w:rsidRDefault="008C1FED">
      <w:pPr>
        <w:rPr>
          <w:rFonts w:asciiTheme="minorHAnsi" w:hAnsiTheme="minorHAnsi" w:cstheme="minorHAnsi"/>
        </w:rPr>
      </w:pPr>
    </w:p>
    <w:p w:rsidR="00A746D4" w:rsidRPr="00A746D4" w:rsidRDefault="00A746D4">
      <w:pPr>
        <w:rPr>
          <w:rFonts w:asciiTheme="minorHAnsi" w:hAnsiTheme="minorHAnsi" w:cstheme="minorHAnsi"/>
          <w:u w:val="single"/>
        </w:rPr>
      </w:pPr>
      <w:r w:rsidRPr="00A746D4">
        <w:rPr>
          <w:rFonts w:asciiTheme="minorHAnsi" w:hAnsiTheme="minorHAnsi" w:cstheme="minorHAnsi"/>
          <w:u w:val="single"/>
        </w:rPr>
        <w:t>Other Quantitative Analytical Techniques Considered</w:t>
      </w:r>
    </w:p>
    <w:p w:rsidR="00A746D4" w:rsidRDefault="00A746D4">
      <w:pPr>
        <w:rPr>
          <w:rFonts w:asciiTheme="minorHAnsi" w:hAnsiTheme="minorHAnsi" w:cstheme="minorHAnsi"/>
        </w:rPr>
      </w:pPr>
    </w:p>
    <w:p w:rsidR="00A746D4" w:rsidRDefault="00A746D4">
      <w:pPr>
        <w:rPr>
          <w:rFonts w:asciiTheme="minorHAnsi" w:hAnsiTheme="minorHAnsi" w:cstheme="minorHAnsi"/>
        </w:rPr>
      </w:pPr>
      <w:r>
        <w:rPr>
          <w:rFonts w:asciiTheme="minorHAnsi" w:hAnsiTheme="minorHAnsi" w:cstheme="minorHAnsi"/>
        </w:rPr>
        <w:t xml:space="preserve">An external reviewer of an earlier version of this paper suggested that we could consider logit or probit techiques, presumably with the peaks and/or the troughs allocated a value of one and all other observations to be allocated a value of zero, as this would enable more weighting to be allocated to whether the alternative indicators predicted peaks or troughs. </w:t>
      </w:r>
    </w:p>
    <w:p w:rsidR="00A746D4" w:rsidRDefault="00A746D4">
      <w:pPr>
        <w:rPr>
          <w:rFonts w:asciiTheme="minorHAnsi" w:hAnsiTheme="minorHAnsi" w:cstheme="minorHAnsi"/>
        </w:rPr>
      </w:pPr>
    </w:p>
    <w:p w:rsidR="00A746D4" w:rsidRDefault="00A746D4" w:rsidP="00A746D4">
      <w:pPr>
        <w:rPr>
          <w:rFonts w:asciiTheme="minorHAnsi" w:hAnsiTheme="minorHAnsi" w:cstheme="minorHAnsi"/>
        </w:rPr>
      </w:pPr>
      <w:r>
        <w:rPr>
          <w:rFonts w:asciiTheme="minorHAnsi" w:hAnsiTheme="minorHAnsi" w:cstheme="minorHAnsi"/>
        </w:rPr>
        <w:t xml:space="preserve">However, these approaches </w:t>
      </w:r>
      <w:r w:rsidRPr="00A746D4">
        <w:rPr>
          <w:rFonts w:asciiTheme="minorHAnsi" w:hAnsiTheme="minorHAnsi" w:cstheme="minorHAnsi"/>
        </w:rPr>
        <w:t>would most probably be unworkable. Limited-dependent-variable econometric methods such as logit or probit approaches were designed for, and are generally used with, unit record data where there are at least hundreds if not thousands of observations. They are highly unlikely to work successfully in deriving the weights for a new monthly leading indicator of employment, because in the sample pe</w:t>
      </w:r>
      <w:r>
        <w:rPr>
          <w:rFonts w:asciiTheme="minorHAnsi" w:hAnsiTheme="minorHAnsi" w:cstheme="minorHAnsi"/>
        </w:rPr>
        <w:t xml:space="preserve">riod used (July 1994 through </w:t>
      </w:r>
      <w:r w:rsidR="009C0051">
        <w:rPr>
          <w:rFonts w:asciiTheme="minorHAnsi" w:hAnsiTheme="minorHAnsi" w:cstheme="minorHAnsi"/>
        </w:rPr>
        <w:t>January 2011</w:t>
      </w:r>
      <w:r w:rsidRPr="00A746D4">
        <w:rPr>
          <w:rFonts w:asciiTheme="minorHAnsi" w:hAnsiTheme="minorHAnsi" w:cstheme="minorHAnsi"/>
        </w:rPr>
        <w:t xml:space="preserve">) there have only been six </w:t>
      </w:r>
      <w:r>
        <w:rPr>
          <w:rFonts w:asciiTheme="minorHAnsi" w:hAnsiTheme="minorHAnsi" w:cstheme="minorHAnsi"/>
        </w:rPr>
        <w:t>strongly confirmed peaks</w:t>
      </w:r>
      <w:r w:rsidR="003272CE">
        <w:rPr>
          <w:rStyle w:val="FootnoteReference"/>
          <w:rFonts w:asciiTheme="minorHAnsi" w:hAnsiTheme="minorHAnsi" w:cstheme="minorHAnsi"/>
          <w:sz w:val="26"/>
          <w:szCs w:val="26"/>
        </w:rPr>
        <w:footnoteReference w:id="8"/>
      </w:r>
      <w:r>
        <w:rPr>
          <w:rFonts w:asciiTheme="minorHAnsi" w:hAnsiTheme="minorHAnsi" w:cstheme="minorHAnsi"/>
        </w:rPr>
        <w:t xml:space="preserve"> and five</w:t>
      </w:r>
      <w:r w:rsidRPr="00A746D4">
        <w:rPr>
          <w:rFonts w:asciiTheme="minorHAnsi" w:hAnsiTheme="minorHAnsi" w:cstheme="minorHAnsi"/>
        </w:rPr>
        <w:t xml:space="preserve"> strongly confirmed troughs in cyclical employment</w:t>
      </w:r>
      <w:r>
        <w:rPr>
          <w:rFonts w:asciiTheme="minorHAnsi" w:hAnsiTheme="minorHAnsi" w:cstheme="minorHAnsi"/>
        </w:rPr>
        <w:t xml:space="preserve">. </w:t>
      </w:r>
      <w:r w:rsidRPr="00A746D4">
        <w:rPr>
          <w:rFonts w:asciiTheme="minorHAnsi" w:hAnsiTheme="minorHAnsi" w:cstheme="minorHAnsi"/>
        </w:rPr>
        <w:t xml:space="preserve">It would not be sensible to increase the number of non-zero observations by pooling these peaks and troughs and allocating both of them a value of one (with a value of zero assigned to an observation on cyclical employment not being a peak or trough), because this could lead to perverse results (for example, an explanatory variable that should have peaks that precede peaks in cyclical employment but has troughs at those times instead would wrongly appear to be a successful predictor of this type of dependent variable). </w:t>
      </w:r>
    </w:p>
    <w:p w:rsidR="00A746D4" w:rsidRPr="00A746D4" w:rsidRDefault="00A746D4" w:rsidP="00A746D4">
      <w:pPr>
        <w:rPr>
          <w:rFonts w:asciiTheme="minorHAnsi" w:hAnsiTheme="minorHAnsi" w:cstheme="minorHAnsi"/>
        </w:rPr>
      </w:pPr>
    </w:p>
    <w:p w:rsidR="00A746D4" w:rsidRPr="00A746D4" w:rsidRDefault="00A746D4" w:rsidP="00A746D4">
      <w:pPr>
        <w:rPr>
          <w:rFonts w:asciiTheme="minorHAnsi" w:hAnsiTheme="minorHAnsi" w:cstheme="minorHAnsi"/>
        </w:rPr>
      </w:pPr>
      <w:r w:rsidRPr="00A746D4">
        <w:rPr>
          <w:rFonts w:asciiTheme="minorHAnsi" w:hAnsiTheme="minorHAnsi" w:cstheme="minorHAnsi"/>
        </w:rPr>
        <w:t xml:space="preserve">Another complication with the proposed alternative </w:t>
      </w:r>
      <w:r>
        <w:rPr>
          <w:rFonts w:asciiTheme="minorHAnsi" w:hAnsiTheme="minorHAnsi" w:cstheme="minorHAnsi"/>
        </w:rPr>
        <w:t xml:space="preserve">limited-dependent variable </w:t>
      </w:r>
      <w:r w:rsidRPr="00A746D4">
        <w:rPr>
          <w:rFonts w:asciiTheme="minorHAnsi" w:hAnsiTheme="minorHAnsi" w:cstheme="minorHAnsi"/>
        </w:rPr>
        <w:t xml:space="preserve">approach is that it could be difficult to determine the appropriate lag lengths for </w:t>
      </w:r>
      <w:r w:rsidRPr="00A746D4">
        <w:rPr>
          <w:rFonts w:asciiTheme="minorHAnsi" w:hAnsiTheme="minorHAnsi" w:cstheme="minorHAnsi"/>
        </w:rPr>
        <w:lastRenderedPageBreak/>
        <w:t xml:space="preserve">explanatory variables. In the current approach, the initial lag lengths on the explanatory variables are determined by regression analysis using continuous variables, which is the same method used to estimate the weights for these explanatory variables. With a limited dependent variable, however, there would not be the same consistency between the method used initially to determine the lags on the variables and the method used to determine the weights for the variables. </w:t>
      </w:r>
    </w:p>
    <w:p w:rsidR="00A746D4" w:rsidRDefault="00A746D4">
      <w:pPr>
        <w:rPr>
          <w:rFonts w:asciiTheme="minorHAnsi" w:hAnsiTheme="minorHAnsi" w:cstheme="minorHAnsi"/>
        </w:rPr>
      </w:pPr>
    </w:p>
    <w:p w:rsidR="00A746D4" w:rsidRDefault="00A746D4">
      <w:pPr>
        <w:rPr>
          <w:rFonts w:asciiTheme="minorHAnsi" w:hAnsiTheme="minorHAnsi" w:cstheme="minorHAnsi"/>
        </w:rPr>
      </w:pPr>
      <w:r>
        <w:rPr>
          <w:rFonts w:asciiTheme="minorHAnsi" w:hAnsiTheme="minorHAnsi" w:cstheme="minorHAnsi"/>
        </w:rPr>
        <w:t xml:space="preserve">Another external reviewer suggested that we could take the lead of Lim and Nguyen (2013) and consider </w:t>
      </w:r>
      <w:r w:rsidR="002B7E3B">
        <w:rPr>
          <w:rFonts w:asciiTheme="minorHAnsi" w:hAnsiTheme="minorHAnsi" w:cstheme="minorHAnsi"/>
        </w:rPr>
        <w:t xml:space="preserve">inverse-variability weightings, </w:t>
      </w:r>
      <w:r>
        <w:rPr>
          <w:rFonts w:asciiTheme="minorHAnsi" w:hAnsiTheme="minorHAnsi" w:cstheme="minorHAnsi"/>
        </w:rPr>
        <w:t xml:space="preserve">principal components, </w:t>
      </w:r>
      <w:r w:rsidR="002B7E3B">
        <w:rPr>
          <w:rFonts w:asciiTheme="minorHAnsi" w:hAnsiTheme="minorHAnsi" w:cstheme="minorHAnsi"/>
        </w:rPr>
        <w:t xml:space="preserve">and dynamic factor allocation approaches. </w:t>
      </w:r>
    </w:p>
    <w:p w:rsidR="003272CE" w:rsidRDefault="003272CE">
      <w:pPr>
        <w:rPr>
          <w:rFonts w:asciiTheme="minorHAnsi" w:hAnsiTheme="minorHAnsi" w:cstheme="minorHAnsi"/>
        </w:rPr>
      </w:pPr>
    </w:p>
    <w:p w:rsidR="00A746D4" w:rsidRDefault="00F74FA4" w:rsidP="00F74FA4">
      <w:pPr>
        <w:autoSpaceDE w:val="0"/>
        <w:autoSpaceDN w:val="0"/>
        <w:adjustRightInd w:val="0"/>
        <w:rPr>
          <w:rFonts w:asciiTheme="minorHAnsi" w:hAnsiTheme="minorHAnsi" w:cstheme="minorHAnsi"/>
        </w:rPr>
      </w:pPr>
      <w:r>
        <w:rPr>
          <w:rFonts w:asciiTheme="minorHAnsi" w:hAnsiTheme="minorHAnsi" w:cstheme="minorHAnsi"/>
        </w:rPr>
        <w:t xml:space="preserve">The traditional inverse-variability approach, where the weight allocated to each component is the inverse of each component’s variability, is not relevant in this particular analysis because all of the components have been standardised (by dividing by the standard deviations of the difference between the one-year and six-year trends of the variables), so that they already have similar variability. In any case, Lim and Nguyen </w:t>
      </w:r>
      <w:r w:rsidR="00A34103">
        <w:rPr>
          <w:rFonts w:asciiTheme="minorHAnsi" w:hAnsiTheme="minorHAnsi" w:cstheme="minorHAnsi"/>
        </w:rPr>
        <w:t xml:space="preserve">(2013) </w:t>
      </w:r>
      <w:r>
        <w:rPr>
          <w:rFonts w:asciiTheme="minorHAnsi" w:hAnsiTheme="minorHAnsi" w:cstheme="minorHAnsi"/>
        </w:rPr>
        <w:t>don’t recommend this approach themselves, stating that “</w:t>
      </w:r>
      <w:r w:rsidRPr="00F74FA4">
        <w:rPr>
          <w:rFonts w:asciiTheme="minorHAnsi" w:hAnsiTheme="minorHAnsi" w:cstheme="minorHAnsi"/>
        </w:rPr>
        <w:t>The main disadvantage is that the weights of the components are</w:t>
      </w:r>
      <w:r>
        <w:rPr>
          <w:rFonts w:asciiTheme="minorHAnsi" w:hAnsiTheme="minorHAnsi" w:cstheme="minorHAnsi"/>
        </w:rPr>
        <w:t xml:space="preserve"> </w:t>
      </w:r>
      <w:r w:rsidRPr="00F74FA4">
        <w:rPr>
          <w:rFonts w:asciiTheme="minorHAnsi" w:hAnsiTheme="minorHAnsi" w:cstheme="minorHAnsi"/>
        </w:rPr>
        <w:t>computed independently of each other and without reference to the significance of the components to a</w:t>
      </w:r>
      <w:r>
        <w:rPr>
          <w:rFonts w:asciiTheme="minorHAnsi" w:hAnsiTheme="minorHAnsi" w:cstheme="minorHAnsi"/>
        </w:rPr>
        <w:t xml:space="preserve"> </w:t>
      </w:r>
      <w:r w:rsidRPr="00F74FA4">
        <w:rPr>
          <w:rFonts w:asciiTheme="minorHAnsi" w:hAnsiTheme="minorHAnsi" w:cstheme="minorHAnsi"/>
        </w:rPr>
        <w:t>reference cycle</w:t>
      </w:r>
      <w:r>
        <w:rPr>
          <w:rFonts w:asciiTheme="minorHAnsi" w:hAnsiTheme="minorHAnsi" w:cstheme="minorHAnsi"/>
        </w:rPr>
        <w:t xml:space="preserve">”. </w:t>
      </w:r>
    </w:p>
    <w:p w:rsidR="00F74FA4" w:rsidRDefault="00F74FA4">
      <w:pPr>
        <w:rPr>
          <w:rFonts w:asciiTheme="minorHAnsi" w:hAnsiTheme="minorHAnsi" w:cstheme="minorHAnsi"/>
        </w:rPr>
      </w:pPr>
    </w:p>
    <w:p w:rsidR="00A34103" w:rsidRDefault="00F74FA4">
      <w:pPr>
        <w:rPr>
          <w:rFonts w:asciiTheme="minorHAnsi" w:hAnsiTheme="minorHAnsi" w:cstheme="minorHAnsi"/>
        </w:rPr>
      </w:pPr>
      <w:r>
        <w:rPr>
          <w:rFonts w:asciiTheme="minorHAnsi" w:hAnsiTheme="minorHAnsi" w:cstheme="minorHAnsi"/>
        </w:rPr>
        <w:t xml:space="preserve">Principal components analysis was considered and ruled out. This technique can be useful if there are many highly collinear explanatory variables and one doesn’t need to retrieve the weightings of the individual components, which can be difficult if more than one principal component is chosen. In the current analysis, there were only several explanatory variables and they were not highly collinear. </w:t>
      </w:r>
      <w:r w:rsidR="00A34103">
        <w:rPr>
          <w:rFonts w:asciiTheme="minorHAnsi" w:hAnsiTheme="minorHAnsi" w:cstheme="minorHAnsi"/>
        </w:rPr>
        <w:t xml:space="preserve">The Condition(X) number for the set of six explanatory variables in equation (4) above, unweighted for trade shares, was only four, indicating very low collinearity. Also, it was considered to be very important to be able to allocate weights to the individual components and this can be complicated with principal components analysis. </w:t>
      </w:r>
    </w:p>
    <w:p w:rsidR="00A34103" w:rsidRDefault="00A34103">
      <w:pPr>
        <w:rPr>
          <w:rFonts w:asciiTheme="minorHAnsi" w:hAnsiTheme="minorHAnsi" w:cstheme="minorHAnsi"/>
        </w:rPr>
      </w:pPr>
    </w:p>
    <w:p w:rsidR="00F74FA4" w:rsidRDefault="00A34103">
      <w:pPr>
        <w:rPr>
          <w:rFonts w:asciiTheme="minorHAnsi" w:hAnsiTheme="minorHAnsi" w:cstheme="minorHAnsi"/>
        </w:rPr>
      </w:pPr>
      <w:r>
        <w:rPr>
          <w:rFonts w:asciiTheme="minorHAnsi" w:hAnsiTheme="minorHAnsi" w:cstheme="minorHAnsi"/>
        </w:rPr>
        <w:t>Dynamic factor allocation was also considered and ruled out. The theoretical framework for this approach is based on an assumption that there is a</w:t>
      </w:r>
      <w:r w:rsidRPr="00A34103">
        <w:rPr>
          <w:rFonts w:asciiTheme="minorHAnsi" w:hAnsiTheme="minorHAnsi" w:cstheme="minorHAnsi"/>
        </w:rPr>
        <w:t xml:space="preserve"> single unobserved latent variable which drives the common variation in the observed variables</w:t>
      </w:r>
      <w:r w:rsidR="00B9584F">
        <w:rPr>
          <w:rFonts w:asciiTheme="minorHAnsi" w:hAnsiTheme="minorHAnsi" w:cstheme="minorHAnsi"/>
        </w:rPr>
        <w:t xml:space="preserve">. This assumption seems quite inappropriate to the current analysis where there is considerable evidence that since the Global Recession, there have been new and different sources of variation, particularly from developments in Australia’s main trading partners such as China and the USA. In any case, the technique that Lim and Nguyen (2013) use in their dynamic factor allocation estimation is Kalman filtering, which as shown above has already been applied in this analysis. </w:t>
      </w:r>
      <w:r>
        <w:rPr>
          <w:rFonts w:asciiTheme="minorHAnsi" w:hAnsiTheme="minorHAnsi" w:cstheme="minorHAnsi"/>
        </w:rPr>
        <w:t xml:space="preserve"> </w:t>
      </w:r>
      <w:r w:rsidR="00F74FA4">
        <w:rPr>
          <w:rFonts w:asciiTheme="minorHAnsi" w:hAnsiTheme="minorHAnsi" w:cstheme="minorHAnsi"/>
        </w:rPr>
        <w:t xml:space="preserve"> </w:t>
      </w:r>
    </w:p>
    <w:p w:rsidR="00F74FA4" w:rsidRDefault="00F74FA4">
      <w:pPr>
        <w:rPr>
          <w:rFonts w:asciiTheme="minorHAnsi" w:hAnsiTheme="minorHAnsi" w:cstheme="minorHAnsi"/>
        </w:rPr>
      </w:pPr>
    </w:p>
    <w:p w:rsidR="008C1FED" w:rsidRPr="008C1FED" w:rsidRDefault="008C1FED">
      <w:pPr>
        <w:rPr>
          <w:rFonts w:asciiTheme="minorHAnsi" w:hAnsiTheme="minorHAnsi" w:cstheme="minorHAnsi"/>
          <w:u w:val="single"/>
        </w:rPr>
      </w:pPr>
      <w:r w:rsidRPr="008C1FED">
        <w:rPr>
          <w:rFonts w:asciiTheme="minorHAnsi" w:hAnsiTheme="minorHAnsi" w:cstheme="minorHAnsi"/>
          <w:u w:val="single"/>
        </w:rPr>
        <w:t>Further Regression Analysis</w:t>
      </w:r>
    </w:p>
    <w:p w:rsidR="008C1FED" w:rsidRDefault="008C1FED">
      <w:pPr>
        <w:rPr>
          <w:rFonts w:asciiTheme="minorHAnsi" w:hAnsiTheme="minorHAnsi" w:cstheme="minorHAnsi"/>
        </w:rPr>
      </w:pPr>
    </w:p>
    <w:p w:rsidR="004E06F2" w:rsidRPr="00BD1087" w:rsidRDefault="004268F6">
      <w:pPr>
        <w:rPr>
          <w:rFonts w:ascii="Calibri" w:hAnsi="Calibri" w:cs="Calibri"/>
          <w:color w:val="000000" w:themeColor="text1"/>
        </w:rPr>
      </w:pPr>
      <w:r w:rsidRPr="00BD1087">
        <w:rPr>
          <w:rFonts w:asciiTheme="minorHAnsi" w:hAnsiTheme="minorHAnsi" w:cstheme="minorHAnsi"/>
          <w:color w:val="000000" w:themeColor="text1"/>
        </w:rPr>
        <w:t>Following the unsatisfactory results from the two separate attempts to estimate time-varying parameters</w:t>
      </w:r>
      <w:r w:rsidR="004E06F2" w:rsidRPr="00BD1087">
        <w:rPr>
          <w:rFonts w:asciiTheme="minorHAnsi" w:hAnsiTheme="minorHAnsi" w:cstheme="minorHAnsi"/>
          <w:color w:val="000000" w:themeColor="text1"/>
        </w:rPr>
        <w:t xml:space="preserve">, a different approach was taken in the next stage of regression analysis. A key part of this approach was to replace the variable for Chinese electricity production with another Chinese variable; namely, the </w:t>
      </w:r>
      <w:r w:rsidR="004E06F2" w:rsidRPr="00BD1087">
        <w:rPr>
          <w:rFonts w:ascii="Calibri" w:hAnsi="Calibri" w:cs="Calibri"/>
          <w:color w:val="000000" w:themeColor="text1"/>
        </w:rPr>
        <w:t xml:space="preserve">Official </w:t>
      </w:r>
      <w:r w:rsidR="004E06F2" w:rsidRPr="00BD1087">
        <w:rPr>
          <w:rFonts w:ascii="Calibri" w:hAnsi="Calibri" w:cs="Calibri"/>
          <w:color w:val="000000" w:themeColor="text1"/>
        </w:rPr>
        <w:lastRenderedPageBreak/>
        <w:t xml:space="preserve">Purchasing Managers’ Index of Manufacturing Output in China. Since this variable is only available in recent years when China has been a major trading partner of Australia, this effectively imposes at time-varying parameter on the estimate (i.e., the parameter is zero before the variable is available) for the period when China was a less important destination for Australia’s exports. </w:t>
      </w:r>
    </w:p>
    <w:p w:rsidR="004E06F2" w:rsidRPr="00BD1087" w:rsidRDefault="004E06F2">
      <w:pPr>
        <w:rPr>
          <w:rFonts w:ascii="Calibri" w:hAnsi="Calibri" w:cs="Calibri"/>
          <w:color w:val="000000" w:themeColor="text1"/>
        </w:rPr>
      </w:pPr>
    </w:p>
    <w:p w:rsidR="004E06F2" w:rsidRPr="00BD1087" w:rsidRDefault="004E06F2">
      <w:pPr>
        <w:rPr>
          <w:rFonts w:ascii="Calibri" w:hAnsi="Calibri" w:cs="Calibri"/>
          <w:color w:val="000000" w:themeColor="text1"/>
        </w:rPr>
      </w:pPr>
      <w:r w:rsidRPr="00BD1087">
        <w:rPr>
          <w:rFonts w:ascii="Calibri" w:hAnsi="Calibri" w:cs="Calibri"/>
          <w:color w:val="000000" w:themeColor="text1"/>
        </w:rPr>
        <w:t xml:space="preserve">As mentioned in </w:t>
      </w:r>
      <w:r w:rsidRPr="00BD1087">
        <w:rPr>
          <w:rFonts w:asciiTheme="minorHAnsi" w:hAnsiTheme="minorHAnsi" w:cstheme="minorHAnsi"/>
          <w:color w:val="000000" w:themeColor="text1"/>
        </w:rPr>
        <w:t xml:space="preserve">Connolly, Law and Li (2013), both </w:t>
      </w:r>
      <w:r w:rsidR="00E255F8" w:rsidRPr="00BD1087">
        <w:rPr>
          <w:rFonts w:asciiTheme="minorHAnsi" w:hAnsiTheme="minorHAnsi" w:cstheme="minorHAnsi"/>
          <w:color w:val="000000" w:themeColor="text1"/>
        </w:rPr>
        <w:t xml:space="preserve">Chinese electricity production and the </w:t>
      </w:r>
      <w:r w:rsidR="00E255F8" w:rsidRPr="00BD1087">
        <w:rPr>
          <w:rFonts w:ascii="Calibri" w:hAnsi="Calibri" w:cs="Calibri"/>
          <w:color w:val="000000" w:themeColor="text1"/>
        </w:rPr>
        <w:t xml:space="preserve">Official Purchasing Managers’ Index of Manufacturing Output in China </w:t>
      </w:r>
      <w:r w:rsidR="00BD1087">
        <w:rPr>
          <w:rFonts w:ascii="Calibri" w:hAnsi="Calibri" w:cs="Calibri"/>
          <w:color w:val="000000" w:themeColor="text1"/>
        </w:rPr>
        <w:t>a</w:t>
      </w:r>
      <w:r w:rsidR="00E255F8" w:rsidRPr="00BD1087">
        <w:rPr>
          <w:rFonts w:ascii="Calibri" w:hAnsi="Calibri" w:cs="Calibri"/>
          <w:color w:val="000000" w:themeColor="text1"/>
        </w:rPr>
        <w:t xml:space="preserve">re </w:t>
      </w:r>
      <w:r w:rsidR="00BD1087">
        <w:rPr>
          <w:rFonts w:ascii="Calibri" w:hAnsi="Calibri" w:cs="Calibri"/>
          <w:color w:val="000000" w:themeColor="text1"/>
        </w:rPr>
        <w:t xml:space="preserve">worthy of further investigation as leading indicators of Australian employment. One of the key reasons for putting Chinese electricity production on the shortlist is that it is available for a longer time than the </w:t>
      </w:r>
      <w:r w:rsidR="00BD1087" w:rsidRPr="00BD1087">
        <w:rPr>
          <w:rFonts w:ascii="Calibri" w:hAnsi="Calibri" w:cs="Calibri"/>
          <w:color w:val="000000" w:themeColor="text1"/>
        </w:rPr>
        <w:t>Official Purchasing Managers’ Index of Manufacturing Output in China</w:t>
      </w:r>
      <w:r w:rsidR="00BD1087">
        <w:rPr>
          <w:rFonts w:ascii="Calibri" w:hAnsi="Calibri" w:cs="Calibri"/>
          <w:color w:val="000000" w:themeColor="text1"/>
        </w:rPr>
        <w:t>. However, the latter variable has a better performance over the last five years than the former variable as a leading indicator of Australian employment.</w:t>
      </w:r>
    </w:p>
    <w:p w:rsidR="004E06F2" w:rsidRPr="00BD1087" w:rsidRDefault="004E06F2">
      <w:pPr>
        <w:rPr>
          <w:rFonts w:ascii="Calibri" w:hAnsi="Calibri" w:cs="Calibri"/>
          <w:color w:val="000000" w:themeColor="text1"/>
        </w:rPr>
      </w:pPr>
    </w:p>
    <w:p w:rsidR="009C2CB6" w:rsidRDefault="00BD1087">
      <w:pPr>
        <w:rPr>
          <w:rFonts w:ascii="Calibri" w:hAnsi="Calibri" w:cs="Calibri"/>
          <w:color w:val="000000" w:themeColor="text1"/>
        </w:rPr>
      </w:pPr>
      <w:r>
        <w:rPr>
          <w:rFonts w:ascii="Calibri" w:hAnsi="Calibri" w:cs="Calibri"/>
          <w:color w:val="000000" w:themeColor="text1"/>
        </w:rPr>
        <w:t>The latter</w:t>
      </w:r>
      <w:r w:rsidR="004E06F2" w:rsidRPr="00BD1087">
        <w:rPr>
          <w:rFonts w:ascii="Calibri" w:hAnsi="Calibri" w:cs="Calibri"/>
          <w:color w:val="000000" w:themeColor="text1"/>
        </w:rPr>
        <w:t xml:space="preserve"> variable is only available electronically from January 2005, and in terms of a centred six-year trend, is only fully accurate from January 2008. </w:t>
      </w:r>
      <w:r w:rsidR="00B87642">
        <w:rPr>
          <w:rFonts w:ascii="Calibri" w:hAnsi="Calibri" w:cs="Calibri"/>
          <w:color w:val="000000" w:themeColor="text1"/>
        </w:rPr>
        <w:t xml:space="preserve">The specification of the cyclical component of this variable was improved, using the methods explained in Appendix B, to make the variable more accurate up to January 2008. </w:t>
      </w:r>
    </w:p>
    <w:p w:rsidR="009C2CB6" w:rsidRDefault="009C2CB6">
      <w:pPr>
        <w:rPr>
          <w:rFonts w:ascii="Calibri" w:hAnsi="Calibri" w:cs="Calibri"/>
          <w:color w:val="000000" w:themeColor="text1"/>
        </w:rPr>
      </w:pPr>
    </w:p>
    <w:p w:rsidR="00B24AC3" w:rsidRDefault="00B24AC3">
      <w:pPr>
        <w:rPr>
          <w:rFonts w:ascii="Calibri" w:hAnsi="Calibri" w:cs="Calibri"/>
          <w:color w:val="000000" w:themeColor="text1"/>
        </w:rPr>
      </w:pPr>
      <w:r>
        <w:rPr>
          <w:rFonts w:ascii="Calibri" w:hAnsi="Calibri" w:cs="Calibri"/>
          <w:color w:val="000000" w:themeColor="text1"/>
        </w:rPr>
        <w:t xml:space="preserve">Apart from the Purchasing Managers’ Index of </w:t>
      </w:r>
      <w:r w:rsidRPr="00BD1087">
        <w:rPr>
          <w:rFonts w:ascii="Calibri" w:hAnsi="Calibri" w:cs="Calibri"/>
          <w:color w:val="000000" w:themeColor="text1"/>
        </w:rPr>
        <w:t>Manufacturing Output in China</w:t>
      </w:r>
      <w:r>
        <w:rPr>
          <w:rFonts w:ascii="Calibri" w:hAnsi="Calibri" w:cs="Calibri"/>
          <w:color w:val="000000" w:themeColor="text1"/>
        </w:rPr>
        <w:t>, the other explanatory variables used for the regression analysis were similar to the previous econometric analyses. One difference is that the ANZ Newspaper Job Advertisements series, which is a component of the current Indicator, was used as an explanatory</w:t>
      </w:r>
      <w:r>
        <w:rPr>
          <w:rFonts w:asciiTheme="minorHAnsi" w:hAnsiTheme="minorHAnsi" w:cstheme="minorHAnsi"/>
        </w:rPr>
        <w:t xml:space="preserve"> variable in a few of the alternative regressions. It was estimated to have a positive coefficient </w:t>
      </w:r>
      <w:r w:rsidR="00226BFE">
        <w:rPr>
          <w:rFonts w:asciiTheme="minorHAnsi" w:hAnsiTheme="minorHAnsi" w:cstheme="minorHAnsi"/>
        </w:rPr>
        <w:t>of 0.</w:t>
      </w:r>
      <w:r w:rsidR="00B277F7">
        <w:rPr>
          <w:rFonts w:asciiTheme="minorHAnsi" w:hAnsiTheme="minorHAnsi" w:cstheme="minorHAnsi"/>
        </w:rPr>
        <w:t>0286</w:t>
      </w:r>
      <w:r w:rsidR="00226BFE">
        <w:rPr>
          <w:rFonts w:asciiTheme="minorHAnsi" w:hAnsiTheme="minorHAnsi" w:cstheme="minorHAnsi"/>
        </w:rPr>
        <w:t xml:space="preserve">, which was </w:t>
      </w:r>
      <w:r>
        <w:rPr>
          <w:rFonts w:asciiTheme="minorHAnsi" w:hAnsiTheme="minorHAnsi" w:cstheme="minorHAnsi"/>
        </w:rPr>
        <w:t xml:space="preserve">statistically </w:t>
      </w:r>
      <w:r w:rsidR="00B277F7">
        <w:rPr>
          <w:rFonts w:asciiTheme="minorHAnsi" w:hAnsiTheme="minorHAnsi" w:cstheme="minorHAnsi"/>
        </w:rPr>
        <w:t>in</w:t>
      </w:r>
      <w:r>
        <w:rPr>
          <w:rFonts w:asciiTheme="minorHAnsi" w:hAnsiTheme="minorHAnsi" w:cstheme="minorHAnsi"/>
        </w:rPr>
        <w:t>significant</w:t>
      </w:r>
      <w:r>
        <w:rPr>
          <w:rStyle w:val="FootnoteReference"/>
          <w:rFonts w:asciiTheme="minorHAnsi" w:hAnsiTheme="minorHAnsi" w:cstheme="minorHAnsi"/>
        </w:rPr>
        <w:footnoteReference w:id="9"/>
      </w:r>
      <w:r>
        <w:rPr>
          <w:rFonts w:asciiTheme="minorHAnsi" w:hAnsiTheme="minorHAnsi" w:cstheme="minorHAnsi"/>
        </w:rPr>
        <w:t xml:space="preserve"> when the </w:t>
      </w:r>
      <w:r w:rsidR="00226BFE">
        <w:rPr>
          <w:rFonts w:asciiTheme="minorHAnsi" w:hAnsiTheme="minorHAnsi" w:cstheme="minorHAnsi"/>
        </w:rPr>
        <w:t xml:space="preserve">sample from July 1994 </w:t>
      </w:r>
      <w:r w:rsidR="00B277F7">
        <w:rPr>
          <w:rFonts w:asciiTheme="minorHAnsi" w:hAnsiTheme="minorHAnsi" w:cstheme="minorHAnsi"/>
        </w:rPr>
        <w:t xml:space="preserve">through January 2011 </w:t>
      </w:r>
      <w:r w:rsidR="00226BFE">
        <w:rPr>
          <w:rFonts w:asciiTheme="minorHAnsi" w:hAnsiTheme="minorHAnsi" w:cstheme="minorHAnsi"/>
        </w:rPr>
        <w:t xml:space="preserve">was used. However, in a separate regression analysis it was estimated </w:t>
      </w:r>
      <w:r>
        <w:rPr>
          <w:rFonts w:asciiTheme="minorHAnsi" w:hAnsiTheme="minorHAnsi" w:cstheme="minorHAnsi"/>
        </w:rPr>
        <w:t xml:space="preserve">to have a counterintuitive negative and statistically significant coefficient </w:t>
      </w:r>
      <w:r w:rsidR="00B277F7">
        <w:rPr>
          <w:rFonts w:asciiTheme="minorHAnsi" w:hAnsiTheme="minorHAnsi" w:cstheme="minorHAnsi"/>
        </w:rPr>
        <w:t>of -0.874</w:t>
      </w:r>
      <w:r w:rsidR="00226BFE">
        <w:rPr>
          <w:rFonts w:asciiTheme="minorHAnsi" w:hAnsiTheme="minorHAnsi" w:cstheme="minorHAnsi"/>
        </w:rPr>
        <w:t xml:space="preserve"> </w:t>
      </w:r>
      <w:r>
        <w:rPr>
          <w:rFonts w:asciiTheme="minorHAnsi" w:hAnsiTheme="minorHAnsi" w:cstheme="minorHAnsi"/>
        </w:rPr>
        <w:t xml:space="preserve">for the period since the </w:t>
      </w:r>
      <w:r w:rsidR="00226BFE">
        <w:rPr>
          <w:rFonts w:asciiTheme="minorHAnsi" w:hAnsiTheme="minorHAnsi" w:cstheme="minorHAnsi"/>
        </w:rPr>
        <w:t>start of 2008</w:t>
      </w:r>
      <w:r w:rsidR="00B277F7">
        <w:rPr>
          <w:rFonts w:asciiTheme="minorHAnsi" w:hAnsiTheme="minorHAnsi" w:cstheme="minorHAnsi"/>
        </w:rPr>
        <w:t xml:space="preserve"> to January 2011</w:t>
      </w:r>
      <w:r w:rsidR="00226BFE">
        <w:rPr>
          <w:rFonts w:asciiTheme="minorHAnsi" w:hAnsiTheme="minorHAnsi" w:cstheme="minorHAnsi"/>
        </w:rPr>
        <w:t xml:space="preserve">, probably reflecting both the </w:t>
      </w:r>
      <w:r>
        <w:rPr>
          <w:rFonts w:asciiTheme="minorHAnsi" w:hAnsiTheme="minorHAnsi" w:cstheme="minorHAnsi"/>
        </w:rPr>
        <w:t>Global Recession</w:t>
      </w:r>
      <w:r w:rsidR="00226BFE">
        <w:rPr>
          <w:rFonts w:asciiTheme="minorHAnsi" w:hAnsiTheme="minorHAnsi" w:cstheme="minorHAnsi"/>
        </w:rPr>
        <w:t xml:space="preserve"> and the continuing shift of job advertising from newspapers to the internet</w:t>
      </w:r>
      <w:r>
        <w:rPr>
          <w:rFonts w:asciiTheme="minorHAnsi" w:hAnsiTheme="minorHAnsi" w:cstheme="minorHAnsi"/>
        </w:rPr>
        <w:t xml:space="preserve">. </w:t>
      </w:r>
      <w:r w:rsidR="00226BFE">
        <w:rPr>
          <w:rFonts w:asciiTheme="minorHAnsi" w:hAnsiTheme="minorHAnsi" w:cstheme="minorHAnsi"/>
        </w:rPr>
        <w:t>Details of these regression analyses are available from</w:t>
      </w:r>
      <w:r w:rsidR="00C46B12">
        <w:rPr>
          <w:rFonts w:asciiTheme="minorHAnsi" w:hAnsiTheme="minorHAnsi" w:cstheme="minorHAnsi"/>
        </w:rPr>
        <w:t xml:space="preserve"> the senior author</w:t>
      </w:r>
      <w:r w:rsidR="000005BE">
        <w:rPr>
          <w:rStyle w:val="FootnoteReference"/>
          <w:rFonts w:asciiTheme="minorHAnsi" w:hAnsiTheme="minorHAnsi" w:cstheme="minorHAnsi"/>
        </w:rPr>
        <w:footnoteReference w:id="10"/>
      </w:r>
      <w:r w:rsidR="00B277F7">
        <w:rPr>
          <w:rFonts w:asciiTheme="minorHAnsi" w:hAnsiTheme="minorHAnsi" w:cstheme="minorHAnsi"/>
        </w:rPr>
        <w:t>. O</w:t>
      </w:r>
      <w:r w:rsidR="00226BFE">
        <w:rPr>
          <w:rFonts w:asciiTheme="minorHAnsi" w:hAnsiTheme="minorHAnsi" w:cstheme="minorHAnsi"/>
        </w:rPr>
        <w:t>ther difference</w:t>
      </w:r>
      <w:r w:rsidR="00B277F7">
        <w:rPr>
          <w:rFonts w:asciiTheme="minorHAnsi" w:hAnsiTheme="minorHAnsi" w:cstheme="minorHAnsi"/>
        </w:rPr>
        <w:t>s were</w:t>
      </w:r>
      <w:r w:rsidR="00226BFE">
        <w:rPr>
          <w:rFonts w:asciiTheme="minorHAnsi" w:hAnsiTheme="minorHAnsi" w:cstheme="minorHAnsi"/>
        </w:rPr>
        <w:t xml:space="preserve"> that in some of the estimated equations, the variable for the Leading Index of Economic Activity was lagged by another year (i.e., by 24 months in addition to being lagged by 12 months)</w:t>
      </w:r>
      <w:r w:rsidR="00B277F7">
        <w:rPr>
          <w:rFonts w:asciiTheme="minorHAnsi" w:hAnsiTheme="minorHAnsi" w:cstheme="minorHAnsi"/>
        </w:rPr>
        <w:t xml:space="preserve"> and some slightly different lags were tested for some of the other explanatory variables</w:t>
      </w:r>
      <w:r w:rsidR="00226BFE">
        <w:rPr>
          <w:rFonts w:asciiTheme="minorHAnsi" w:hAnsiTheme="minorHAnsi" w:cstheme="minorHAnsi"/>
        </w:rPr>
        <w:t xml:space="preserve">.  </w:t>
      </w:r>
    </w:p>
    <w:p w:rsidR="00B24AC3" w:rsidRDefault="00B24AC3">
      <w:pPr>
        <w:rPr>
          <w:rFonts w:ascii="Calibri" w:hAnsi="Calibri" w:cs="Calibri"/>
          <w:color w:val="000000" w:themeColor="text1"/>
        </w:rPr>
      </w:pPr>
    </w:p>
    <w:p w:rsidR="00BD1087" w:rsidRDefault="00060484">
      <w:pPr>
        <w:rPr>
          <w:rFonts w:ascii="Calibri" w:hAnsi="Calibri" w:cs="Calibri"/>
          <w:color w:val="000000" w:themeColor="text1"/>
        </w:rPr>
      </w:pPr>
      <w:r>
        <w:rPr>
          <w:rFonts w:ascii="Calibri" w:hAnsi="Calibri" w:cs="Calibri"/>
          <w:color w:val="000000" w:themeColor="text1"/>
        </w:rPr>
        <w:t xml:space="preserve">A key innovation that was made for the regression analysis conducted for the current Review, </w:t>
      </w:r>
      <w:r w:rsidR="005335D2">
        <w:rPr>
          <w:rFonts w:ascii="Calibri" w:hAnsi="Calibri" w:cs="Calibri"/>
          <w:color w:val="000000" w:themeColor="text1"/>
        </w:rPr>
        <w:t>which was</w:t>
      </w:r>
      <w:r>
        <w:rPr>
          <w:rFonts w:ascii="Calibri" w:hAnsi="Calibri" w:cs="Calibri"/>
          <w:color w:val="000000" w:themeColor="text1"/>
        </w:rPr>
        <w:t xml:space="preserve"> not done in the regression analysis to establish the weights in the current Indicator, is an examination to see whether lagged dependent variables (i.e., </w:t>
      </w:r>
      <w:r w:rsidR="005335D2">
        <w:rPr>
          <w:rFonts w:ascii="Calibri" w:hAnsi="Calibri" w:cs="Calibri"/>
          <w:color w:val="000000" w:themeColor="text1"/>
        </w:rPr>
        <w:t xml:space="preserve">past </w:t>
      </w:r>
      <w:r>
        <w:rPr>
          <w:rFonts w:ascii="Calibri" w:hAnsi="Calibri" w:cs="Calibri"/>
          <w:color w:val="000000" w:themeColor="text1"/>
        </w:rPr>
        <w:t xml:space="preserve">cyclical employment) and/or lagged residuals add anything significant to the explanatory power of a potential new Indicator. In testing these lagged dependent variables or lagged residual terms, </w:t>
      </w:r>
      <w:r w:rsidR="007B1646">
        <w:rPr>
          <w:rFonts w:ascii="Calibri" w:hAnsi="Calibri" w:cs="Calibri"/>
          <w:color w:val="000000" w:themeColor="text1"/>
        </w:rPr>
        <w:t>we decided</w:t>
      </w:r>
      <w:r>
        <w:rPr>
          <w:rFonts w:ascii="Calibri" w:hAnsi="Calibri" w:cs="Calibri"/>
          <w:color w:val="000000" w:themeColor="text1"/>
        </w:rPr>
        <w:t xml:space="preserve"> that there would have to be a lag of at least nine months before they could be added as an </w:t>
      </w:r>
      <w:r>
        <w:rPr>
          <w:rFonts w:ascii="Calibri" w:hAnsi="Calibri" w:cs="Calibri"/>
          <w:color w:val="000000" w:themeColor="text1"/>
        </w:rPr>
        <w:lastRenderedPageBreak/>
        <w:t xml:space="preserve">explanatory variable. This is because a move in the Indicator of at least six consecutive months in the opposite direction to the current direction is needed before a turning point can be confirmed, and </w:t>
      </w:r>
      <w:r w:rsidR="007B1646">
        <w:rPr>
          <w:rFonts w:ascii="Calibri" w:hAnsi="Calibri" w:cs="Calibri"/>
          <w:color w:val="000000" w:themeColor="text1"/>
        </w:rPr>
        <w:t>we</w:t>
      </w:r>
      <w:r>
        <w:rPr>
          <w:rFonts w:ascii="Calibri" w:hAnsi="Calibri" w:cs="Calibri"/>
          <w:color w:val="000000" w:themeColor="text1"/>
        </w:rPr>
        <w:t xml:space="preserve"> decided that there would need to be another three months beyond this to allow for reaction times (in policies and/or programme responses) to the turning point, to be useful. </w:t>
      </w:r>
    </w:p>
    <w:p w:rsidR="004F790A" w:rsidRDefault="004F790A">
      <w:pPr>
        <w:rPr>
          <w:rFonts w:ascii="Calibri" w:hAnsi="Calibri" w:cs="Calibri"/>
          <w:color w:val="000000" w:themeColor="text1"/>
        </w:rPr>
      </w:pPr>
    </w:p>
    <w:p w:rsidR="00FE2CF8" w:rsidRDefault="00FE2CF8">
      <w:pPr>
        <w:rPr>
          <w:rFonts w:ascii="Calibri" w:hAnsi="Calibri" w:cs="Calibri"/>
          <w:color w:val="000000" w:themeColor="text1"/>
        </w:rPr>
      </w:pPr>
      <w:r>
        <w:rPr>
          <w:rFonts w:ascii="Calibri" w:hAnsi="Calibri" w:cs="Calibri"/>
          <w:color w:val="000000" w:themeColor="text1"/>
        </w:rPr>
        <w:t xml:space="preserve">One potential problem with adding lagged dependent variables (and possibly also lagged residuals or error terms, since these variables are functions of lagged dependent variables) to an econometrically estimated equation is that it can bias the estimates of the coefficients of the remaining explanatory variables in the equation. </w:t>
      </w:r>
    </w:p>
    <w:p w:rsidR="005335D2" w:rsidRDefault="005335D2">
      <w:pPr>
        <w:rPr>
          <w:rFonts w:ascii="Calibri" w:hAnsi="Calibri" w:cs="Calibri"/>
          <w:color w:val="000000" w:themeColor="text1"/>
        </w:rPr>
      </w:pPr>
    </w:p>
    <w:p w:rsidR="004F790A" w:rsidRDefault="00FE2CF8">
      <w:pPr>
        <w:rPr>
          <w:rFonts w:ascii="Calibri" w:hAnsi="Calibri" w:cs="Calibri"/>
          <w:color w:val="000000" w:themeColor="text1"/>
        </w:rPr>
      </w:pPr>
      <w:r>
        <w:rPr>
          <w:rFonts w:ascii="Calibri" w:hAnsi="Calibri" w:cs="Calibri"/>
          <w:color w:val="000000" w:themeColor="text1"/>
        </w:rPr>
        <w:t xml:space="preserve">Achen (2001) showed that this bias can be so severe that coefficients can change sign or at least appear to be statistically insignificant and biased towards zero when they are actually significant. He also showed that this bias is likely to be most severe when there is positive autocorrelation in the residuals of the equation with the lagged dependent variable omitted and trending in the other explanatory variables. Both of these circumstances apply to cyclical employment and its explanatory variables. </w:t>
      </w:r>
      <w:r w:rsidR="00DA38F3">
        <w:rPr>
          <w:rFonts w:ascii="Calibri" w:hAnsi="Calibri" w:cs="Calibri"/>
          <w:color w:val="000000" w:themeColor="text1"/>
        </w:rPr>
        <w:t>He then warned against using lagged dependent variables in equations under these conditions.</w:t>
      </w:r>
      <w:r>
        <w:rPr>
          <w:rFonts w:ascii="Calibri" w:hAnsi="Calibri" w:cs="Calibri"/>
          <w:color w:val="000000" w:themeColor="text1"/>
        </w:rPr>
        <w:t xml:space="preserve"> </w:t>
      </w:r>
    </w:p>
    <w:p w:rsidR="00BD1087" w:rsidRPr="00BD1087" w:rsidRDefault="00BD1087">
      <w:pPr>
        <w:rPr>
          <w:rFonts w:asciiTheme="minorHAnsi" w:hAnsiTheme="minorHAnsi" w:cstheme="minorHAnsi"/>
          <w:color w:val="000000" w:themeColor="text1"/>
        </w:rPr>
      </w:pPr>
    </w:p>
    <w:p w:rsidR="008C1FED" w:rsidRDefault="00DA38F3">
      <w:pPr>
        <w:rPr>
          <w:rFonts w:asciiTheme="minorHAnsi" w:hAnsiTheme="minorHAnsi" w:cstheme="minorHAnsi"/>
        </w:rPr>
      </w:pPr>
      <w:r>
        <w:rPr>
          <w:rFonts w:asciiTheme="minorHAnsi" w:hAnsiTheme="minorHAnsi" w:cstheme="minorHAnsi"/>
        </w:rPr>
        <w:t>Wilkins (2013) showed that under fairly general assumptions, these potential biases can be reduced by adding additional lags of the dependent variable and explanatory variables in the estimated equation. The Wilkins (2013) approach was used and an initial equation was estimated, using the Nonlinear L</w:t>
      </w:r>
      <w:r w:rsidR="00EB390B">
        <w:rPr>
          <w:rFonts w:asciiTheme="minorHAnsi" w:hAnsiTheme="minorHAnsi" w:cstheme="minorHAnsi"/>
        </w:rPr>
        <w:t>east Squares regression method</w:t>
      </w:r>
      <w:r>
        <w:rPr>
          <w:rFonts w:asciiTheme="minorHAnsi" w:hAnsiTheme="minorHAnsi" w:cstheme="minorHAnsi"/>
        </w:rPr>
        <w:t>, with a constant term and</w:t>
      </w:r>
      <w:r w:rsidR="00226BFE">
        <w:rPr>
          <w:rFonts w:asciiTheme="minorHAnsi" w:hAnsiTheme="minorHAnsi" w:cstheme="minorHAnsi"/>
        </w:rPr>
        <w:t xml:space="preserve"> the</w:t>
      </w:r>
      <w:r>
        <w:rPr>
          <w:rFonts w:asciiTheme="minorHAnsi" w:hAnsiTheme="minorHAnsi" w:cstheme="minorHAnsi"/>
        </w:rPr>
        <w:t xml:space="preserve"> explanatory </w:t>
      </w:r>
      <w:r w:rsidR="00226BFE">
        <w:rPr>
          <w:rFonts w:asciiTheme="minorHAnsi" w:hAnsiTheme="minorHAnsi" w:cstheme="minorHAnsi"/>
        </w:rPr>
        <w:t xml:space="preserve">variables described above. The initial estimate using this approach is explained in detail in Appendix C. </w:t>
      </w:r>
      <w:r w:rsidR="0023384D" w:rsidRPr="00676622">
        <w:rPr>
          <w:rFonts w:asciiTheme="minorHAnsi" w:hAnsiTheme="minorHAnsi" w:cstheme="minorHAnsi"/>
        </w:rPr>
        <w:t>In this equation, the coefficient</w:t>
      </w:r>
      <w:r w:rsidR="00676622">
        <w:rPr>
          <w:rFonts w:asciiTheme="minorHAnsi" w:hAnsiTheme="minorHAnsi" w:cstheme="minorHAnsi"/>
        </w:rPr>
        <w:t>s</w:t>
      </w:r>
      <w:r w:rsidR="0023384D" w:rsidRPr="00676622">
        <w:rPr>
          <w:rFonts w:asciiTheme="minorHAnsi" w:hAnsiTheme="minorHAnsi" w:cstheme="minorHAnsi"/>
        </w:rPr>
        <w:t xml:space="preserve"> of the lagged dependent variable </w:t>
      </w:r>
      <w:r w:rsidR="00676622">
        <w:rPr>
          <w:rFonts w:asciiTheme="minorHAnsi" w:hAnsiTheme="minorHAnsi" w:cstheme="minorHAnsi"/>
        </w:rPr>
        <w:t>and the lagged residual  (both lagged nine months) were estimated</w:t>
      </w:r>
      <w:r w:rsidR="0023384D" w:rsidRPr="00676622">
        <w:rPr>
          <w:rFonts w:asciiTheme="minorHAnsi" w:hAnsiTheme="minorHAnsi" w:cstheme="minorHAnsi"/>
        </w:rPr>
        <w:t xml:space="preserve"> to be statistically significant and </w:t>
      </w:r>
      <w:r w:rsidR="00676622">
        <w:rPr>
          <w:rFonts w:asciiTheme="minorHAnsi" w:hAnsiTheme="minorHAnsi" w:cstheme="minorHAnsi"/>
        </w:rPr>
        <w:t xml:space="preserve">of the opposite signs. This lag (i.e., nine months) and longer lags were tested in forming </w:t>
      </w:r>
      <w:r w:rsidR="0023384D" w:rsidRPr="00676622">
        <w:rPr>
          <w:rFonts w:asciiTheme="minorHAnsi" w:hAnsiTheme="minorHAnsi" w:cstheme="minorHAnsi"/>
        </w:rPr>
        <w:t>the preferred equation</w:t>
      </w:r>
      <w:r w:rsidR="00B50C50" w:rsidRPr="00676622">
        <w:rPr>
          <w:rFonts w:asciiTheme="minorHAnsi" w:hAnsiTheme="minorHAnsi" w:cstheme="minorHAnsi"/>
        </w:rPr>
        <w:t>.</w:t>
      </w:r>
      <w:r w:rsidR="00B50C50">
        <w:rPr>
          <w:rFonts w:asciiTheme="minorHAnsi" w:hAnsiTheme="minorHAnsi" w:cstheme="minorHAnsi"/>
        </w:rPr>
        <w:t xml:space="preserve"> </w:t>
      </w:r>
      <w:r w:rsidR="00D711A0">
        <w:rPr>
          <w:rFonts w:asciiTheme="minorHAnsi" w:hAnsiTheme="minorHAnsi" w:cstheme="minorHAnsi"/>
        </w:rPr>
        <w:t xml:space="preserve">When forming the new econometrically estimated leading indicator, the intention was to move the estimated variables forward nine months. However, this meant that when lags of nine months were used for the lagged dependent variable or the lagged residual, the concurrent values of cyclical employment became a component of this version of the leading indicator. In turn, this biased this version towards being a concurrent indicator rather than a leading indicator. To overcome this problem, longer lags of the dependent variable and residual were used for the preferred equation. </w:t>
      </w:r>
      <w:r w:rsidR="00B50C50">
        <w:rPr>
          <w:rFonts w:asciiTheme="minorHAnsi" w:hAnsiTheme="minorHAnsi" w:cstheme="minorHAnsi"/>
        </w:rPr>
        <w:t>The estimates of the preferred equation</w:t>
      </w:r>
      <w:r w:rsidR="0023384D">
        <w:rPr>
          <w:rFonts w:asciiTheme="minorHAnsi" w:hAnsiTheme="minorHAnsi" w:cstheme="minorHAnsi"/>
        </w:rPr>
        <w:t xml:space="preserve"> are shown in Table 2. </w:t>
      </w:r>
    </w:p>
    <w:p w:rsidR="00D711A0" w:rsidRDefault="00D711A0">
      <w:pPr>
        <w:rPr>
          <w:rFonts w:asciiTheme="minorHAnsi" w:hAnsiTheme="minorHAnsi" w:cstheme="minorHAnsi"/>
        </w:rPr>
      </w:pPr>
      <w:r>
        <w:rPr>
          <w:rFonts w:asciiTheme="minorHAnsi" w:hAnsiTheme="minorHAnsi" w:cstheme="minorHAnsi"/>
        </w:rPr>
        <w:br w:type="page"/>
      </w:r>
    </w:p>
    <w:p w:rsidR="00A746D4" w:rsidRDefault="00A746D4" w:rsidP="0023384D">
      <w:pPr>
        <w:rPr>
          <w:rFonts w:asciiTheme="minorHAnsi" w:hAnsiTheme="minorHAnsi" w:cstheme="minorHAnsi"/>
        </w:rPr>
      </w:pPr>
    </w:p>
    <w:p w:rsidR="0023384D" w:rsidRPr="0049527F" w:rsidRDefault="0023384D" w:rsidP="0023384D">
      <w:pPr>
        <w:rPr>
          <w:rFonts w:asciiTheme="minorHAnsi" w:hAnsiTheme="minorHAnsi" w:cstheme="minorHAnsi"/>
          <w:b/>
        </w:rPr>
      </w:pPr>
      <w:r>
        <w:rPr>
          <w:rFonts w:asciiTheme="minorHAnsi" w:hAnsiTheme="minorHAnsi" w:cstheme="minorHAnsi"/>
        </w:rPr>
        <w:t xml:space="preserve">Table </w:t>
      </w:r>
      <w:r w:rsidR="00B50C50">
        <w:rPr>
          <w:rFonts w:asciiTheme="minorHAnsi" w:hAnsiTheme="minorHAnsi" w:cstheme="minorHAnsi"/>
        </w:rPr>
        <w:t>2</w:t>
      </w:r>
      <w:r>
        <w:rPr>
          <w:rFonts w:asciiTheme="minorHAnsi" w:hAnsiTheme="minorHAnsi" w:cstheme="minorHAnsi"/>
        </w:rPr>
        <w:t xml:space="preserve">: </w:t>
      </w:r>
      <w:r w:rsidRPr="00812445">
        <w:rPr>
          <w:rFonts w:asciiTheme="minorHAnsi" w:hAnsiTheme="minorHAnsi" w:cstheme="minorHAnsi"/>
          <w:b/>
        </w:rPr>
        <w:t xml:space="preserve">Results of </w:t>
      </w:r>
      <w:r w:rsidR="00B50C50">
        <w:rPr>
          <w:rFonts w:asciiTheme="minorHAnsi" w:hAnsiTheme="minorHAnsi" w:cstheme="minorHAnsi"/>
          <w:b/>
        </w:rPr>
        <w:t>Preferred</w:t>
      </w:r>
      <w:r w:rsidRPr="00812445">
        <w:rPr>
          <w:rFonts w:asciiTheme="minorHAnsi" w:hAnsiTheme="minorHAnsi" w:cstheme="minorHAnsi"/>
          <w:b/>
        </w:rPr>
        <w:t xml:space="preserve"> Estimate of </w:t>
      </w:r>
      <w:r>
        <w:rPr>
          <w:rFonts w:asciiTheme="minorHAnsi" w:hAnsiTheme="minorHAnsi" w:cstheme="minorHAnsi"/>
          <w:b/>
        </w:rPr>
        <w:t>P</w:t>
      </w:r>
      <w:r w:rsidRPr="0049527F">
        <w:rPr>
          <w:rFonts w:asciiTheme="minorHAnsi" w:hAnsiTheme="minorHAnsi" w:cstheme="minorHAnsi"/>
          <w:b/>
        </w:rPr>
        <w:t xml:space="preserve">otential Leading Indicator </w:t>
      </w:r>
      <w:r>
        <w:rPr>
          <w:rFonts w:asciiTheme="minorHAnsi" w:hAnsiTheme="minorHAnsi" w:cstheme="minorHAnsi"/>
          <w:b/>
        </w:rPr>
        <w:t>Equation with Lagged Dependent V</w:t>
      </w:r>
      <w:r w:rsidR="00D711A0">
        <w:rPr>
          <w:rFonts w:asciiTheme="minorHAnsi" w:hAnsiTheme="minorHAnsi" w:cstheme="minorHAnsi"/>
          <w:b/>
        </w:rPr>
        <w:t>ariables and Residual Terms Tested</w:t>
      </w:r>
    </w:p>
    <w:p w:rsidR="0023384D" w:rsidRDefault="0023384D" w:rsidP="0023384D">
      <w:pPr>
        <w:rPr>
          <w:rFonts w:asciiTheme="minorHAnsi" w:hAnsiTheme="minorHAnsi" w:cstheme="minorHAnsi"/>
        </w:rPr>
      </w:pPr>
    </w:p>
    <w:tbl>
      <w:tblPr>
        <w:tblStyle w:val="TableGrid"/>
        <w:tblW w:w="7489" w:type="dxa"/>
        <w:tblLook w:val="04A0" w:firstRow="1" w:lastRow="0" w:firstColumn="1" w:lastColumn="0" w:noHBand="0" w:noVBand="1"/>
      </w:tblPr>
      <w:tblGrid>
        <w:gridCol w:w="2736"/>
        <w:gridCol w:w="1045"/>
        <w:gridCol w:w="1098"/>
        <w:gridCol w:w="1305"/>
        <w:gridCol w:w="1305"/>
      </w:tblGrid>
      <w:tr w:rsidR="0023384D" w:rsidTr="00BE014A">
        <w:tc>
          <w:tcPr>
            <w:tcW w:w="2736" w:type="dxa"/>
            <w:tcBorders>
              <w:bottom w:val="single" w:sz="4" w:space="0" w:color="auto"/>
            </w:tcBorders>
          </w:tcPr>
          <w:p w:rsidR="0023384D" w:rsidRPr="0057403C" w:rsidRDefault="0023384D" w:rsidP="00BE014A">
            <w:pPr>
              <w:rPr>
                <w:rFonts w:asciiTheme="minorHAnsi" w:hAnsiTheme="minorHAnsi" w:cstheme="minorHAnsi"/>
                <w:b/>
                <w:sz w:val="20"/>
                <w:szCs w:val="20"/>
              </w:rPr>
            </w:pPr>
            <w:r w:rsidRPr="0057403C">
              <w:rPr>
                <w:rFonts w:asciiTheme="minorHAnsi" w:hAnsiTheme="minorHAnsi" w:cstheme="minorHAnsi"/>
                <w:b/>
                <w:sz w:val="20"/>
                <w:szCs w:val="20"/>
              </w:rPr>
              <w:t>Variable</w:t>
            </w:r>
          </w:p>
        </w:tc>
        <w:tc>
          <w:tcPr>
            <w:tcW w:w="1045" w:type="dxa"/>
            <w:tcBorders>
              <w:bottom w:val="single" w:sz="4" w:space="0" w:color="auto"/>
            </w:tcBorders>
          </w:tcPr>
          <w:p w:rsidR="0023384D" w:rsidRPr="00812445" w:rsidRDefault="0023384D" w:rsidP="00BE014A">
            <w:pPr>
              <w:jc w:val="center"/>
              <w:rPr>
                <w:rFonts w:asciiTheme="minorHAnsi" w:hAnsiTheme="minorHAnsi" w:cstheme="minorHAnsi"/>
                <w:sz w:val="20"/>
                <w:szCs w:val="20"/>
              </w:rPr>
            </w:pPr>
            <w:r w:rsidRPr="00812445">
              <w:rPr>
                <w:rFonts w:asciiTheme="minorHAnsi" w:hAnsiTheme="minorHAnsi" w:cstheme="minorHAnsi"/>
                <w:sz w:val="20"/>
                <w:szCs w:val="20"/>
              </w:rPr>
              <w:t>Lag Length (months)</w:t>
            </w:r>
          </w:p>
        </w:tc>
        <w:tc>
          <w:tcPr>
            <w:tcW w:w="1098" w:type="dxa"/>
            <w:tcBorders>
              <w:bottom w:val="single" w:sz="4" w:space="0" w:color="auto"/>
            </w:tcBorders>
          </w:tcPr>
          <w:p w:rsidR="0023384D" w:rsidRPr="0057403C" w:rsidRDefault="0023384D" w:rsidP="00BE014A">
            <w:pPr>
              <w:jc w:val="center"/>
              <w:rPr>
                <w:rFonts w:asciiTheme="minorHAnsi" w:hAnsiTheme="minorHAnsi" w:cstheme="minorHAnsi"/>
                <w:sz w:val="20"/>
                <w:szCs w:val="20"/>
              </w:rPr>
            </w:pPr>
            <w:r w:rsidRPr="0057403C">
              <w:rPr>
                <w:rFonts w:asciiTheme="minorHAnsi" w:hAnsiTheme="minorHAnsi" w:cstheme="minorHAnsi"/>
                <w:sz w:val="20"/>
                <w:szCs w:val="20"/>
              </w:rPr>
              <w:t>Coefficient</w:t>
            </w:r>
          </w:p>
        </w:tc>
        <w:tc>
          <w:tcPr>
            <w:tcW w:w="1305" w:type="dxa"/>
            <w:tcBorders>
              <w:bottom w:val="single" w:sz="4" w:space="0" w:color="auto"/>
            </w:tcBorders>
          </w:tcPr>
          <w:p w:rsidR="0023384D" w:rsidRPr="0057403C" w:rsidRDefault="0023384D" w:rsidP="00BE014A">
            <w:pPr>
              <w:jc w:val="center"/>
              <w:rPr>
                <w:rFonts w:asciiTheme="minorHAnsi" w:hAnsiTheme="minorHAnsi" w:cstheme="minorHAnsi"/>
                <w:sz w:val="20"/>
                <w:szCs w:val="20"/>
              </w:rPr>
            </w:pPr>
            <w:r w:rsidRPr="0057403C">
              <w:rPr>
                <w:rFonts w:asciiTheme="minorHAnsi" w:hAnsiTheme="minorHAnsi" w:cstheme="minorHAnsi"/>
                <w:sz w:val="20"/>
                <w:szCs w:val="20"/>
              </w:rPr>
              <w:t>Coefficient Estimate</w:t>
            </w:r>
          </w:p>
        </w:tc>
        <w:tc>
          <w:tcPr>
            <w:tcW w:w="1305" w:type="dxa"/>
            <w:tcBorders>
              <w:bottom w:val="single" w:sz="4" w:space="0" w:color="auto"/>
            </w:tcBorders>
          </w:tcPr>
          <w:p w:rsidR="0023384D" w:rsidRPr="0057403C" w:rsidRDefault="0023384D" w:rsidP="00BE014A">
            <w:pPr>
              <w:jc w:val="center"/>
              <w:rPr>
                <w:rFonts w:asciiTheme="minorHAnsi" w:hAnsiTheme="minorHAnsi" w:cstheme="minorHAnsi"/>
                <w:sz w:val="20"/>
                <w:szCs w:val="20"/>
              </w:rPr>
            </w:pPr>
            <w:r w:rsidRPr="0057403C">
              <w:rPr>
                <w:rFonts w:asciiTheme="minorHAnsi" w:hAnsiTheme="minorHAnsi" w:cstheme="minorHAnsi"/>
                <w:sz w:val="20"/>
                <w:szCs w:val="20"/>
              </w:rPr>
              <w:t>t-statistic on Coefficient Estimate</w:t>
            </w:r>
          </w:p>
        </w:tc>
      </w:tr>
      <w:tr w:rsidR="0023384D" w:rsidRPr="0057403C" w:rsidTr="00BE014A">
        <w:tc>
          <w:tcPr>
            <w:tcW w:w="2736" w:type="dxa"/>
            <w:tcBorders>
              <w:bottom w:val="single" w:sz="4" w:space="0" w:color="auto"/>
              <w:right w:val="single" w:sz="4" w:space="0" w:color="auto"/>
            </w:tcBorders>
          </w:tcPr>
          <w:p w:rsidR="0023384D" w:rsidRPr="0057403C" w:rsidRDefault="0023384D" w:rsidP="00BE014A">
            <w:pPr>
              <w:rPr>
                <w:rFonts w:asciiTheme="minorHAnsi" w:hAnsiTheme="minorHAnsi" w:cstheme="minorHAnsi"/>
                <w:sz w:val="20"/>
                <w:szCs w:val="20"/>
              </w:rPr>
            </w:pPr>
            <w:r>
              <w:rPr>
                <w:rFonts w:asciiTheme="minorHAnsi" w:hAnsiTheme="minorHAnsi" w:cstheme="minorHAnsi"/>
                <w:sz w:val="20"/>
                <w:szCs w:val="20"/>
              </w:rPr>
              <w:t>Constant term</w:t>
            </w:r>
          </w:p>
        </w:tc>
        <w:tc>
          <w:tcPr>
            <w:tcW w:w="1045" w:type="dxa"/>
            <w:tcBorders>
              <w:left w:val="single" w:sz="4" w:space="0" w:color="auto"/>
              <w:bottom w:val="single" w:sz="4" w:space="0" w:color="auto"/>
              <w:right w:val="single" w:sz="4" w:space="0" w:color="auto"/>
            </w:tcBorders>
          </w:tcPr>
          <w:p w:rsidR="0023384D" w:rsidRPr="00812445" w:rsidRDefault="0023384D" w:rsidP="00BE014A">
            <w:pPr>
              <w:jc w:val="center"/>
              <w:rPr>
                <w:rFonts w:asciiTheme="minorHAnsi" w:hAnsiTheme="minorHAnsi" w:cstheme="minorHAnsi"/>
                <w:sz w:val="20"/>
                <w:szCs w:val="20"/>
              </w:rPr>
            </w:pPr>
            <w:r>
              <w:rPr>
                <w:rFonts w:asciiTheme="minorHAnsi" w:hAnsiTheme="minorHAnsi" w:cstheme="minorHAnsi"/>
                <w:sz w:val="20"/>
                <w:szCs w:val="20"/>
              </w:rPr>
              <w:t>Not applicable</w:t>
            </w:r>
          </w:p>
        </w:tc>
        <w:tc>
          <w:tcPr>
            <w:tcW w:w="1098" w:type="dxa"/>
            <w:tcBorders>
              <w:left w:val="single" w:sz="4" w:space="0" w:color="auto"/>
              <w:bottom w:val="single" w:sz="4" w:space="0" w:color="auto"/>
              <w:right w:val="single" w:sz="4" w:space="0" w:color="auto"/>
            </w:tcBorders>
          </w:tcPr>
          <w:p w:rsidR="0023384D" w:rsidRDefault="0023384D" w:rsidP="00BE014A">
            <w:pPr>
              <w:jc w:val="center"/>
              <w:rPr>
                <w:rFonts w:asciiTheme="minorHAnsi" w:hAnsiTheme="minorHAnsi" w:cstheme="minorHAnsi"/>
                <w:sz w:val="20"/>
                <w:szCs w:val="20"/>
              </w:rPr>
            </w:pPr>
            <w:r w:rsidRPr="007D1F8F">
              <w:rPr>
                <w:rFonts w:asciiTheme="minorHAnsi" w:hAnsiTheme="minorHAnsi" w:cstheme="minorHAnsi"/>
              </w:rPr>
              <w:t>β</w:t>
            </w:r>
            <w:r>
              <w:rPr>
                <w:rFonts w:asciiTheme="minorHAnsi" w:hAnsiTheme="minorHAnsi" w:cstheme="minorHAnsi"/>
                <w:vertAlign w:val="subscript"/>
              </w:rPr>
              <w:t>0</w:t>
            </w:r>
          </w:p>
        </w:tc>
        <w:tc>
          <w:tcPr>
            <w:tcW w:w="1305" w:type="dxa"/>
            <w:tcBorders>
              <w:left w:val="single" w:sz="4" w:space="0" w:color="auto"/>
              <w:bottom w:val="single" w:sz="4" w:space="0" w:color="auto"/>
              <w:right w:val="single" w:sz="4" w:space="0" w:color="auto"/>
            </w:tcBorders>
          </w:tcPr>
          <w:p w:rsidR="0023384D" w:rsidRDefault="00D711A0" w:rsidP="00BE014A">
            <w:pPr>
              <w:jc w:val="center"/>
              <w:rPr>
                <w:rFonts w:asciiTheme="minorHAnsi" w:hAnsiTheme="minorHAnsi" w:cstheme="minorHAnsi"/>
                <w:sz w:val="20"/>
                <w:szCs w:val="20"/>
              </w:rPr>
            </w:pPr>
            <w:r>
              <w:rPr>
                <w:rFonts w:asciiTheme="minorHAnsi" w:hAnsiTheme="minorHAnsi" w:cstheme="minorHAnsi"/>
                <w:sz w:val="20"/>
                <w:szCs w:val="20"/>
              </w:rPr>
              <w:t>-</w:t>
            </w:r>
            <w:r w:rsidR="0023384D">
              <w:rPr>
                <w:rFonts w:asciiTheme="minorHAnsi" w:hAnsiTheme="minorHAnsi" w:cstheme="minorHAnsi"/>
                <w:sz w:val="20"/>
                <w:szCs w:val="20"/>
              </w:rPr>
              <w:t>0.0</w:t>
            </w:r>
            <w:r>
              <w:rPr>
                <w:rFonts w:asciiTheme="minorHAnsi" w:hAnsiTheme="minorHAnsi" w:cstheme="minorHAnsi"/>
                <w:sz w:val="20"/>
                <w:szCs w:val="20"/>
              </w:rPr>
              <w:t>262</w:t>
            </w:r>
          </w:p>
        </w:tc>
        <w:tc>
          <w:tcPr>
            <w:tcW w:w="1305" w:type="dxa"/>
            <w:tcBorders>
              <w:left w:val="single" w:sz="4" w:space="0" w:color="auto"/>
              <w:bottom w:val="single" w:sz="4" w:space="0" w:color="auto"/>
              <w:right w:val="single" w:sz="4" w:space="0" w:color="auto"/>
            </w:tcBorders>
          </w:tcPr>
          <w:p w:rsidR="0023384D" w:rsidRDefault="00D711A0" w:rsidP="00BE014A">
            <w:pPr>
              <w:jc w:val="center"/>
              <w:rPr>
                <w:rFonts w:asciiTheme="minorHAnsi" w:hAnsiTheme="minorHAnsi" w:cstheme="minorHAnsi"/>
                <w:sz w:val="20"/>
                <w:szCs w:val="20"/>
              </w:rPr>
            </w:pPr>
            <w:r>
              <w:rPr>
                <w:rFonts w:asciiTheme="minorHAnsi" w:hAnsiTheme="minorHAnsi" w:cstheme="minorHAnsi"/>
                <w:sz w:val="20"/>
                <w:szCs w:val="20"/>
              </w:rPr>
              <w:t>-1.04</w:t>
            </w:r>
          </w:p>
        </w:tc>
      </w:tr>
      <w:tr w:rsidR="0023384D" w:rsidRPr="0057403C" w:rsidTr="00BE014A">
        <w:tc>
          <w:tcPr>
            <w:tcW w:w="2736" w:type="dxa"/>
            <w:tcBorders>
              <w:bottom w:val="single" w:sz="4" w:space="0" w:color="auto"/>
              <w:right w:val="single" w:sz="4" w:space="0" w:color="auto"/>
            </w:tcBorders>
          </w:tcPr>
          <w:p w:rsidR="0023384D" w:rsidRPr="0057403C" w:rsidRDefault="0023384D" w:rsidP="00BE014A">
            <w:pPr>
              <w:rPr>
                <w:rFonts w:asciiTheme="minorHAnsi" w:hAnsiTheme="minorHAnsi" w:cstheme="minorHAnsi"/>
                <w:sz w:val="20"/>
                <w:szCs w:val="20"/>
              </w:rPr>
            </w:pPr>
            <w:r>
              <w:rPr>
                <w:rFonts w:asciiTheme="minorHAnsi" w:hAnsiTheme="minorHAnsi" w:cstheme="minorHAnsi"/>
                <w:sz w:val="20"/>
                <w:szCs w:val="20"/>
              </w:rPr>
              <w:t>Lagged Error Term</w:t>
            </w:r>
          </w:p>
        </w:tc>
        <w:tc>
          <w:tcPr>
            <w:tcW w:w="1045" w:type="dxa"/>
            <w:tcBorders>
              <w:left w:val="single" w:sz="4" w:space="0" w:color="auto"/>
              <w:bottom w:val="single" w:sz="4" w:space="0" w:color="auto"/>
              <w:right w:val="single" w:sz="4" w:space="0" w:color="auto"/>
            </w:tcBorders>
          </w:tcPr>
          <w:p w:rsidR="0023384D" w:rsidRPr="00812445" w:rsidRDefault="00D711A0" w:rsidP="00BE014A">
            <w:pPr>
              <w:jc w:val="center"/>
              <w:rPr>
                <w:rFonts w:asciiTheme="minorHAnsi" w:hAnsiTheme="minorHAnsi" w:cstheme="minorHAnsi"/>
                <w:sz w:val="20"/>
                <w:szCs w:val="20"/>
              </w:rPr>
            </w:pPr>
            <w:r>
              <w:rPr>
                <w:rFonts w:asciiTheme="minorHAnsi" w:hAnsiTheme="minorHAnsi" w:cstheme="minorHAnsi"/>
                <w:sz w:val="20"/>
                <w:szCs w:val="20"/>
              </w:rPr>
              <w:t>18</w:t>
            </w:r>
          </w:p>
        </w:tc>
        <w:tc>
          <w:tcPr>
            <w:tcW w:w="1098" w:type="dxa"/>
            <w:tcBorders>
              <w:left w:val="single" w:sz="4" w:space="0" w:color="auto"/>
              <w:bottom w:val="single" w:sz="4" w:space="0" w:color="auto"/>
              <w:right w:val="single" w:sz="4" w:space="0" w:color="auto"/>
            </w:tcBorders>
          </w:tcPr>
          <w:p w:rsidR="0023384D" w:rsidRPr="00D711A0" w:rsidRDefault="00D711A0" w:rsidP="00BE014A">
            <w:pPr>
              <w:jc w:val="center"/>
              <w:rPr>
                <w:rFonts w:asciiTheme="minorHAnsi" w:hAnsiTheme="minorHAnsi" w:cstheme="minorHAnsi"/>
                <w:sz w:val="20"/>
                <w:szCs w:val="20"/>
                <w:vertAlign w:val="subscript"/>
              </w:rPr>
            </w:pPr>
            <w:r>
              <w:t>φ</w:t>
            </w:r>
            <w:r>
              <w:rPr>
                <w:vertAlign w:val="subscript"/>
              </w:rPr>
              <w:t>18</w:t>
            </w:r>
          </w:p>
        </w:tc>
        <w:tc>
          <w:tcPr>
            <w:tcW w:w="1305" w:type="dxa"/>
            <w:tcBorders>
              <w:left w:val="single" w:sz="4" w:space="0" w:color="auto"/>
              <w:bottom w:val="single" w:sz="4" w:space="0" w:color="auto"/>
              <w:right w:val="single" w:sz="4" w:space="0" w:color="auto"/>
            </w:tcBorders>
          </w:tcPr>
          <w:p w:rsidR="0023384D" w:rsidRDefault="00D711A0" w:rsidP="00BE014A">
            <w:pPr>
              <w:jc w:val="center"/>
              <w:rPr>
                <w:rFonts w:asciiTheme="minorHAnsi" w:hAnsiTheme="minorHAnsi" w:cstheme="minorHAnsi"/>
                <w:sz w:val="20"/>
                <w:szCs w:val="20"/>
              </w:rPr>
            </w:pPr>
            <w:r>
              <w:rPr>
                <w:rFonts w:asciiTheme="minorHAnsi" w:hAnsiTheme="minorHAnsi" w:cstheme="minorHAnsi"/>
                <w:sz w:val="20"/>
                <w:szCs w:val="20"/>
              </w:rPr>
              <w:t>-0.154</w:t>
            </w:r>
          </w:p>
        </w:tc>
        <w:tc>
          <w:tcPr>
            <w:tcW w:w="1305" w:type="dxa"/>
            <w:tcBorders>
              <w:left w:val="single" w:sz="4" w:space="0" w:color="auto"/>
              <w:bottom w:val="single" w:sz="4" w:space="0" w:color="auto"/>
              <w:right w:val="single" w:sz="4" w:space="0" w:color="auto"/>
            </w:tcBorders>
          </w:tcPr>
          <w:p w:rsidR="0023384D" w:rsidRDefault="00D711A0" w:rsidP="00BE014A">
            <w:pPr>
              <w:jc w:val="center"/>
              <w:rPr>
                <w:rFonts w:asciiTheme="minorHAnsi" w:hAnsiTheme="minorHAnsi" w:cstheme="minorHAnsi"/>
                <w:sz w:val="20"/>
                <w:szCs w:val="20"/>
              </w:rPr>
            </w:pPr>
            <w:r>
              <w:rPr>
                <w:rFonts w:asciiTheme="minorHAnsi" w:hAnsiTheme="minorHAnsi" w:cstheme="minorHAnsi"/>
                <w:sz w:val="20"/>
                <w:szCs w:val="20"/>
              </w:rPr>
              <w:t>-2.63</w:t>
            </w:r>
            <w:r w:rsidR="0023384D">
              <w:rPr>
                <w:rFonts w:asciiTheme="minorHAnsi" w:hAnsiTheme="minorHAnsi" w:cstheme="minorHAnsi"/>
                <w:sz w:val="20"/>
                <w:szCs w:val="20"/>
              </w:rPr>
              <w:t>***</w:t>
            </w:r>
          </w:p>
        </w:tc>
      </w:tr>
      <w:tr w:rsidR="00D711A0" w:rsidRPr="0057403C" w:rsidTr="00BE014A">
        <w:tc>
          <w:tcPr>
            <w:tcW w:w="2736" w:type="dxa"/>
            <w:tcBorders>
              <w:bottom w:val="single" w:sz="4" w:space="0" w:color="auto"/>
              <w:right w:val="single" w:sz="4" w:space="0" w:color="auto"/>
            </w:tcBorders>
          </w:tcPr>
          <w:p w:rsidR="00D711A0" w:rsidRPr="0057403C" w:rsidRDefault="00D711A0" w:rsidP="00BE76A9">
            <w:pPr>
              <w:rPr>
                <w:rFonts w:asciiTheme="minorHAnsi" w:hAnsiTheme="minorHAnsi" w:cstheme="minorHAnsi"/>
                <w:sz w:val="20"/>
                <w:szCs w:val="20"/>
              </w:rPr>
            </w:pPr>
            <w:r>
              <w:rPr>
                <w:rFonts w:asciiTheme="minorHAnsi" w:hAnsiTheme="minorHAnsi" w:cstheme="minorHAnsi"/>
                <w:sz w:val="20"/>
                <w:szCs w:val="20"/>
              </w:rPr>
              <w:t>Lagged Error Term</w:t>
            </w:r>
          </w:p>
        </w:tc>
        <w:tc>
          <w:tcPr>
            <w:tcW w:w="1045" w:type="dxa"/>
            <w:tcBorders>
              <w:left w:val="single" w:sz="4" w:space="0" w:color="auto"/>
              <w:bottom w:val="single" w:sz="4" w:space="0" w:color="auto"/>
              <w:right w:val="single" w:sz="4" w:space="0" w:color="auto"/>
            </w:tcBorders>
          </w:tcPr>
          <w:p w:rsidR="00D711A0" w:rsidRPr="00812445" w:rsidRDefault="00D711A0" w:rsidP="00BE76A9">
            <w:pPr>
              <w:jc w:val="center"/>
              <w:rPr>
                <w:rFonts w:asciiTheme="minorHAnsi" w:hAnsiTheme="minorHAnsi" w:cstheme="minorHAnsi"/>
                <w:sz w:val="20"/>
                <w:szCs w:val="20"/>
              </w:rPr>
            </w:pPr>
            <w:r>
              <w:rPr>
                <w:rFonts w:asciiTheme="minorHAnsi" w:hAnsiTheme="minorHAnsi" w:cstheme="minorHAnsi"/>
                <w:sz w:val="20"/>
                <w:szCs w:val="20"/>
              </w:rPr>
              <w:t>27</w:t>
            </w:r>
          </w:p>
        </w:tc>
        <w:tc>
          <w:tcPr>
            <w:tcW w:w="1098" w:type="dxa"/>
            <w:tcBorders>
              <w:left w:val="single" w:sz="4" w:space="0" w:color="auto"/>
              <w:bottom w:val="single" w:sz="4" w:space="0" w:color="auto"/>
              <w:right w:val="single" w:sz="4" w:space="0" w:color="auto"/>
            </w:tcBorders>
          </w:tcPr>
          <w:p w:rsidR="00D711A0" w:rsidRDefault="00D711A0" w:rsidP="00BE76A9">
            <w:pPr>
              <w:jc w:val="center"/>
              <w:rPr>
                <w:rFonts w:asciiTheme="minorHAnsi" w:hAnsiTheme="minorHAnsi" w:cstheme="minorHAnsi"/>
                <w:sz w:val="20"/>
                <w:szCs w:val="20"/>
              </w:rPr>
            </w:pPr>
            <w:r>
              <w:t>Φ</w:t>
            </w:r>
            <w:r>
              <w:rPr>
                <w:vertAlign w:val="subscript"/>
              </w:rPr>
              <w:t>27</w:t>
            </w:r>
          </w:p>
        </w:tc>
        <w:tc>
          <w:tcPr>
            <w:tcW w:w="1305" w:type="dxa"/>
            <w:tcBorders>
              <w:left w:val="single" w:sz="4" w:space="0" w:color="auto"/>
              <w:bottom w:val="single" w:sz="4" w:space="0" w:color="auto"/>
              <w:right w:val="single" w:sz="4" w:space="0" w:color="auto"/>
            </w:tcBorders>
          </w:tcPr>
          <w:p w:rsidR="00D711A0" w:rsidRDefault="00D711A0" w:rsidP="00BE76A9">
            <w:pPr>
              <w:jc w:val="center"/>
              <w:rPr>
                <w:rFonts w:asciiTheme="minorHAnsi" w:hAnsiTheme="minorHAnsi" w:cstheme="minorHAnsi"/>
                <w:sz w:val="20"/>
                <w:szCs w:val="20"/>
              </w:rPr>
            </w:pPr>
            <w:r>
              <w:rPr>
                <w:rFonts w:asciiTheme="minorHAnsi" w:hAnsiTheme="minorHAnsi" w:cstheme="minorHAnsi"/>
                <w:sz w:val="20"/>
                <w:szCs w:val="20"/>
              </w:rPr>
              <w:t>0.252</w:t>
            </w:r>
          </w:p>
        </w:tc>
        <w:tc>
          <w:tcPr>
            <w:tcW w:w="1305" w:type="dxa"/>
            <w:tcBorders>
              <w:left w:val="single" w:sz="4" w:space="0" w:color="auto"/>
              <w:bottom w:val="single" w:sz="4" w:space="0" w:color="auto"/>
              <w:right w:val="single" w:sz="4" w:space="0" w:color="auto"/>
            </w:tcBorders>
          </w:tcPr>
          <w:p w:rsidR="00D711A0" w:rsidRDefault="00D711A0" w:rsidP="00BE76A9">
            <w:pPr>
              <w:jc w:val="center"/>
              <w:rPr>
                <w:rFonts w:asciiTheme="minorHAnsi" w:hAnsiTheme="minorHAnsi" w:cstheme="minorHAnsi"/>
                <w:sz w:val="20"/>
                <w:szCs w:val="20"/>
              </w:rPr>
            </w:pPr>
            <w:r>
              <w:rPr>
                <w:rFonts w:asciiTheme="minorHAnsi" w:hAnsiTheme="minorHAnsi" w:cstheme="minorHAnsi"/>
                <w:sz w:val="20"/>
                <w:szCs w:val="20"/>
              </w:rPr>
              <w:t>4.37***</w:t>
            </w:r>
          </w:p>
        </w:tc>
      </w:tr>
      <w:tr w:rsidR="0023384D" w:rsidRPr="0057403C" w:rsidTr="00BE014A">
        <w:tc>
          <w:tcPr>
            <w:tcW w:w="2736" w:type="dxa"/>
            <w:tcBorders>
              <w:top w:val="single" w:sz="4" w:space="0" w:color="auto"/>
              <w:bottom w:val="single" w:sz="4" w:space="0" w:color="auto"/>
              <w:right w:val="single" w:sz="4" w:space="0" w:color="auto"/>
            </w:tcBorders>
          </w:tcPr>
          <w:p w:rsidR="0023384D" w:rsidRPr="00C56FE5" w:rsidRDefault="0023384D" w:rsidP="00BE014A">
            <w:pPr>
              <w:rPr>
                <w:rFonts w:ascii="Calibri" w:hAnsi="Calibri" w:cs="Calibri"/>
                <w:sz w:val="20"/>
                <w:szCs w:val="20"/>
                <w:vertAlign w:val="superscript"/>
              </w:rPr>
            </w:pPr>
            <w:r w:rsidRPr="0057403C">
              <w:rPr>
                <w:rFonts w:ascii="Calibri" w:hAnsi="Calibri" w:cs="Calibri"/>
                <w:sz w:val="20"/>
                <w:szCs w:val="20"/>
              </w:rPr>
              <w:t>Official Purchasing Managers’ Index of Manufacturing Output in China</w:t>
            </w:r>
          </w:p>
        </w:tc>
        <w:tc>
          <w:tcPr>
            <w:tcW w:w="1045" w:type="dxa"/>
            <w:tcBorders>
              <w:top w:val="single" w:sz="4" w:space="0" w:color="auto"/>
              <w:left w:val="single" w:sz="4" w:space="0" w:color="auto"/>
              <w:bottom w:val="single" w:sz="4" w:space="0" w:color="auto"/>
              <w:right w:val="single" w:sz="4" w:space="0" w:color="auto"/>
            </w:tcBorders>
          </w:tcPr>
          <w:p w:rsidR="0023384D" w:rsidRPr="00812445" w:rsidRDefault="0023384D" w:rsidP="00BE014A">
            <w:pPr>
              <w:jc w:val="center"/>
              <w:rPr>
                <w:rFonts w:asciiTheme="minorHAnsi" w:hAnsiTheme="minorHAnsi" w:cstheme="minorHAnsi"/>
                <w:sz w:val="20"/>
                <w:szCs w:val="20"/>
              </w:rPr>
            </w:pPr>
            <w:r>
              <w:rPr>
                <w:rFonts w:asciiTheme="minorHAnsi" w:hAnsiTheme="minorHAnsi" w:cstheme="minorHAnsi"/>
                <w:sz w:val="20"/>
                <w:szCs w:val="20"/>
              </w:rPr>
              <w:t>9</w:t>
            </w:r>
          </w:p>
        </w:tc>
        <w:tc>
          <w:tcPr>
            <w:tcW w:w="1098" w:type="dxa"/>
            <w:tcBorders>
              <w:top w:val="single" w:sz="4" w:space="0" w:color="auto"/>
              <w:left w:val="single" w:sz="4" w:space="0" w:color="auto"/>
              <w:bottom w:val="single" w:sz="4" w:space="0" w:color="auto"/>
              <w:right w:val="single" w:sz="4" w:space="0" w:color="auto"/>
            </w:tcBorders>
          </w:tcPr>
          <w:p w:rsidR="0023384D" w:rsidRDefault="0023384D" w:rsidP="00BE014A">
            <w:pPr>
              <w:jc w:val="center"/>
              <w:rPr>
                <w:rFonts w:asciiTheme="minorHAnsi" w:hAnsiTheme="minorHAnsi" w:cstheme="minorHAnsi"/>
                <w:sz w:val="20"/>
                <w:szCs w:val="20"/>
              </w:rPr>
            </w:pPr>
            <w:r w:rsidRPr="007D1F8F">
              <w:rPr>
                <w:rFonts w:asciiTheme="minorHAnsi" w:hAnsiTheme="minorHAnsi" w:cstheme="minorHAnsi"/>
              </w:rPr>
              <w:t>β</w:t>
            </w:r>
            <w:r>
              <w:rPr>
                <w:rFonts w:asciiTheme="minorHAnsi" w:hAnsiTheme="minorHAnsi" w:cstheme="minorHAnsi"/>
                <w:vertAlign w:val="subscript"/>
              </w:rPr>
              <w:t>1</w:t>
            </w:r>
          </w:p>
        </w:tc>
        <w:tc>
          <w:tcPr>
            <w:tcW w:w="1305" w:type="dxa"/>
            <w:tcBorders>
              <w:top w:val="single" w:sz="4" w:space="0" w:color="auto"/>
              <w:left w:val="single" w:sz="4" w:space="0" w:color="auto"/>
              <w:bottom w:val="single" w:sz="4" w:space="0" w:color="auto"/>
              <w:right w:val="single" w:sz="4" w:space="0" w:color="auto"/>
            </w:tcBorders>
          </w:tcPr>
          <w:p w:rsidR="0023384D" w:rsidRPr="0057403C" w:rsidRDefault="0023384D" w:rsidP="00B50C50">
            <w:pPr>
              <w:jc w:val="center"/>
              <w:rPr>
                <w:rFonts w:asciiTheme="minorHAnsi" w:hAnsiTheme="minorHAnsi" w:cstheme="minorHAnsi"/>
                <w:sz w:val="20"/>
                <w:szCs w:val="20"/>
              </w:rPr>
            </w:pPr>
            <w:r>
              <w:rPr>
                <w:rFonts w:asciiTheme="minorHAnsi" w:hAnsiTheme="minorHAnsi" w:cstheme="minorHAnsi"/>
                <w:sz w:val="20"/>
                <w:szCs w:val="20"/>
              </w:rPr>
              <w:t>0.1</w:t>
            </w:r>
            <w:r w:rsidR="00D711A0">
              <w:rPr>
                <w:rFonts w:asciiTheme="minorHAnsi" w:hAnsiTheme="minorHAnsi" w:cstheme="minorHAnsi"/>
                <w:sz w:val="20"/>
                <w:szCs w:val="20"/>
              </w:rPr>
              <w:t>88</w:t>
            </w:r>
          </w:p>
        </w:tc>
        <w:tc>
          <w:tcPr>
            <w:tcW w:w="1305" w:type="dxa"/>
            <w:tcBorders>
              <w:top w:val="single" w:sz="4" w:space="0" w:color="auto"/>
              <w:left w:val="single" w:sz="4" w:space="0" w:color="auto"/>
              <w:bottom w:val="single" w:sz="4" w:space="0" w:color="auto"/>
              <w:right w:val="single" w:sz="4" w:space="0" w:color="auto"/>
            </w:tcBorders>
          </w:tcPr>
          <w:p w:rsidR="0023384D" w:rsidRPr="0057403C" w:rsidRDefault="00D711A0" w:rsidP="00BE014A">
            <w:pPr>
              <w:jc w:val="center"/>
              <w:rPr>
                <w:rFonts w:asciiTheme="minorHAnsi" w:hAnsiTheme="minorHAnsi" w:cstheme="minorHAnsi"/>
                <w:sz w:val="20"/>
                <w:szCs w:val="20"/>
              </w:rPr>
            </w:pPr>
            <w:r>
              <w:rPr>
                <w:rFonts w:asciiTheme="minorHAnsi" w:hAnsiTheme="minorHAnsi" w:cstheme="minorHAnsi"/>
                <w:sz w:val="20"/>
                <w:szCs w:val="20"/>
              </w:rPr>
              <w:t>7.68</w:t>
            </w:r>
            <w:r w:rsidR="0023384D">
              <w:rPr>
                <w:rFonts w:asciiTheme="minorHAnsi" w:hAnsiTheme="minorHAnsi" w:cstheme="minorHAnsi"/>
                <w:sz w:val="20"/>
                <w:szCs w:val="20"/>
              </w:rPr>
              <w:t>***</w:t>
            </w:r>
          </w:p>
        </w:tc>
      </w:tr>
      <w:tr w:rsidR="0023384D" w:rsidRPr="0057403C" w:rsidTr="00BE014A">
        <w:tc>
          <w:tcPr>
            <w:tcW w:w="2736" w:type="dxa"/>
            <w:tcBorders>
              <w:top w:val="single" w:sz="4" w:space="0" w:color="auto"/>
              <w:bottom w:val="single" w:sz="4" w:space="0" w:color="auto"/>
              <w:right w:val="single" w:sz="4" w:space="0" w:color="auto"/>
            </w:tcBorders>
          </w:tcPr>
          <w:p w:rsidR="0023384D" w:rsidRPr="00B84D4B" w:rsidRDefault="0023384D" w:rsidP="00BE014A">
            <w:pPr>
              <w:rPr>
                <w:rFonts w:ascii="Calibri" w:hAnsi="Calibri" w:cs="Calibri"/>
                <w:sz w:val="20"/>
                <w:szCs w:val="20"/>
              </w:rPr>
            </w:pPr>
            <w:r w:rsidRPr="00B84D4B">
              <w:rPr>
                <w:rFonts w:ascii="Calibri" w:hAnsi="Calibri" w:cs="Calibri"/>
                <w:sz w:val="20"/>
                <w:szCs w:val="20"/>
              </w:rPr>
              <w:t>US Yield Difference</w:t>
            </w:r>
          </w:p>
        </w:tc>
        <w:tc>
          <w:tcPr>
            <w:tcW w:w="1045" w:type="dxa"/>
            <w:tcBorders>
              <w:top w:val="single" w:sz="4" w:space="0" w:color="auto"/>
              <w:left w:val="single" w:sz="4" w:space="0" w:color="auto"/>
              <w:bottom w:val="single" w:sz="4" w:space="0" w:color="auto"/>
              <w:right w:val="single" w:sz="4" w:space="0" w:color="auto"/>
            </w:tcBorders>
          </w:tcPr>
          <w:p w:rsidR="0023384D" w:rsidRPr="00812445" w:rsidRDefault="00D711A0" w:rsidP="00BE014A">
            <w:pPr>
              <w:jc w:val="center"/>
              <w:rPr>
                <w:rFonts w:asciiTheme="minorHAnsi" w:hAnsiTheme="minorHAnsi" w:cstheme="minorHAnsi"/>
                <w:sz w:val="20"/>
                <w:szCs w:val="20"/>
              </w:rPr>
            </w:pPr>
            <w:r>
              <w:rPr>
                <w:rFonts w:asciiTheme="minorHAnsi" w:hAnsiTheme="minorHAnsi" w:cstheme="minorHAnsi"/>
                <w:sz w:val="20"/>
                <w:szCs w:val="20"/>
              </w:rPr>
              <w:t>39</w:t>
            </w:r>
          </w:p>
        </w:tc>
        <w:tc>
          <w:tcPr>
            <w:tcW w:w="1098" w:type="dxa"/>
            <w:tcBorders>
              <w:top w:val="single" w:sz="4" w:space="0" w:color="auto"/>
              <w:left w:val="single" w:sz="4" w:space="0" w:color="auto"/>
              <w:bottom w:val="single" w:sz="4" w:space="0" w:color="auto"/>
              <w:right w:val="single" w:sz="4" w:space="0" w:color="auto"/>
            </w:tcBorders>
          </w:tcPr>
          <w:p w:rsidR="0023384D" w:rsidRDefault="0023384D" w:rsidP="00BE014A">
            <w:pPr>
              <w:jc w:val="center"/>
              <w:rPr>
                <w:rFonts w:asciiTheme="minorHAnsi" w:hAnsiTheme="minorHAnsi" w:cstheme="minorHAnsi"/>
                <w:sz w:val="20"/>
                <w:szCs w:val="20"/>
              </w:rPr>
            </w:pPr>
            <w:r w:rsidRPr="007D1F8F">
              <w:rPr>
                <w:rFonts w:asciiTheme="minorHAnsi" w:hAnsiTheme="minorHAnsi" w:cstheme="minorHAnsi"/>
              </w:rPr>
              <w:t>β</w:t>
            </w:r>
            <w:r>
              <w:rPr>
                <w:rFonts w:asciiTheme="minorHAnsi" w:hAnsiTheme="minorHAnsi" w:cstheme="minorHAnsi"/>
                <w:vertAlign w:val="subscript"/>
              </w:rPr>
              <w:t>2</w:t>
            </w:r>
          </w:p>
        </w:tc>
        <w:tc>
          <w:tcPr>
            <w:tcW w:w="1305" w:type="dxa"/>
            <w:tcBorders>
              <w:top w:val="single" w:sz="4" w:space="0" w:color="auto"/>
              <w:left w:val="single" w:sz="4" w:space="0" w:color="auto"/>
              <w:bottom w:val="single" w:sz="4" w:space="0" w:color="auto"/>
              <w:right w:val="single" w:sz="4" w:space="0" w:color="auto"/>
            </w:tcBorders>
          </w:tcPr>
          <w:p w:rsidR="0023384D" w:rsidRPr="0057403C" w:rsidRDefault="0023384D" w:rsidP="00BE014A">
            <w:pPr>
              <w:jc w:val="center"/>
              <w:rPr>
                <w:rFonts w:asciiTheme="minorHAnsi" w:hAnsiTheme="minorHAnsi" w:cstheme="minorHAnsi"/>
                <w:sz w:val="20"/>
                <w:szCs w:val="20"/>
              </w:rPr>
            </w:pPr>
            <w:r>
              <w:rPr>
                <w:rFonts w:asciiTheme="minorHAnsi" w:hAnsiTheme="minorHAnsi" w:cstheme="minorHAnsi"/>
                <w:sz w:val="20"/>
                <w:szCs w:val="20"/>
              </w:rPr>
              <w:t>0.1</w:t>
            </w:r>
            <w:r w:rsidR="00EE5AA8">
              <w:rPr>
                <w:rFonts w:asciiTheme="minorHAnsi" w:hAnsiTheme="minorHAnsi" w:cstheme="minorHAnsi"/>
                <w:sz w:val="20"/>
                <w:szCs w:val="20"/>
              </w:rPr>
              <w:t>52</w:t>
            </w:r>
          </w:p>
        </w:tc>
        <w:tc>
          <w:tcPr>
            <w:tcW w:w="1305" w:type="dxa"/>
            <w:tcBorders>
              <w:top w:val="single" w:sz="4" w:space="0" w:color="auto"/>
              <w:left w:val="single" w:sz="4" w:space="0" w:color="auto"/>
              <w:bottom w:val="single" w:sz="4" w:space="0" w:color="auto"/>
              <w:right w:val="single" w:sz="4" w:space="0" w:color="auto"/>
            </w:tcBorders>
          </w:tcPr>
          <w:p w:rsidR="0023384D" w:rsidRPr="0057403C" w:rsidRDefault="00EE5AA8" w:rsidP="00BE014A">
            <w:pPr>
              <w:jc w:val="center"/>
              <w:rPr>
                <w:rFonts w:asciiTheme="minorHAnsi" w:hAnsiTheme="minorHAnsi" w:cstheme="minorHAnsi"/>
                <w:sz w:val="20"/>
                <w:szCs w:val="20"/>
              </w:rPr>
            </w:pPr>
            <w:r>
              <w:rPr>
                <w:rFonts w:asciiTheme="minorHAnsi" w:hAnsiTheme="minorHAnsi" w:cstheme="minorHAnsi"/>
                <w:sz w:val="20"/>
                <w:szCs w:val="20"/>
              </w:rPr>
              <w:t>4.64</w:t>
            </w:r>
            <w:r w:rsidR="0023384D">
              <w:rPr>
                <w:rFonts w:asciiTheme="minorHAnsi" w:hAnsiTheme="minorHAnsi" w:cstheme="minorHAnsi"/>
                <w:sz w:val="20"/>
                <w:szCs w:val="20"/>
              </w:rPr>
              <w:t>***</w:t>
            </w:r>
          </w:p>
        </w:tc>
      </w:tr>
      <w:tr w:rsidR="0023384D" w:rsidRPr="0057403C" w:rsidTr="00BE014A">
        <w:tc>
          <w:tcPr>
            <w:tcW w:w="2736" w:type="dxa"/>
            <w:tcBorders>
              <w:top w:val="single" w:sz="4" w:space="0" w:color="auto"/>
              <w:bottom w:val="single" w:sz="4" w:space="0" w:color="auto"/>
              <w:right w:val="single" w:sz="4" w:space="0" w:color="auto"/>
            </w:tcBorders>
          </w:tcPr>
          <w:p w:rsidR="0023384D" w:rsidRPr="002D2106" w:rsidRDefault="0023384D" w:rsidP="00BE014A">
            <w:pPr>
              <w:rPr>
                <w:rFonts w:ascii="Calibri" w:hAnsi="Calibri" w:cs="Calibri"/>
                <w:sz w:val="20"/>
                <w:szCs w:val="20"/>
              </w:rPr>
            </w:pPr>
            <w:r w:rsidRPr="002D2106">
              <w:rPr>
                <w:rFonts w:ascii="Calibri" w:hAnsi="Calibri" w:cs="Calibri"/>
                <w:color w:val="000000" w:themeColor="text1"/>
                <w:sz w:val="20"/>
                <w:szCs w:val="20"/>
              </w:rPr>
              <w:t>Westpac-Melbourne Institute Consumer Sentiment Index</w:t>
            </w:r>
          </w:p>
        </w:tc>
        <w:tc>
          <w:tcPr>
            <w:tcW w:w="1045" w:type="dxa"/>
            <w:tcBorders>
              <w:top w:val="single" w:sz="4" w:space="0" w:color="auto"/>
              <w:left w:val="single" w:sz="4" w:space="0" w:color="auto"/>
              <w:bottom w:val="single" w:sz="4" w:space="0" w:color="auto"/>
              <w:right w:val="single" w:sz="4" w:space="0" w:color="auto"/>
            </w:tcBorders>
          </w:tcPr>
          <w:p w:rsidR="0023384D" w:rsidRPr="00812445" w:rsidRDefault="0023384D" w:rsidP="00BE014A">
            <w:pPr>
              <w:jc w:val="center"/>
              <w:rPr>
                <w:rFonts w:asciiTheme="minorHAnsi" w:hAnsiTheme="minorHAnsi" w:cstheme="minorHAnsi"/>
                <w:sz w:val="20"/>
                <w:szCs w:val="20"/>
              </w:rPr>
            </w:pPr>
            <w:r w:rsidRPr="00812445">
              <w:rPr>
                <w:rFonts w:asciiTheme="minorHAnsi" w:hAnsiTheme="minorHAnsi" w:cstheme="minorHAnsi"/>
                <w:sz w:val="20"/>
                <w:szCs w:val="20"/>
              </w:rPr>
              <w:t>12</w:t>
            </w:r>
          </w:p>
        </w:tc>
        <w:tc>
          <w:tcPr>
            <w:tcW w:w="1098" w:type="dxa"/>
            <w:tcBorders>
              <w:top w:val="single" w:sz="4" w:space="0" w:color="auto"/>
              <w:left w:val="single" w:sz="4" w:space="0" w:color="auto"/>
              <w:bottom w:val="single" w:sz="4" w:space="0" w:color="auto"/>
              <w:right w:val="single" w:sz="4" w:space="0" w:color="auto"/>
            </w:tcBorders>
          </w:tcPr>
          <w:p w:rsidR="0023384D" w:rsidRDefault="0023384D" w:rsidP="00BE014A">
            <w:pPr>
              <w:jc w:val="center"/>
              <w:rPr>
                <w:rFonts w:asciiTheme="minorHAnsi" w:hAnsiTheme="minorHAnsi" w:cstheme="minorHAnsi"/>
                <w:sz w:val="20"/>
                <w:szCs w:val="20"/>
              </w:rPr>
            </w:pPr>
            <w:r w:rsidRPr="007D1F8F">
              <w:rPr>
                <w:rFonts w:asciiTheme="minorHAnsi" w:hAnsiTheme="minorHAnsi" w:cstheme="minorHAnsi"/>
              </w:rPr>
              <w:t>β</w:t>
            </w:r>
            <w:r>
              <w:rPr>
                <w:rFonts w:asciiTheme="minorHAnsi" w:hAnsiTheme="minorHAnsi" w:cstheme="minorHAnsi"/>
                <w:vertAlign w:val="subscript"/>
              </w:rPr>
              <w:t>3</w:t>
            </w:r>
          </w:p>
        </w:tc>
        <w:tc>
          <w:tcPr>
            <w:tcW w:w="1305" w:type="dxa"/>
            <w:tcBorders>
              <w:top w:val="single" w:sz="4" w:space="0" w:color="auto"/>
              <w:left w:val="single" w:sz="4" w:space="0" w:color="auto"/>
              <w:bottom w:val="single" w:sz="4" w:space="0" w:color="auto"/>
              <w:right w:val="single" w:sz="4" w:space="0" w:color="auto"/>
            </w:tcBorders>
          </w:tcPr>
          <w:p w:rsidR="0023384D" w:rsidRDefault="00EE5AA8" w:rsidP="00BE014A">
            <w:pPr>
              <w:jc w:val="center"/>
              <w:rPr>
                <w:rFonts w:asciiTheme="minorHAnsi" w:hAnsiTheme="minorHAnsi" w:cstheme="minorHAnsi"/>
                <w:sz w:val="20"/>
                <w:szCs w:val="20"/>
              </w:rPr>
            </w:pPr>
            <w:r>
              <w:rPr>
                <w:rFonts w:asciiTheme="minorHAnsi" w:hAnsiTheme="minorHAnsi" w:cstheme="minorHAnsi"/>
                <w:sz w:val="20"/>
                <w:szCs w:val="20"/>
              </w:rPr>
              <w:t>0.255</w:t>
            </w:r>
          </w:p>
        </w:tc>
        <w:tc>
          <w:tcPr>
            <w:tcW w:w="1305" w:type="dxa"/>
            <w:tcBorders>
              <w:top w:val="single" w:sz="4" w:space="0" w:color="auto"/>
              <w:left w:val="single" w:sz="4" w:space="0" w:color="auto"/>
              <w:bottom w:val="single" w:sz="4" w:space="0" w:color="auto"/>
              <w:right w:val="single" w:sz="4" w:space="0" w:color="auto"/>
            </w:tcBorders>
          </w:tcPr>
          <w:p w:rsidR="0023384D" w:rsidRDefault="00EE5AA8" w:rsidP="00BE014A">
            <w:pPr>
              <w:jc w:val="center"/>
              <w:rPr>
                <w:rFonts w:asciiTheme="minorHAnsi" w:hAnsiTheme="minorHAnsi" w:cstheme="minorHAnsi"/>
                <w:sz w:val="20"/>
                <w:szCs w:val="20"/>
              </w:rPr>
            </w:pPr>
            <w:r>
              <w:rPr>
                <w:rFonts w:asciiTheme="minorHAnsi" w:hAnsiTheme="minorHAnsi" w:cstheme="minorHAnsi"/>
                <w:sz w:val="20"/>
                <w:szCs w:val="20"/>
              </w:rPr>
              <w:t>7.08</w:t>
            </w:r>
            <w:r w:rsidR="0023384D">
              <w:rPr>
                <w:rFonts w:asciiTheme="minorHAnsi" w:hAnsiTheme="minorHAnsi" w:cstheme="minorHAnsi"/>
                <w:sz w:val="20"/>
                <w:szCs w:val="20"/>
              </w:rPr>
              <w:t>***</w:t>
            </w:r>
          </w:p>
        </w:tc>
      </w:tr>
      <w:tr w:rsidR="0023384D" w:rsidRPr="0057403C" w:rsidTr="00BE014A">
        <w:tc>
          <w:tcPr>
            <w:tcW w:w="2736" w:type="dxa"/>
            <w:tcBorders>
              <w:top w:val="single" w:sz="4" w:space="0" w:color="auto"/>
              <w:bottom w:val="single" w:sz="4" w:space="0" w:color="auto"/>
              <w:right w:val="single" w:sz="4" w:space="0" w:color="auto"/>
            </w:tcBorders>
          </w:tcPr>
          <w:p w:rsidR="0023384D" w:rsidRPr="002D2106" w:rsidRDefault="0023384D" w:rsidP="00BE014A">
            <w:pPr>
              <w:rPr>
                <w:rFonts w:ascii="Calibri" w:hAnsi="Calibri" w:cs="Calibri"/>
                <w:sz w:val="20"/>
                <w:szCs w:val="20"/>
              </w:rPr>
            </w:pPr>
            <w:r w:rsidRPr="002D2106">
              <w:rPr>
                <w:rFonts w:ascii="Calibri" w:hAnsi="Calibri" w:cs="Calibri"/>
                <w:color w:val="000000" w:themeColor="text1"/>
                <w:sz w:val="20"/>
                <w:szCs w:val="20"/>
              </w:rPr>
              <w:t>Westpac-Melbourne Institute Leading Index of Economic Activity</w:t>
            </w:r>
          </w:p>
        </w:tc>
        <w:tc>
          <w:tcPr>
            <w:tcW w:w="1045" w:type="dxa"/>
            <w:tcBorders>
              <w:top w:val="single" w:sz="4" w:space="0" w:color="auto"/>
              <w:left w:val="single" w:sz="4" w:space="0" w:color="auto"/>
              <w:bottom w:val="single" w:sz="4" w:space="0" w:color="auto"/>
              <w:right w:val="single" w:sz="4" w:space="0" w:color="auto"/>
            </w:tcBorders>
          </w:tcPr>
          <w:p w:rsidR="0023384D" w:rsidRPr="00812445" w:rsidRDefault="0023384D" w:rsidP="00BE014A">
            <w:pPr>
              <w:jc w:val="center"/>
              <w:rPr>
                <w:rFonts w:asciiTheme="minorHAnsi" w:hAnsiTheme="minorHAnsi" w:cstheme="minorHAnsi"/>
                <w:sz w:val="20"/>
                <w:szCs w:val="20"/>
              </w:rPr>
            </w:pPr>
            <w:r w:rsidRPr="00812445">
              <w:rPr>
                <w:rFonts w:asciiTheme="minorHAnsi" w:hAnsiTheme="minorHAnsi" w:cstheme="minorHAnsi"/>
                <w:sz w:val="20"/>
                <w:szCs w:val="20"/>
              </w:rPr>
              <w:t>12</w:t>
            </w:r>
          </w:p>
        </w:tc>
        <w:tc>
          <w:tcPr>
            <w:tcW w:w="1098" w:type="dxa"/>
            <w:tcBorders>
              <w:top w:val="single" w:sz="4" w:space="0" w:color="auto"/>
              <w:left w:val="single" w:sz="4" w:space="0" w:color="auto"/>
              <w:bottom w:val="single" w:sz="4" w:space="0" w:color="auto"/>
              <w:right w:val="single" w:sz="4" w:space="0" w:color="auto"/>
            </w:tcBorders>
          </w:tcPr>
          <w:p w:rsidR="0023384D" w:rsidRDefault="0023384D" w:rsidP="00BE014A">
            <w:pPr>
              <w:jc w:val="center"/>
              <w:rPr>
                <w:rFonts w:asciiTheme="minorHAnsi" w:hAnsiTheme="minorHAnsi" w:cstheme="minorHAnsi"/>
                <w:sz w:val="20"/>
                <w:szCs w:val="20"/>
              </w:rPr>
            </w:pPr>
            <w:r w:rsidRPr="007D1F8F">
              <w:rPr>
                <w:rFonts w:asciiTheme="minorHAnsi" w:hAnsiTheme="minorHAnsi" w:cstheme="minorHAnsi"/>
              </w:rPr>
              <w:t>β</w:t>
            </w:r>
            <w:r>
              <w:rPr>
                <w:rFonts w:asciiTheme="minorHAnsi" w:hAnsiTheme="minorHAnsi" w:cstheme="minorHAnsi"/>
                <w:vertAlign w:val="subscript"/>
              </w:rPr>
              <w:t>4</w:t>
            </w:r>
          </w:p>
        </w:tc>
        <w:tc>
          <w:tcPr>
            <w:tcW w:w="1305" w:type="dxa"/>
            <w:tcBorders>
              <w:top w:val="single" w:sz="4" w:space="0" w:color="auto"/>
              <w:left w:val="single" w:sz="4" w:space="0" w:color="auto"/>
              <w:bottom w:val="single" w:sz="4" w:space="0" w:color="auto"/>
              <w:right w:val="single" w:sz="4" w:space="0" w:color="auto"/>
            </w:tcBorders>
          </w:tcPr>
          <w:p w:rsidR="0023384D" w:rsidRPr="0057403C" w:rsidRDefault="0023384D" w:rsidP="00BE014A">
            <w:pPr>
              <w:jc w:val="center"/>
              <w:rPr>
                <w:rFonts w:asciiTheme="minorHAnsi" w:hAnsiTheme="minorHAnsi" w:cstheme="minorHAnsi"/>
                <w:sz w:val="20"/>
                <w:szCs w:val="20"/>
              </w:rPr>
            </w:pPr>
            <w:r>
              <w:rPr>
                <w:rFonts w:asciiTheme="minorHAnsi" w:hAnsiTheme="minorHAnsi" w:cstheme="minorHAnsi"/>
                <w:sz w:val="20"/>
                <w:szCs w:val="20"/>
              </w:rPr>
              <w:t>0.</w:t>
            </w:r>
            <w:r w:rsidR="00EE5AA8">
              <w:rPr>
                <w:rFonts w:asciiTheme="minorHAnsi" w:hAnsiTheme="minorHAnsi" w:cstheme="minorHAnsi"/>
                <w:sz w:val="20"/>
                <w:szCs w:val="20"/>
              </w:rPr>
              <w:t>185</w:t>
            </w:r>
          </w:p>
        </w:tc>
        <w:tc>
          <w:tcPr>
            <w:tcW w:w="1305" w:type="dxa"/>
            <w:tcBorders>
              <w:top w:val="single" w:sz="4" w:space="0" w:color="auto"/>
              <w:left w:val="single" w:sz="4" w:space="0" w:color="auto"/>
              <w:bottom w:val="single" w:sz="4" w:space="0" w:color="auto"/>
              <w:right w:val="single" w:sz="4" w:space="0" w:color="auto"/>
            </w:tcBorders>
          </w:tcPr>
          <w:p w:rsidR="0023384D" w:rsidRPr="0057403C" w:rsidRDefault="00EE5AA8" w:rsidP="00BE014A">
            <w:pPr>
              <w:jc w:val="center"/>
              <w:rPr>
                <w:rFonts w:asciiTheme="minorHAnsi" w:hAnsiTheme="minorHAnsi" w:cstheme="minorHAnsi"/>
                <w:sz w:val="20"/>
                <w:szCs w:val="20"/>
              </w:rPr>
            </w:pPr>
            <w:r>
              <w:rPr>
                <w:rFonts w:asciiTheme="minorHAnsi" w:hAnsiTheme="minorHAnsi" w:cstheme="minorHAnsi"/>
                <w:sz w:val="20"/>
                <w:szCs w:val="20"/>
              </w:rPr>
              <w:t>5.00</w:t>
            </w:r>
            <w:r w:rsidR="0023384D">
              <w:rPr>
                <w:rFonts w:asciiTheme="minorHAnsi" w:hAnsiTheme="minorHAnsi" w:cstheme="minorHAnsi"/>
                <w:sz w:val="20"/>
                <w:szCs w:val="20"/>
              </w:rPr>
              <w:t>***</w:t>
            </w:r>
          </w:p>
        </w:tc>
      </w:tr>
      <w:tr w:rsidR="0023384D" w:rsidRPr="0057403C" w:rsidTr="00BE014A">
        <w:tc>
          <w:tcPr>
            <w:tcW w:w="2736" w:type="dxa"/>
            <w:tcBorders>
              <w:top w:val="single" w:sz="4" w:space="0" w:color="auto"/>
              <w:bottom w:val="single" w:sz="4" w:space="0" w:color="auto"/>
              <w:right w:val="single" w:sz="4" w:space="0" w:color="auto"/>
            </w:tcBorders>
          </w:tcPr>
          <w:p w:rsidR="0023384D" w:rsidRPr="006D0C8B" w:rsidRDefault="0023384D" w:rsidP="00BE014A">
            <w:pPr>
              <w:rPr>
                <w:rFonts w:ascii="Calibri" w:hAnsi="Calibri" w:cs="Calibri"/>
                <w:color w:val="000000" w:themeColor="text1"/>
                <w:sz w:val="20"/>
                <w:szCs w:val="20"/>
              </w:rPr>
            </w:pPr>
            <w:r w:rsidRPr="002D2106">
              <w:rPr>
                <w:rFonts w:ascii="Calibri" w:hAnsi="Calibri" w:cs="Calibri"/>
                <w:color w:val="000000" w:themeColor="text1"/>
                <w:sz w:val="20"/>
                <w:szCs w:val="20"/>
              </w:rPr>
              <w:t>Westpac-Melbourne Institute Leading Index of Economic Activity</w:t>
            </w:r>
          </w:p>
        </w:tc>
        <w:tc>
          <w:tcPr>
            <w:tcW w:w="1045" w:type="dxa"/>
            <w:tcBorders>
              <w:top w:val="single" w:sz="4" w:space="0" w:color="auto"/>
              <w:left w:val="single" w:sz="4" w:space="0" w:color="auto"/>
              <w:bottom w:val="single" w:sz="4" w:space="0" w:color="auto"/>
              <w:right w:val="single" w:sz="4" w:space="0" w:color="auto"/>
            </w:tcBorders>
          </w:tcPr>
          <w:p w:rsidR="0023384D" w:rsidRPr="00812445" w:rsidRDefault="0023384D" w:rsidP="00BE014A">
            <w:pPr>
              <w:jc w:val="center"/>
              <w:rPr>
                <w:rFonts w:asciiTheme="minorHAnsi" w:hAnsiTheme="minorHAnsi" w:cstheme="minorHAnsi"/>
                <w:sz w:val="20"/>
                <w:szCs w:val="20"/>
              </w:rPr>
            </w:pPr>
            <w:r>
              <w:rPr>
                <w:rFonts w:asciiTheme="minorHAnsi" w:hAnsiTheme="minorHAnsi" w:cstheme="minorHAnsi"/>
                <w:sz w:val="20"/>
                <w:szCs w:val="20"/>
              </w:rPr>
              <w:t>24</w:t>
            </w:r>
          </w:p>
        </w:tc>
        <w:tc>
          <w:tcPr>
            <w:tcW w:w="1098" w:type="dxa"/>
            <w:tcBorders>
              <w:top w:val="single" w:sz="4" w:space="0" w:color="auto"/>
              <w:left w:val="single" w:sz="4" w:space="0" w:color="auto"/>
              <w:bottom w:val="single" w:sz="4" w:space="0" w:color="auto"/>
              <w:right w:val="single" w:sz="4" w:space="0" w:color="auto"/>
            </w:tcBorders>
          </w:tcPr>
          <w:p w:rsidR="0023384D" w:rsidRDefault="0023384D" w:rsidP="00BE014A">
            <w:pPr>
              <w:jc w:val="center"/>
              <w:rPr>
                <w:rFonts w:asciiTheme="minorHAnsi" w:hAnsiTheme="minorHAnsi" w:cstheme="minorHAnsi"/>
                <w:sz w:val="20"/>
                <w:szCs w:val="20"/>
              </w:rPr>
            </w:pPr>
            <w:r w:rsidRPr="007D1F8F">
              <w:rPr>
                <w:rFonts w:asciiTheme="minorHAnsi" w:hAnsiTheme="minorHAnsi" w:cstheme="minorHAnsi"/>
              </w:rPr>
              <w:t>β</w:t>
            </w:r>
            <w:r>
              <w:rPr>
                <w:rFonts w:asciiTheme="minorHAnsi" w:hAnsiTheme="minorHAnsi" w:cstheme="minorHAnsi"/>
                <w:vertAlign w:val="subscript"/>
              </w:rPr>
              <w:t>5</w:t>
            </w:r>
          </w:p>
        </w:tc>
        <w:tc>
          <w:tcPr>
            <w:tcW w:w="1305" w:type="dxa"/>
            <w:tcBorders>
              <w:top w:val="single" w:sz="4" w:space="0" w:color="auto"/>
              <w:left w:val="single" w:sz="4" w:space="0" w:color="auto"/>
              <w:bottom w:val="single" w:sz="4" w:space="0" w:color="auto"/>
              <w:right w:val="single" w:sz="4" w:space="0" w:color="auto"/>
            </w:tcBorders>
          </w:tcPr>
          <w:p w:rsidR="0023384D" w:rsidRDefault="0023384D" w:rsidP="00BE014A">
            <w:pPr>
              <w:jc w:val="center"/>
              <w:rPr>
                <w:rFonts w:asciiTheme="minorHAnsi" w:hAnsiTheme="minorHAnsi" w:cstheme="minorHAnsi"/>
                <w:sz w:val="20"/>
                <w:szCs w:val="20"/>
              </w:rPr>
            </w:pPr>
            <w:r>
              <w:rPr>
                <w:rFonts w:asciiTheme="minorHAnsi" w:hAnsiTheme="minorHAnsi" w:cstheme="minorHAnsi"/>
                <w:sz w:val="20"/>
                <w:szCs w:val="20"/>
              </w:rPr>
              <w:t>0.</w:t>
            </w:r>
            <w:r w:rsidR="00EE5AA8">
              <w:rPr>
                <w:rFonts w:asciiTheme="minorHAnsi" w:hAnsiTheme="minorHAnsi" w:cstheme="minorHAnsi"/>
                <w:sz w:val="20"/>
                <w:szCs w:val="20"/>
              </w:rPr>
              <w:t>526</w:t>
            </w:r>
          </w:p>
        </w:tc>
        <w:tc>
          <w:tcPr>
            <w:tcW w:w="1305" w:type="dxa"/>
            <w:tcBorders>
              <w:top w:val="single" w:sz="4" w:space="0" w:color="auto"/>
              <w:left w:val="single" w:sz="4" w:space="0" w:color="auto"/>
              <w:bottom w:val="single" w:sz="4" w:space="0" w:color="auto"/>
              <w:right w:val="single" w:sz="4" w:space="0" w:color="auto"/>
            </w:tcBorders>
          </w:tcPr>
          <w:p w:rsidR="0023384D" w:rsidRDefault="00EE5AA8" w:rsidP="00BE014A">
            <w:pPr>
              <w:jc w:val="center"/>
              <w:rPr>
                <w:rFonts w:asciiTheme="minorHAnsi" w:hAnsiTheme="minorHAnsi" w:cstheme="minorHAnsi"/>
                <w:sz w:val="20"/>
                <w:szCs w:val="20"/>
              </w:rPr>
            </w:pPr>
            <w:r>
              <w:rPr>
                <w:rFonts w:asciiTheme="minorHAnsi" w:hAnsiTheme="minorHAnsi" w:cstheme="minorHAnsi"/>
                <w:sz w:val="20"/>
                <w:szCs w:val="20"/>
              </w:rPr>
              <w:t>8.69</w:t>
            </w:r>
            <w:r w:rsidR="0023384D">
              <w:rPr>
                <w:rFonts w:asciiTheme="minorHAnsi" w:hAnsiTheme="minorHAnsi" w:cstheme="minorHAnsi"/>
                <w:sz w:val="20"/>
                <w:szCs w:val="20"/>
              </w:rPr>
              <w:t>***</w:t>
            </w:r>
          </w:p>
        </w:tc>
      </w:tr>
      <w:tr w:rsidR="0023384D" w:rsidRPr="0057403C" w:rsidTr="00BE014A">
        <w:tc>
          <w:tcPr>
            <w:tcW w:w="2736" w:type="dxa"/>
            <w:tcBorders>
              <w:top w:val="single" w:sz="4" w:space="0" w:color="auto"/>
              <w:bottom w:val="single" w:sz="4" w:space="0" w:color="auto"/>
              <w:right w:val="single" w:sz="4" w:space="0" w:color="auto"/>
            </w:tcBorders>
          </w:tcPr>
          <w:p w:rsidR="0023384D" w:rsidRPr="008847B3" w:rsidRDefault="0023384D" w:rsidP="00484AFE">
            <w:pPr>
              <w:rPr>
                <w:rFonts w:asciiTheme="minorHAnsi" w:hAnsiTheme="minorHAnsi" w:cstheme="minorHAnsi"/>
                <w:sz w:val="20"/>
                <w:szCs w:val="20"/>
              </w:rPr>
            </w:pPr>
            <w:r w:rsidRPr="008847B3">
              <w:rPr>
                <w:rFonts w:asciiTheme="minorHAnsi" w:hAnsiTheme="minorHAnsi" w:cstheme="minorHAnsi"/>
                <w:sz w:val="20"/>
                <w:szCs w:val="20"/>
              </w:rPr>
              <w:t>NAB Forward Orders Index</w:t>
            </w:r>
          </w:p>
        </w:tc>
        <w:tc>
          <w:tcPr>
            <w:tcW w:w="1045" w:type="dxa"/>
            <w:tcBorders>
              <w:top w:val="single" w:sz="4" w:space="0" w:color="auto"/>
              <w:left w:val="single" w:sz="4" w:space="0" w:color="auto"/>
              <w:bottom w:val="single" w:sz="4" w:space="0" w:color="auto"/>
              <w:right w:val="single" w:sz="4" w:space="0" w:color="auto"/>
            </w:tcBorders>
          </w:tcPr>
          <w:p w:rsidR="0023384D" w:rsidRPr="00812445" w:rsidRDefault="0023384D" w:rsidP="00BE014A">
            <w:pPr>
              <w:jc w:val="center"/>
              <w:rPr>
                <w:rFonts w:asciiTheme="minorHAnsi" w:hAnsiTheme="minorHAnsi" w:cstheme="minorHAnsi"/>
                <w:sz w:val="20"/>
                <w:szCs w:val="20"/>
              </w:rPr>
            </w:pPr>
            <w:r w:rsidRPr="00812445">
              <w:rPr>
                <w:rFonts w:asciiTheme="minorHAnsi" w:hAnsiTheme="minorHAnsi" w:cstheme="minorHAnsi"/>
                <w:sz w:val="20"/>
                <w:szCs w:val="20"/>
              </w:rPr>
              <w:t>18</w:t>
            </w:r>
          </w:p>
        </w:tc>
        <w:tc>
          <w:tcPr>
            <w:tcW w:w="1098" w:type="dxa"/>
            <w:tcBorders>
              <w:top w:val="single" w:sz="4" w:space="0" w:color="auto"/>
              <w:left w:val="single" w:sz="4" w:space="0" w:color="auto"/>
              <w:bottom w:val="single" w:sz="4" w:space="0" w:color="auto"/>
              <w:right w:val="single" w:sz="4" w:space="0" w:color="auto"/>
            </w:tcBorders>
          </w:tcPr>
          <w:p w:rsidR="0023384D" w:rsidRDefault="00F7752D" w:rsidP="00BE014A">
            <w:pPr>
              <w:jc w:val="center"/>
              <w:rPr>
                <w:rFonts w:asciiTheme="minorHAnsi" w:hAnsiTheme="minorHAnsi" w:cstheme="minorHAnsi"/>
                <w:sz w:val="20"/>
                <w:szCs w:val="20"/>
              </w:rPr>
            </w:pPr>
            <w:r w:rsidRPr="007D1F8F">
              <w:rPr>
                <w:rFonts w:asciiTheme="minorHAnsi" w:hAnsiTheme="minorHAnsi" w:cstheme="minorHAnsi"/>
              </w:rPr>
              <w:t>β</w:t>
            </w:r>
            <w:r>
              <w:rPr>
                <w:rFonts w:asciiTheme="minorHAnsi" w:hAnsiTheme="minorHAnsi" w:cstheme="minorHAnsi"/>
                <w:vertAlign w:val="subscript"/>
              </w:rPr>
              <w:t>6</w:t>
            </w:r>
          </w:p>
        </w:tc>
        <w:tc>
          <w:tcPr>
            <w:tcW w:w="1305" w:type="dxa"/>
            <w:tcBorders>
              <w:top w:val="single" w:sz="4" w:space="0" w:color="auto"/>
              <w:left w:val="single" w:sz="4" w:space="0" w:color="auto"/>
              <w:bottom w:val="single" w:sz="4" w:space="0" w:color="auto"/>
              <w:right w:val="single" w:sz="4" w:space="0" w:color="auto"/>
            </w:tcBorders>
          </w:tcPr>
          <w:p w:rsidR="0023384D" w:rsidRPr="0057403C" w:rsidRDefault="0023384D" w:rsidP="009C3980">
            <w:pPr>
              <w:jc w:val="center"/>
              <w:rPr>
                <w:rFonts w:asciiTheme="minorHAnsi" w:hAnsiTheme="minorHAnsi" w:cstheme="minorHAnsi"/>
                <w:sz w:val="20"/>
                <w:szCs w:val="20"/>
              </w:rPr>
            </w:pPr>
            <w:r>
              <w:rPr>
                <w:rFonts w:asciiTheme="minorHAnsi" w:hAnsiTheme="minorHAnsi" w:cstheme="minorHAnsi"/>
                <w:sz w:val="20"/>
                <w:szCs w:val="20"/>
              </w:rPr>
              <w:t>0.</w:t>
            </w:r>
            <w:r w:rsidR="00EE5AA8">
              <w:rPr>
                <w:rFonts w:asciiTheme="minorHAnsi" w:hAnsiTheme="minorHAnsi" w:cstheme="minorHAnsi"/>
                <w:sz w:val="20"/>
                <w:szCs w:val="20"/>
              </w:rPr>
              <w:t>231</w:t>
            </w:r>
          </w:p>
        </w:tc>
        <w:tc>
          <w:tcPr>
            <w:tcW w:w="1305" w:type="dxa"/>
            <w:tcBorders>
              <w:top w:val="single" w:sz="4" w:space="0" w:color="auto"/>
              <w:left w:val="single" w:sz="4" w:space="0" w:color="auto"/>
              <w:bottom w:val="single" w:sz="4" w:space="0" w:color="auto"/>
              <w:right w:val="single" w:sz="4" w:space="0" w:color="auto"/>
            </w:tcBorders>
          </w:tcPr>
          <w:p w:rsidR="0023384D" w:rsidRPr="0057403C" w:rsidRDefault="00EE5AA8" w:rsidP="00BE014A">
            <w:pPr>
              <w:jc w:val="center"/>
              <w:rPr>
                <w:rFonts w:asciiTheme="minorHAnsi" w:hAnsiTheme="minorHAnsi" w:cstheme="minorHAnsi"/>
                <w:sz w:val="20"/>
                <w:szCs w:val="20"/>
              </w:rPr>
            </w:pPr>
            <w:r>
              <w:rPr>
                <w:rFonts w:asciiTheme="minorHAnsi" w:hAnsiTheme="minorHAnsi" w:cstheme="minorHAnsi"/>
                <w:sz w:val="20"/>
                <w:szCs w:val="20"/>
              </w:rPr>
              <w:t>6.06</w:t>
            </w:r>
            <w:r w:rsidR="0023384D">
              <w:rPr>
                <w:rFonts w:asciiTheme="minorHAnsi" w:hAnsiTheme="minorHAnsi" w:cstheme="minorHAnsi"/>
                <w:sz w:val="20"/>
                <w:szCs w:val="20"/>
              </w:rPr>
              <w:t>***</w:t>
            </w:r>
          </w:p>
        </w:tc>
      </w:tr>
    </w:tbl>
    <w:p w:rsidR="0023384D" w:rsidRPr="005335D2" w:rsidRDefault="0023384D" w:rsidP="0023384D">
      <w:pPr>
        <w:rPr>
          <w:rFonts w:asciiTheme="minorHAnsi" w:hAnsiTheme="minorHAnsi" w:cstheme="minorHAnsi"/>
          <w:sz w:val="20"/>
          <w:szCs w:val="20"/>
        </w:rPr>
      </w:pPr>
      <w:r w:rsidRPr="0057403C">
        <w:rPr>
          <w:rFonts w:asciiTheme="minorHAnsi" w:hAnsiTheme="minorHAnsi" w:cstheme="minorHAnsi"/>
          <w:sz w:val="20"/>
          <w:szCs w:val="20"/>
        </w:rPr>
        <w:t xml:space="preserve">Notes: </w:t>
      </w:r>
      <w:r>
        <w:rPr>
          <w:rFonts w:asciiTheme="minorHAnsi" w:hAnsiTheme="minorHAnsi" w:cstheme="minorHAnsi"/>
          <w:sz w:val="20"/>
          <w:szCs w:val="20"/>
        </w:rPr>
        <w:t xml:space="preserve">The dependent variable was cyclical employment. The sample period was </w:t>
      </w:r>
      <w:r w:rsidR="00EE5AA8">
        <w:rPr>
          <w:rFonts w:asciiTheme="minorHAnsi" w:hAnsiTheme="minorHAnsi" w:cstheme="minorHAnsi"/>
          <w:sz w:val="20"/>
          <w:szCs w:val="20"/>
        </w:rPr>
        <w:t>July 1994 through January 2011</w:t>
      </w:r>
      <w:r>
        <w:rPr>
          <w:rFonts w:asciiTheme="minorHAnsi" w:hAnsiTheme="minorHAnsi" w:cstheme="minorHAnsi"/>
          <w:sz w:val="20"/>
          <w:szCs w:val="20"/>
        </w:rPr>
        <w:t>. ***, ** and * denote statistically significant from zero at the one per cent level, five per cent level and 1</w:t>
      </w:r>
      <w:r w:rsidR="005335D2">
        <w:rPr>
          <w:rFonts w:asciiTheme="minorHAnsi" w:hAnsiTheme="minorHAnsi" w:cstheme="minorHAnsi"/>
          <w:sz w:val="20"/>
          <w:szCs w:val="20"/>
        </w:rPr>
        <w:t>0 per cent level respectively. The diagnostic s</w:t>
      </w:r>
      <w:r w:rsidR="005335D2" w:rsidRPr="005335D2">
        <w:rPr>
          <w:rFonts w:asciiTheme="minorHAnsi" w:hAnsiTheme="minorHAnsi" w:cstheme="minorHAnsi"/>
          <w:sz w:val="20"/>
          <w:szCs w:val="20"/>
        </w:rPr>
        <w:t>tatistics</w:t>
      </w:r>
      <w:r w:rsidR="005335D2">
        <w:rPr>
          <w:rFonts w:asciiTheme="minorHAnsi" w:hAnsiTheme="minorHAnsi" w:cstheme="minorHAnsi"/>
          <w:sz w:val="20"/>
          <w:szCs w:val="20"/>
        </w:rPr>
        <w:t xml:space="preserve"> were as follows:</w:t>
      </w:r>
    </w:p>
    <w:p w:rsidR="0023384D" w:rsidRPr="005335D2" w:rsidRDefault="0023384D" w:rsidP="0023384D">
      <w:pPr>
        <w:rPr>
          <w:rFonts w:asciiTheme="minorHAnsi" w:hAnsiTheme="minorHAnsi" w:cstheme="minorHAnsi"/>
          <w:sz w:val="20"/>
          <w:szCs w:val="20"/>
        </w:rPr>
      </w:pPr>
      <w:r w:rsidRPr="005335D2">
        <w:rPr>
          <w:rFonts w:asciiTheme="minorHAnsi" w:hAnsiTheme="minorHAnsi" w:cstheme="minorHAnsi"/>
          <w:sz w:val="20"/>
          <w:szCs w:val="20"/>
        </w:rPr>
        <w:t>Adjusted R-squared statistic = 0.</w:t>
      </w:r>
      <w:r w:rsidR="00EE5AA8">
        <w:rPr>
          <w:rFonts w:asciiTheme="minorHAnsi" w:hAnsiTheme="minorHAnsi" w:cstheme="minorHAnsi"/>
          <w:sz w:val="20"/>
          <w:szCs w:val="20"/>
        </w:rPr>
        <w:t>728; Durbin-Watson statistic = 0.10</w:t>
      </w:r>
      <w:r w:rsidRPr="005335D2">
        <w:rPr>
          <w:rFonts w:asciiTheme="minorHAnsi" w:hAnsiTheme="minorHAnsi" w:cstheme="minorHAnsi"/>
          <w:sz w:val="20"/>
          <w:szCs w:val="20"/>
        </w:rPr>
        <w:t xml:space="preserve"> [0.000, 0.000]</w:t>
      </w:r>
      <w:r w:rsidR="005335D2">
        <w:rPr>
          <w:rFonts w:asciiTheme="minorHAnsi" w:hAnsiTheme="minorHAnsi" w:cstheme="minorHAnsi"/>
          <w:sz w:val="20"/>
          <w:szCs w:val="20"/>
        </w:rPr>
        <w:t>;</w:t>
      </w:r>
    </w:p>
    <w:p w:rsidR="0023384D" w:rsidRPr="005335D2" w:rsidRDefault="0023384D" w:rsidP="0023384D">
      <w:pPr>
        <w:rPr>
          <w:rFonts w:asciiTheme="minorHAnsi" w:hAnsiTheme="minorHAnsi" w:cstheme="minorHAnsi"/>
          <w:sz w:val="20"/>
          <w:szCs w:val="20"/>
        </w:rPr>
      </w:pPr>
      <w:r w:rsidRPr="005335D2">
        <w:rPr>
          <w:rFonts w:asciiTheme="minorHAnsi" w:hAnsiTheme="minorHAnsi" w:cstheme="minorHAnsi"/>
          <w:sz w:val="20"/>
          <w:szCs w:val="20"/>
        </w:rPr>
        <w:t xml:space="preserve">Lagrange Multiplier Heteroscedasticity statistic = </w:t>
      </w:r>
      <w:r w:rsidR="00EE5AA8">
        <w:rPr>
          <w:rFonts w:asciiTheme="minorHAnsi" w:hAnsiTheme="minorHAnsi" w:cstheme="minorHAnsi"/>
          <w:sz w:val="20"/>
          <w:szCs w:val="20"/>
        </w:rPr>
        <w:t>0.21 [0.650</w:t>
      </w:r>
      <w:r w:rsidRPr="005335D2">
        <w:rPr>
          <w:rFonts w:asciiTheme="minorHAnsi" w:hAnsiTheme="minorHAnsi" w:cstheme="minorHAnsi"/>
          <w:sz w:val="20"/>
          <w:szCs w:val="20"/>
        </w:rPr>
        <w:t>]</w:t>
      </w:r>
      <w:r w:rsidR="005335D2">
        <w:rPr>
          <w:rFonts w:asciiTheme="minorHAnsi" w:hAnsiTheme="minorHAnsi" w:cstheme="minorHAnsi"/>
          <w:sz w:val="20"/>
          <w:szCs w:val="20"/>
        </w:rPr>
        <w:t>.</w:t>
      </w:r>
    </w:p>
    <w:p w:rsidR="0023384D" w:rsidRDefault="0023384D" w:rsidP="0023384D">
      <w:pPr>
        <w:rPr>
          <w:rFonts w:asciiTheme="minorHAnsi" w:hAnsiTheme="minorHAnsi" w:cstheme="minorHAnsi"/>
        </w:rPr>
      </w:pPr>
    </w:p>
    <w:p w:rsidR="002A67F3" w:rsidRDefault="002A67F3" w:rsidP="0023384D">
      <w:pPr>
        <w:rPr>
          <w:rFonts w:asciiTheme="minorHAnsi" w:hAnsiTheme="minorHAnsi" w:cstheme="minorHAnsi"/>
        </w:rPr>
      </w:pPr>
      <w:r>
        <w:rPr>
          <w:rFonts w:asciiTheme="minorHAnsi" w:hAnsiTheme="minorHAnsi" w:cstheme="minorHAnsi"/>
        </w:rPr>
        <w:t>These results are satisfactory. The coefficients of all of the explanatory variables are statistically significant with the expected positive sign (with the exception of the constant term, for which the sign and statistical significance are unimportant</w:t>
      </w:r>
      <w:r w:rsidR="00EE5AA8">
        <w:rPr>
          <w:rFonts w:asciiTheme="minorHAnsi" w:hAnsiTheme="minorHAnsi" w:cstheme="minorHAnsi"/>
        </w:rPr>
        <w:t>, and the lagged dependent variable, for which there were no strong expectations about the sign and for which a negative sign had been estimated at a lag of nine months, as shown in Appendix C</w:t>
      </w:r>
      <w:r>
        <w:rPr>
          <w:rFonts w:asciiTheme="minorHAnsi" w:hAnsiTheme="minorHAnsi" w:cstheme="minorHAnsi"/>
        </w:rPr>
        <w:t xml:space="preserve">). </w:t>
      </w:r>
    </w:p>
    <w:p w:rsidR="002A67F3" w:rsidRDefault="002A67F3" w:rsidP="0023384D">
      <w:pPr>
        <w:rPr>
          <w:rFonts w:asciiTheme="minorHAnsi" w:hAnsiTheme="minorHAnsi" w:cstheme="minorHAnsi"/>
        </w:rPr>
      </w:pPr>
    </w:p>
    <w:p w:rsidR="002A67F3" w:rsidRDefault="002A67F3" w:rsidP="0023384D">
      <w:pPr>
        <w:rPr>
          <w:rFonts w:asciiTheme="minorHAnsi" w:hAnsiTheme="minorHAnsi" w:cstheme="minorHAnsi"/>
        </w:rPr>
      </w:pPr>
      <w:r>
        <w:rPr>
          <w:rFonts w:asciiTheme="minorHAnsi" w:hAnsiTheme="minorHAnsi" w:cstheme="minorHAnsi"/>
        </w:rPr>
        <w:t xml:space="preserve">The Adjusted R-squared statistic indicates that </w:t>
      </w:r>
      <w:r w:rsidR="00EE5AA8">
        <w:rPr>
          <w:rFonts w:asciiTheme="minorHAnsi" w:hAnsiTheme="minorHAnsi" w:cstheme="minorHAnsi"/>
        </w:rPr>
        <w:t>almost three quarters</w:t>
      </w:r>
      <w:r>
        <w:rPr>
          <w:rFonts w:asciiTheme="minorHAnsi" w:hAnsiTheme="minorHAnsi" w:cstheme="minorHAnsi"/>
        </w:rPr>
        <w:t xml:space="preserve"> of the variation in cyclical employment is explained by the explanatory variables </w:t>
      </w:r>
      <w:r w:rsidR="00EE5AA8">
        <w:rPr>
          <w:rFonts w:asciiTheme="minorHAnsi" w:hAnsiTheme="minorHAnsi" w:cstheme="minorHAnsi"/>
        </w:rPr>
        <w:t>(including the lagged dependent variables</w:t>
      </w:r>
      <w:r>
        <w:rPr>
          <w:rFonts w:asciiTheme="minorHAnsi" w:hAnsiTheme="minorHAnsi" w:cstheme="minorHAnsi"/>
        </w:rPr>
        <w:t>). While this may seem low for a time series regression, it should be borne in mind that</w:t>
      </w:r>
      <w:r w:rsidR="00782C04">
        <w:rPr>
          <w:rFonts w:asciiTheme="minorHAnsi" w:hAnsiTheme="minorHAnsi" w:cstheme="minorHAnsi"/>
        </w:rPr>
        <w:t xml:space="preserve"> monthly data are used, </w:t>
      </w:r>
      <w:r>
        <w:rPr>
          <w:rFonts w:asciiTheme="minorHAnsi" w:hAnsiTheme="minorHAnsi" w:cstheme="minorHAnsi"/>
        </w:rPr>
        <w:t xml:space="preserve">all of the explanatory variables are lagged by at least nine months, </w:t>
      </w:r>
      <w:r w:rsidR="00782C04">
        <w:rPr>
          <w:rFonts w:asciiTheme="minorHAnsi" w:hAnsiTheme="minorHAnsi" w:cstheme="minorHAnsi"/>
        </w:rPr>
        <w:t>the sample period includes the Global Recession and the dependent variable is a difference between a one-year and a six-year trend. All of these factors make</w:t>
      </w:r>
      <w:r>
        <w:rPr>
          <w:rFonts w:asciiTheme="minorHAnsi" w:hAnsiTheme="minorHAnsi" w:cstheme="minorHAnsi"/>
        </w:rPr>
        <w:t xml:space="preserve"> it harder to achieve high levels of explanatory power. </w:t>
      </w:r>
    </w:p>
    <w:p w:rsidR="002A67F3" w:rsidRDefault="002A67F3" w:rsidP="0023384D">
      <w:pPr>
        <w:rPr>
          <w:rFonts w:asciiTheme="minorHAnsi" w:hAnsiTheme="minorHAnsi" w:cstheme="minorHAnsi"/>
        </w:rPr>
      </w:pPr>
    </w:p>
    <w:p w:rsidR="002A67F3" w:rsidRDefault="00782C04" w:rsidP="0023384D">
      <w:pPr>
        <w:rPr>
          <w:rFonts w:asciiTheme="minorHAnsi" w:hAnsiTheme="minorHAnsi" w:cstheme="minorHAnsi"/>
        </w:rPr>
      </w:pPr>
      <w:r>
        <w:rPr>
          <w:rFonts w:asciiTheme="minorHAnsi" w:hAnsiTheme="minorHAnsi" w:cstheme="minorHAnsi"/>
        </w:rPr>
        <w:t xml:space="preserve">The Durbin-Watson statistic is very low, which most probably indicates that there is a substantial amount of positive autocorrelation remaining, despite including </w:t>
      </w:r>
      <w:r w:rsidR="00EE5AA8">
        <w:rPr>
          <w:rFonts w:asciiTheme="minorHAnsi" w:hAnsiTheme="minorHAnsi" w:cstheme="minorHAnsi"/>
        </w:rPr>
        <w:t xml:space="preserve">dependent variables with long </w:t>
      </w:r>
      <w:r>
        <w:rPr>
          <w:rFonts w:asciiTheme="minorHAnsi" w:hAnsiTheme="minorHAnsi" w:cstheme="minorHAnsi"/>
        </w:rPr>
        <w:t>lag</w:t>
      </w:r>
      <w:r w:rsidR="00EE5AA8">
        <w:rPr>
          <w:rFonts w:asciiTheme="minorHAnsi" w:hAnsiTheme="minorHAnsi" w:cstheme="minorHAnsi"/>
        </w:rPr>
        <w:t>s as explanatory variables</w:t>
      </w:r>
      <w:r>
        <w:rPr>
          <w:rFonts w:asciiTheme="minorHAnsi" w:hAnsiTheme="minorHAnsi" w:cstheme="minorHAnsi"/>
        </w:rPr>
        <w:t xml:space="preserve">. Once again, this is partly a consequence of the highly transformed nature of the dependent variable as a difference between a one-year and a six-year trend. </w:t>
      </w:r>
    </w:p>
    <w:p w:rsidR="005335D2" w:rsidRDefault="005335D2">
      <w:pPr>
        <w:rPr>
          <w:rFonts w:asciiTheme="minorHAnsi" w:hAnsiTheme="minorHAnsi" w:cstheme="minorHAnsi"/>
        </w:rPr>
      </w:pPr>
    </w:p>
    <w:p w:rsidR="0023384D" w:rsidRDefault="00782C04" w:rsidP="0023384D">
      <w:pPr>
        <w:rPr>
          <w:rFonts w:asciiTheme="minorHAnsi" w:hAnsiTheme="minorHAnsi" w:cstheme="minorHAnsi"/>
        </w:rPr>
      </w:pPr>
      <w:r>
        <w:rPr>
          <w:rFonts w:asciiTheme="minorHAnsi" w:hAnsiTheme="minorHAnsi" w:cstheme="minorHAnsi"/>
        </w:rPr>
        <w:t xml:space="preserve">A potential new Indicator, called NLIOE, was formed from the equation described in Table 2 by </w:t>
      </w:r>
      <w:r w:rsidR="008367DB">
        <w:rPr>
          <w:rFonts w:asciiTheme="minorHAnsi" w:hAnsiTheme="minorHAnsi" w:cstheme="minorHAnsi"/>
        </w:rPr>
        <w:t>shifting forward</w:t>
      </w:r>
      <w:r>
        <w:rPr>
          <w:rFonts w:asciiTheme="minorHAnsi" w:hAnsiTheme="minorHAnsi" w:cstheme="minorHAnsi"/>
        </w:rPr>
        <w:t xml:space="preserve"> each of the variables</w:t>
      </w:r>
      <w:r w:rsidR="008367DB">
        <w:rPr>
          <w:rFonts w:asciiTheme="minorHAnsi" w:hAnsiTheme="minorHAnsi" w:cstheme="minorHAnsi"/>
        </w:rPr>
        <w:t xml:space="preserve"> nine months in time</w:t>
      </w:r>
      <w:r>
        <w:rPr>
          <w:rFonts w:asciiTheme="minorHAnsi" w:hAnsiTheme="minorHAnsi" w:cstheme="minorHAnsi"/>
        </w:rPr>
        <w:t xml:space="preserve"> (except of course the constant term). </w:t>
      </w:r>
      <w:r w:rsidR="008367DB">
        <w:rPr>
          <w:rFonts w:asciiTheme="minorHAnsi" w:hAnsiTheme="minorHAnsi" w:cstheme="minorHAnsi"/>
        </w:rPr>
        <w:t xml:space="preserve">In this way, this potential Indicator is based on optimising the power to explain the </w:t>
      </w:r>
      <w:r w:rsidR="008367DB" w:rsidRPr="008367DB">
        <w:rPr>
          <w:rFonts w:asciiTheme="minorHAnsi" w:hAnsiTheme="minorHAnsi" w:cstheme="minorHAnsi"/>
          <w:u w:val="single"/>
        </w:rPr>
        <w:t>level</w:t>
      </w:r>
      <w:r w:rsidR="008367DB">
        <w:rPr>
          <w:rFonts w:asciiTheme="minorHAnsi" w:hAnsiTheme="minorHAnsi" w:cstheme="minorHAnsi"/>
        </w:rPr>
        <w:t xml:space="preserve"> of cyclical employment nine months into the future. </w:t>
      </w:r>
      <w:r>
        <w:rPr>
          <w:rFonts w:asciiTheme="minorHAnsi" w:hAnsiTheme="minorHAnsi" w:cstheme="minorHAnsi"/>
        </w:rPr>
        <w:t xml:space="preserve">The </w:t>
      </w:r>
      <w:r w:rsidR="008367DB">
        <w:rPr>
          <w:rFonts w:asciiTheme="minorHAnsi" w:hAnsiTheme="minorHAnsi" w:cstheme="minorHAnsi"/>
        </w:rPr>
        <w:t xml:space="preserve">full specification of the </w:t>
      </w:r>
      <w:r>
        <w:rPr>
          <w:rFonts w:asciiTheme="minorHAnsi" w:hAnsiTheme="minorHAnsi" w:cstheme="minorHAnsi"/>
        </w:rPr>
        <w:t>resulting Indicator is as follows:</w:t>
      </w:r>
      <w:r w:rsidR="0023384D">
        <w:rPr>
          <w:rFonts w:asciiTheme="minorHAnsi" w:hAnsiTheme="minorHAnsi" w:cstheme="minorHAnsi"/>
        </w:rPr>
        <w:t xml:space="preserve"> </w:t>
      </w:r>
    </w:p>
    <w:p w:rsidR="00DA38F3" w:rsidRDefault="00DA38F3">
      <w:pPr>
        <w:rPr>
          <w:rFonts w:asciiTheme="minorHAnsi" w:hAnsiTheme="minorHAnsi" w:cstheme="minorHAnsi"/>
        </w:rPr>
      </w:pPr>
    </w:p>
    <w:p w:rsidR="008367DB" w:rsidRPr="00BC054D" w:rsidRDefault="008367DB" w:rsidP="008367DB">
      <w:pPr>
        <w:rPr>
          <w:rFonts w:asciiTheme="minorHAnsi" w:hAnsiTheme="minorHAnsi" w:cstheme="minorHAnsi"/>
        </w:rPr>
      </w:pPr>
      <w:r>
        <w:rPr>
          <w:rFonts w:asciiTheme="minorHAnsi" w:hAnsiTheme="minorHAnsi" w:cstheme="minorHAnsi"/>
        </w:rPr>
        <w:t>NLIOE</w:t>
      </w:r>
      <w:r>
        <w:rPr>
          <w:rFonts w:asciiTheme="minorHAnsi" w:hAnsiTheme="minorHAnsi" w:cstheme="minorHAnsi"/>
          <w:vertAlign w:val="subscript"/>
        </w:rPr>
        <w:t>t</w:t>
      </w:r>
      <w:r w:rsidR="00EE5AA8">
        <w:rPr>
          <w:rFonts w:asciiTheme="minorHAnsi" w:hAnsiTheme="minorHAnsi" w:cstheme="minorHAnsi"/>
        </w:rPr>
        <w:t xml:space="preserve"> = -0.0262</w:t>
      </w:r>
      <w:r>
        <w:rPr>
          <w:rFonts w:asciiTheme="minorHAnsi" w:hAnsiTheme="minorHAnsi" w:cstheme="minorHAnsi"/>
        </w:rPr>
        <w:t xml:space="preserve"> + </w:t>
      </w:r>
      <w:r w:rsidR="00EE5AA8" w:rsidRPr="00EE5AA8">
        <w:rPr>
          <w:rFonts w:asciiTheme="minorHAnsi" w:hAnsiTheme="minorHAnsi" w:cstheme="minorHAnsi"/>
        </w:rPr>
        <w:t>0.188</w:t>
      </w:r>
      <w:r>
        <w:rPr>
          <w:rFonts w:asciiTheme="minorHAnsi" w:hAnsiTheme="minorHAnsi" w:cstheme="minorHAnsi"/>
        </w:rPr>
        <w:t xml:space="preserve">* </w:t>
      </w:r>
      <w:r w:rsidRPr="00BC054D">
        <w:rPr>
          <w:rFonts w:asciiTheme="minorHAnsi" w:hAnsiTheme="minorHAnsi" w:cstheme="minorHAnsi"/>
        </w:rPr>
        <w:t>Chinese P</w:t>
      </w:r>
      <w:r>
        <w:rPr>
          <w:rFonts w:asciiTheme="minorHAnsi" w:hAnsiTheme="minorHAnsi" w:cstheme="minorHAnsi"/>
        </w:rPr>
        <w:t>MI for Manufacturing Output</w:t>
      </w:r>
      <w:r>
        <w:rPr>
          <w:rFonts w:asciiTheme="minorHAnsi" w:hAnsiTheme="minorHAnsi" w:cstheme="minorHAnsi"/>
          <w:vertAlign w:val="subscript"/>
        </w:rPr>
        <w:t>t</w:t>
      </w:r>
      <w:r>
        <w:rPr>
          <w:rFonts w:asciiTheme="minorHAnsi" w:hAnsiTheme="minorHAnsi" w:cstheme="minorHAnsi"/>
        </w:rPr>
        <w:t xml:space="preserve">  </w:t>
      </w:r>
    </w:p>
    <w:p w:rsidR="008367DB" w:rsidRDefault="008367DB" w:rsidP="008367DB">
      <w:pPr>
        <w:rPr>
          <w:rFonts w:asciiTheme="minorHAnsi" w:hAnsiTheme="minorHAnsi" w:cstheme="minorHAnsi"/>
        </w:rPr>
      </w:pPr>
      <w:r>
        <w:rPr>
          <w:rFonts w:asciiTheme="minorHAnsi" w:hAnsiTheme="minorHAnsi" w:cstheme="minorHAnsi"/>
        </w:rPr>
        <w:t xml:space="preserve">                           </w:t>
      </w:r>
    </w:p>
    <w:p w:rsidR="008367DB" w:rsidRDefault="008367DB" w:rsidP="008367DB">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EE5AA8">
        <w:rPr>
          <w:rFonts w:asciiTheme="minorHAnsi" w:hAnsiTheme="minorHAnsi" w:cstheme="minorHAnsi"/>
        </w:rPr>
        <w:t>+ 0.152</w:t>
      </w:r>
      <w:r>
        <w:rPr>
          <w:rFonts w:asciiTheme="minorHAnsi" w:hAnsiTheme="minorHAnsi" w:cstheme="minorHAnsi"/>
        </w:rPr>
        <w:t xml:space="preserve"> * US Yield Difference</w:t>
      </w:r>
      <w:r>
        <w:rPr>
          <w:rFonts w:asciiTheme="minorHAnsi" w:hAnsiTheme="minorHAnsi" w:cstheme="minorHAnsi"/>
          <w:vertAlign w:val="subscript"/>
        </w:rPr>
        <w:t>t-</w:t>
      </w:r>
      <w:r w:rsidR="00EE5AA8">
        <w:rPr>
          <w:rFonts w:asciiTheme="minorHAnsi" w:hAnsiTheme="minorHAnsi" w:cstheme="minorHAnsi"/>
          <w:vertAlign w:val="subscript"/>
        </w:rPr>
        <w:t>30</w:t>
      </w:r>
      <w:r>
        <w:rPr>
          <w:rFonts w:asciiTheme="minorHAnsi" w:hAnsiTheme="minorHAnsi" w:cstheme="minorHAnsi"/>
        </w:rPr>
        <w:t xml:space="preserve"> </w:t>
      </w:r>
      <w:r w:rsidR="00EE5AA8">
        <w:rPr>
          <w:rFonts w:asciiTheme="minorHAnsi" w:hAnsiTheme="minorHAnsi" w:cstheme="minorHAnsi"/>
        </w:rPr>
        <w:t>+ 0.255</w:t>
      </w:r>
      <w:r w:rsidR="00A94EB1">
        <w:rPr>
          <w:rFonts w:asciiTheme="minorHAnsi" w:hAnsiTheme="minorHAnsi" w:cstheme="minorHAnsi"/>
        </w:rPr>
        <w:t xml:space="preserve"> * Consumer Sentiment</w:t>
      </w:r>
      <w:r w:rsidR="00A94EB1">
        <w:rPr>
          <w:rFonts w:asciiTheme="minorHAnsi" w:hAnsiTheme="minorHAnsi" w:cstheme="minorHAnsi"/>
          <w:vertAlign w:val="subscript"/>
        </w:rPr>
        <w:t>t-3</w:t>
      </w:r>
      <w:r>
        <w:rPr>
          <w:rFonts w:asciiTheme="minorHAnsi" w:hAnsiTheme="minorHAnsi" w:cstheme="minorHAnsi"/>
        </w:rPr>
        <w:t xml:space="preserve"> </w:t>
      </w:r>
    </w:p>
    <w:p w:rsidR="008367DB" w:rsidRDefault="008367DB" w:rsidP="008367DB">
      <w:pPr>
        <w:rPr>
          <w:rFonts w:asciiTheme="minorHAnsi" w:hAnsiTheme="minorHAnsi" w:cstheme="minorHAnsi"/>
        </w:rPr>
      </w:pPr>
    </w:p>
    <w:p w:rsidR="008367DB" w:rsidRPr="00BC054D" w:rsidRDefault="00EE5AA8" w:rsidP="008367DB">
      <w:pPr>
        <w:rPr>
          <w:rFonts w:asciiTheme="minorHAnsi" w:hAnsiTheme="minorHAnsi" w:cstheme="minorHAnsi"/>
        </w:rPr>
      </w:pPr>
      <w:r>
        <w:rPr>
          <w:rFonts w:asciiTheme="minorHAnsi" w:hAnsiTheme="minorHAnsi" w:cstheme="minorHAnsi"/>
        </w:rPr>
        <w:tab/>
      </w:r>
      <w:r>
        <w:rPr>
          <w:rFonts w:asciiTheme="minorHAnsi" w:hAnsiTheme="minorHAnsi" w:cstheme="minorHAnsi"/>
        </w:rPr>
        <w:tab/>
        <w:t>+ 0.185</w:t>
      </w:r>
      <w:r w:rsidR="008367DB">
        <w:rPr>
          <w:rFonts w:asciiTheme="minorHAnsi" w:hAnsiTheme="minorHAnsi" w:cstheme="minorHAnsi"/>
        </w:rPr>
        <w:t xml:space="preserve"> * Economic Activity</w:t>
      </w:r>
      <w:r w:rsidR="008367DB">
        <w:rPr>
          <w:rFonts w:asciiTheme="minorHAnsi" w:hAnsiTheme="minorHAnsi" w:cstheme="minorHAnsi"/>
          <w:vertAlign w:val="subscript"/>
        </w:rPr>
        <w:t>t-</w:t>
      </w:r>
      <w:r w:rsidR="00A94EB1">
        <w:rPr>
          <w:rFonts w:asciiTheme="minorHAnsi" w:hAnsiTheme="minorHAnsi" w:cstheme="minorHAnsi"/>
          <w:vertAlign w:val="subscript"/>
        </w:rPr>
        <w:t>3</w:t>
      </w:r>
      <w:r w:rsidR="008367DB">
        <w:rPr>
          <w:rFonts w:asciiTheme="minorHAnsi" w:hAnsiTheme="minorHAnsi" w:cstheme="minorHAnsi"/>
        </w:rPr>
        <w:t xml:space="preserve"> </w:t>
      </w:r>
      <w:r>
        <w:rPr>
          <w:rFonts w:asciiTheme="minorHAnsi" w:hAnsiTheme="minorHAnsi" w:cstheme="minorHAnsi"/>
        </w:rPr>
        <w:t>+ 0.526</w:t>
      </w:r>
      <w:r w:rsidR="00A94EB1">
        <w:rPr>
          <w:rFonts w:asciiTheme="minorHAnsi" w:hAnsiTheme="minorHAnsi" w:cstheme="minorHAnsi"/>
        </w:rPr>
        <w:t xml:space="preserve"> * Economic Activity</w:t>
      </w:r>
      <w:r w:rsidR="00A94EB1">
        <w:rPr>
          <w:rFonts w:asciiTheme="minorHAnsi" w:hAnsiTheme="minorHAnsi" w:cstheme="minorHAnsi"/>
          <w:vertAlign w:val="subscript"/>
        </w:rPr>
        <w:t>t-15</w:t>
      </w:r>
    </w:p>
    <w:p w:rsidR="008367DB" w:rsidRDefault="008367DB" w:rsidP="008367DB">
      <w:pPr>
        <w:rPr>
          <w:rFonts w:asciiTheme="minorHAnsi" w:hAnsiTheme="minorHAnsi" w:cstheme="minorHAnsi"/>
        </w:rPr>
      </w:pPr>
    </w:p>
    <w:p w:rsidR="008367DB" w:rsidRPr="00BC054D" w:rsidRDefault="008367DB" w:rsidP="008367DB">
      <w:pPr>
        <w:rPr>
          <w:rFonts w:asciiTheme="minorHAnsi" w:hAnsiTheme="minorHAnsi" w:cstheme="minorHAnsi"/>
        </w:rPr>
      </w:pPr>
      <w:r>
        <w:rPr>
          <w:rFonts w:asciiTheme="minorHAnsi" w:hAnsiTheme="minorHAnsi" w:cstheme="minorHAnsi"/>
        </w:rPr>
        <w:tab/>
      </w:r>
      <w:r>
        <w:rPr>
          <w:rFonts w:asciiTheme="minorHAnsi" w:hAnsiTheme="minorHAnsi" w:cstheme="minorHAnsi"/>
        </w:rPr>
        <w:tab/>
        <w:t>+ 0.</w:t>
      </w:r>
      <w:r w:rsidR="00EE5AA8">
        <w:rPr>
          <w:rFonts w:asciiTheme="minorHAnsi" w:hAnsiTheme="minorHAnsi" w:cstheme="minorHAnsi"/>
        </w:rPr>
        <w:t>231</w:t>
      </w:r>
      <w:r>
        <w:rPr>
          <w:rFonts w:asciiTheme="minorHAnsi" w:hAnsiTheme="minorHAnsi" w:cstheme="minorHAnsi"/>
        </w:rPr>
        <w:t xml:space="preserve"> * Forward Orders</w:t>
      </w:r>
      <w:r w:rsidR="00A94EB1">
        <w:rPr>
          <w:rFonts w:asciiTheme="minorHAnsi" w:hAnsiTheme="minorHAnsi" w:cstheme="minorHAnsi"/>
          <w:vertAlign w:val="subscript"/>
        </w:rPr>
        <w:t>t-9</w:t>
      </w:r>
      <w:r w:rsidR="00A94EB1">
        <w:rPr>
          <w:rFonts w:asciiTheme="minorHAnsi" w:hAnsiTheme="minorHAnsi" w:cstheme="minorHAnsi"/>
        </w:rPr>
        <w:t xml:space="preserve"> </w:t>
      </w:r>
    </w:p>
    <w:p w:rsidR="008367DB" w:rsidRDefault="00A94EB1" w:rsidP="008367DB">
      <w:pPr>
        <w:rPr>
          <w:rFonts w:asciiTheme="minorHAnsi" w:hAnsiTheme="minorHAnsi" w:cstheme="minorHAnsi"/>
        </w:rPr>
      </w:pPr>
      <w:r>
        <w:rPr>
          <w:rFonts w:asciiTheme="minorHAnsi" w:hAnsiTheme="minorHAnsi" w:cstheme="minorHAnsi"/>
        </w:rPr>
        <w:tab/>
        <w:t xml:space="preserve">             </w:t>
      </w:r>
    </w:p>
    <w:p w:rsidR="008367DB" w:rsidRDefault="00EE5AA8" w:rsidP="008367DB">
      <w:pPr>
        <w:rPr>
          <w:rFonts w:asciiTheme="minorHAnsi" w:hAnsiTheme="minorHAnsi" w:cstheme="minorHAnsi"/>
        </w:rPr>
      </w:pPr>
      <w:r>
        <w:rPr>
          <w:rFonts w:asciiTheme="minorHAnsi" w:hAnsiTheme="minorHAnsi" w:cstheme="minorHAnsi"/>
        </w:rPr>
        <w:tab/>
      </w:r>
      <w:r>
        <w:rPr>
          <w:rFonts w:asciiTheme="minorHAnsi" w:hAnsiTheme="minorHAnsi" w:cstheme="minorHAnsi"/>
        </w:rPr>
        <w:tab/>
        <w:t>- 0.154</w:t>
      </w:r>
      <w:r w:rsidR="00A94EB1">
        <w:rPr>
          <w:rFonts w:asciiTheme="minorHAnsi" w:hAnsiTheme="minorHAnsi" w:cstheme="minorHAnsi"/>
        </w:rPr>
        <w:t xml:space="preserve"> * Employment</w:t>
      </w:r>
      <w:r w:rsidR="00A94EB1">
        <w:rPr>
          <w:rFonts w:asciiTheme="minorHAnsi" w:hAnsiTheme="minorHAnsi" w:cstheme="minorHAnsi"/>
          <w:vertAlign w:val="subscript"/>
        </w:rPr>
        <w:t>t</w:t>
      </w:r>
      <w:r>
        <w:rPr>
          <w:rFonts w:asciiTheme="minorHAnsi" w:hAnsiTheme="minorHAnsi" w:cstheme="minorHAnsi"/>
          <w:vertAlign w:val="subscript"/>
        </w:rPr>
        <w:t>-9</w:t>
      </w:r>
      <w:r>
        <w:rPr>
          <w:rFonts w:asciiTheme="minorHAnsi" w:hAnsiTheme="minorHAnsi" w:cstheme="minorHAnsi"/>
        </w:rPr>
        <w:t xml:space="preserve"> + 0.252 * Employment</w:t>
      </w:r>
      <w:r>
        <w:rPr>
          <w:rFonts w:asciiTheme="minorHAnsi" w:hAnsiTheme="minorHAnsi" w:cstheme="minorHAnsi"/>
          <w:vertAlign w:val="subscript"/>
        </w:rPr>
        <w:t>t-18</w:t>
      </w:r>
      <w:r>
        <w:rPr>
          <w:rFonts w:asciiTheme="minorHAnsi" w:hAnsiTheme="minorHAnsi" w:cstheme="minorHAnsi"/>
        </w:rPr>
        <w:t xml:space="preserve">  </w:t>
      </w:r>
      <w:r w:rsidR="00A94EB1">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(5)</w:t>
      </w:r>
    </w:p>
    <w:p w:rsidR="00A94EB1" w:rsidRDefault="00A94EB1" w:rsidP="008367DB">
      <w:pPr>
        <w:rPr>
          <w:rFonts w:asciiTheme="minorHAnsi" w:hAnsiTheme="minorHAnsi" w:cstheme="minorHAnsi"/>
        </w:rPr>
      </w:pPr>
    </w:p>
    <w:p w:rsidR="008367DB" w:rsidRDefault="008367DB" w:rsidP="008367DB">
      <w:pPr>
        <w:rPr>
          <w:rFonts w:asciiTheme="minorHAnsi" w:hAnsiTheme="minorHAnsi" w:cstheme="minorHAnsi"/>
        </w:rPr>
      </w:pPr>
      <w:r>
        <w:rPr>
          <w:rFonts w:asciiTheme="minorHAnsi" w:hAnsiTheme="minorHAnsi" w:cstheme="minorHAnsi"/>
        </w:rPr>
        <w:t>Where:</w:t>
      </w:r>
    </w:p>
    <w:p w:rsidR="008367DB" w:rsidRDefault="00A94EB1" w:rsidP="008367DB">
      <w:pPr>
        <w:rPr>
          <w:rFonts w:asciiTheme="minorHAnsi" w:hAnsiTheme="minorHAnsi" w:cstheme="minorHAnsi"/>
        </w:rPr>
      </w:pPr>
      <w:r>
        <w:rPr>
          <w:rFonts w:asciiTheme="minorHAnsi" w:hAnsiTheme="minorHAnsi" w:cstheme="minorHAnsi"/>
        </w:rPr>
        <w:t>NLIOE</w:t>
      </w:r>
      <w:r>
        <w:rPr>
          <w:rFonts w:asciiTheme="minorHAnsi" w:hAnsiTheme="minorHAnsi" w:cstheme="minorHAnsi"/>
          <w:vertAlign w:val="subscript"/>
        </w:rPr>
        <w:t>t</w:t>
      </w:r>
      <w:r>
        <w:rPr>
          <w:rFonts w:asciiTheme="minorHAnsi" w:hAnsiTheme="minorHAnsi" w:cstheme="minorHAnsi"/>
        </w:rPr>
        <w:t xml:space="preserve"> is the new, econometrically estimated, </w:t>
      </w:r>
      <w:r w:rsidR="00B45062">
        <w:rPr>
          <w:rFonts w:asciiTheme="minorHAnsi" w:hAnsiTheme="minorHAnsi" w:cstheme="minorHAnsi"/>
        </w:rPr>
        <w:t>Leading Indicator of Employment in time period t, and</w:t>
      </w:r>
    </w:p>
    <w:p w:rsidR="008367DB" w:rsidRDefault="00A94EB1" w:rsidP="008367DB">
      <w:pPr>
        <w:rPr>
          <w:rFonts w:asciiTheme="minorHAnsi" w:hAnsiTheme="minorHAnsi" w:cstheme="minorHAnsi"/>
        </w:rPr>
      </w:pPr>
      <w:r>
        <w:rPr>
          <w:rFonts w:asciiTheme="minorHAnsi" w:hAnsiTheme="minorHAnsi" w:cstheme="minorHAnsi"/>
        </w:rPr>
        <w:t xml:space="preserve">All the </w:t>
      </w:r>
      <w:r w:rsidR="00B45062">
        <w:rPr>
          <w:rFonts w:asciiTheme="minorHAnsi" w:hAnsiTheme="minorHAnsi" w:cstheme="minorHAnsi"/>
        </w:rPr>
        <w:t xml:space="preserve">other </w:t>
      </w:r>
      <w:r>
        <w:rPr>
          <w:rFonts w:asciiTheme="minorHAnsi" w:hAnsiTheme="minorHAnsi" w:cstheme="minorHAnsi"/>
        </w:rPr>
        <w:t>variables are as previously explained.</w:t>
      </w:r>
    </w:p>
    <w:p w:rsidR="00DA38F3" w:rsidRDefault="00DA38F3">
      <w:pPr>
        <w:rPr>
          <w:rFonts w:asciiTheme="minorHAnsi" w:hAnsiTheme="minorHAnsi" w:cstheme="minorHAnsi"/>
        </w:rPr>
      </w:pPr>
    </w:p>
    <w:p w:rsidR="00B45062" w:rsidRPr="008C1FED" w:rsidRDefault="00B45062" w:rsidP="00B45062">
      <w:pPr>
        <w:rPr>
          <w:rFonts w:asciiTheme="minorHAnsi" w:hAnsiTheme="minorHAnsi" w:cstheme="minorHAnsi"/>
          <w:u w:val="single"/>
        </w:rPr>
      </w:pPr>
      <w:r>
        <w:rPr>
          <w:rFonts w:asciiTheme="minorHAnsi" w:hAnsiTheme="minorHAnsi" w:cstheme="minorHAnsi"/>
          <w:u w:val="single"/>
        </w:rPr>
        <w:t>Equally Weighted Variables</w:t>
      </w:r>
    </w:p>
    <w:p w:rsidR="00BC054D" w:rsidRDefault="00BC054D">
      <w:pPr>
        <w:rPr>
          <w:rFonts w:asciiTheme="minorHAnsi" w:hAnsiTheme="minorHAnsi" w:cstheme="minorHAnsi"/>
        </w:rPr>
      </w:pPr>
    </w:p>
    <w:p w:rsidR="00A94EB1" w:rsidRDefault="00B45062">
      <w:pPr>
        <w:rPr>
          <w:rFonts w:asciiTheme="minorHAnsi" w:hAnsiTheme="minorHAnsi" w:cstheme="minorHAnsi"/>
        </w:rPr>
      </w:pPr>
      <w:r>
        <w:rPr>
          <w:rFonts w:asciiTheme="minorHAnsi" w:hAnsiTheme="minorHAnsi" w:cstheme="minorHAnsi"/>
        </w:rPr>
        <w:t xml:space="preserve">Given the differences in estimates of some of the coefficients between different specifications and even more importantly, the variations in the estimate of the same coefficient through time in the Kalman Filtering, a much simpler approach of specifying equally weighted variables was also adopted to derive alternative Indicators for the final stage of testing. </w:t>
      </w:r>
    </w:p>
    <w:p w:rsidR="00B45062" w:rsidRDefault="00B45062">
      <w:pPr>
        <w:rPr>
          <w:rFonts w:asciiTheme="minorHAnsi" w:hAnsiTheme="minorHAnsi" w:cstheme="minorHAnsi"/>
        </w:rPr>
      </w:pPr>
    </w:p>
    <w:p w:rsidR="00B45062" w:rsidRDefault="00B45062">
      <w:pPr>
        <w:rPr>
          <w:rFonts w:asciiTheme="minorHAnsi" w:hAnsiTheme="minorHAnsi" w:cstheme="minorHAnsi"/>
        </w:rPr>
      </w:pPr>
      <w:r>
        <w:rPr>
          <w:rFonts w:asciiTheme="minorHAnsi" w:hAnsiTheme="minorHAnsi" w:cstheme="minorHAnsi"/>
        </w:rPr>
        <w:t xml:space="preserve">Despite its simplicity, this approach has precedent, since the Indicator </w:t>
      </w:r>
      <w:r w:rsidR="00046CE0">
        <w:rPr>
          <w:rFonts w:asciiTheme="minorHAnsi" w:hAnsiTheme="minorHAnsi" w:cstheme="minorHAnsi"/>
        </w:rPr>
        <w:t>before</w:t>
      </w:r>
      <w:r>
        <w:rPr>
          <w:rFonts w:asciiTheme="minorHAnsi" w:hAnsiTheme="minorHAnsi" w:cstheme="minorHAnsi"/>
        </w:rPr>
        <w:t xml:space="preserve"> the current one had each of its six com</w:t>
      </w:r>
      <w:r w:rsidR="00046CE0">
        <w:rPr>
          <w:rFonts w:asciiTheme="minorHAnsi" w:hAnsiTheme="minorHAnsi" w:cstheme="minorHAnsi"/>
        </w:rPr>
        <w:t>ponents equally weighted (Connolly and Lee 2005)</w:t>
      </w:r>
      <w:r>
        <w:rPr>
          <w:rFonts w:asciiTheme="minorHAnsi" w:hAnsiTheme="minorHAnsi" w:cstheme="minorHAnsi"/>
        </w:rPr>
        <w:t xml:space="preserve">. </w:t>
      </w:r>
      <w:r w:rsidR="00046CE0">
        <w:rPr>
          <w:rFonts w:asciiTheme="minorHAnsi" w:hAnsiTheme="minorHAnsi" w:cstheme="minorHAnsi"/>
        </w:rPr>
        <w:t>This indicator was used between 1997 and 2007.</w:t>
      </w:r>
    </w:p>
    <w:p w:rsidR="00A94EB1" w:rsidRDefault="00A94EB1">
      <w:pPr>
        <w:rPr>
          <w:rFonts w:asciiTheme="minorHAnsi" w:hAnsiTheme="minorHAnsi" w:cstheme="minorHAnsi"/>
        </w:rPr>
      </w:pPr>
    </w:p>
    <w:p w:rsidR="00A94EB1" w:rsidRDefault="00B45062">
      <w:pPr>
        <w:rPr>
          <w:rFonts w:asciiTheme="minorHAnsi" w:hAnsiTheme="minorHAnsi" w:cstheme="minorHAnsi"/>
        </w:rPr>
      </w:pPr>
      <w:r>
        <w:rPr>
          <w:rFonts w:asciiTheme="minorHAnsi" w:hAnsiTheme="minorHAnsi" w:cstheme="minorHAnsi"/>
        </w:rPr>
        <w:t xml:space="preserve">Two separate equally weighted indicators were formed. The six-variable indicator had a weight of one-sixth on each of the </w:t>
      </w:r>
      <w:r w:rsidR="00BE014A">
        <w:rPr>
          <w:rFonts w:asciiTheme="minorHAnsi" w:hAnsiTheme="minorHAnsi" w:cstheme="minorHAnsi"/>
        </w:rPr>
        <w:t xml:space="preserve">current values of the cyclical components of the </w:t>
      </w:r>
      <w:r>
        <w:rPr>
          <w:rFonts w:asciiTheme="minorHAnsi" w:hAnsiTheme="minorHAnsi" w:cstheme="minorHAnsi"/>
        </w:rPr>
        <w:t>following</w:t>
      </w:r>
      <w:r w:rsidR="00BE014A">
        <w:rPr>
          <w:rFonts w:asciiTheme="minorHAnsi" w:hAnsiTheme="minorHAnsi" w:cstheme="minorHAnsi"/>
        </w:rPr>
        <w:t xml:space="preserve"> </w:t>
      </w:r>
      <w:r>
        <w:rPr>
          <w:rFonts w:asciiTheme="minorHAnsi" w:hAnsiTheme="minorHAnsi" w:cstheme="minorHAnsi"/>
        </w:rPr>
        <w:t>variables:</w:t>
      </w:r>
    </w:p>
    <w:p w:rsidR="00B45062" w:rsidRDefault="00B45062">
      <w:pPr>
        <w:rPr>
          <w:rFonts w:asciiTheme="minorHAnsi" w:hAnsiTheme="minorHAnsi" w:cstheme="minorHAnsi"/>
        </w:rPr>
      </w:pPr>
    </w:p>
    <w:p w:rsidR="00BE014A" w:rsidRPr="00562465" w:rsidRDefault="00BE014A" w:rsidP="00BE014A">
      <w:pPr>
        <w:pStyle w:val="ListParagraph"/>
        <w:numPr>
          <w:ilvl w:val="0"/>
          <w:numId w:val="5"/>
        </w:numPr>
        <w:rPr>
          <w:rFonts w:cstheme="minorHAnsi"/>
          <w:sz w:val="24"/>
          <w:szCs w:val="24"/>
        </w:rPr>
      </w:pPr>
      <w:r w:rsidRPr="00562465">
        <w:rPr>
          <w:rFonts w:cstheme="minorHAnsi"/>
          <w:sz w:val="24"/>
          <w:szCs w:val="24"/>
        </w:rPr>
        <w:t xml:space="preserve">the official (NBSC) Purchasing Managers’ Index for Manufacturing Output in China     </w:t>
      </w:r>
    </w:p>
    <w:p w:rsidR="00BE014A" w:rsidRPr="00562465" w:rsidRDefault="00BE014A" w:rsidP="00BE014A">
      <w:pPr>
        <w:pStyle w:val="ListParagraph"/>
        <w:numPr>
          <w:ilvl w:val="0"/>
          <w:numId w:val="5"/>
        </w:numPr>
        <w:rPr>
          <w:rFonts w:cstheme="minorHAnsi"/>
          <w:sz w:val="24"/>
          <w:szCs w:val="24"/>
        </w:rPr>
      </w:pPr>
      <w:r w:rsidRPr="00562465">
        <w:rPr>
          <w:rFonts w:cstheme="minorHAnsi"/>
          <w:sz w:val="24"/>
          <w:szCs w:val="24"/>
        </w:rPr>
        <w:t xml:space="preserve">the US Yield Difference      </w:t>
      </w:r>
    </w:p>
    <w:p w:rsidR="00BE014A" w:rsidRPr="00562465" w:rsidRDefault="00BE014A" w:rsidP="00BE014A">
      <w:pPr>
        <w:pStyle w:val="ListParagraph"/>
        <w:numPr>
          <w:ilvl w:val="0"/>
          <w:numId w:val="5"/>
        </w:numPr>
        <w:rPr>
          <w:rFonts w:cstheme="minorHAnsi"/>
          <w:sz w:val="24"/>
          <w:szCs w:val="24"/>
        </w:rPr>
      </w:pPr>
      <w:r w:rsidRPr="00562465">
        <w:rPr>
          <w:rFonts w:cstheme="minorHAnsi"/>
          <w:sz w:val="24"/>
          <w:szCs w:val="24"/>
        </w:rPr>
        <w:t xml:space="preserve">the </w:t>
      </w:r>
      <w:r w:rsidRPr="00562465">
        <w:rPr>
          <w:rFonts w:ascii="Calibri" w:hAnsi="Calibri" w:cs="Calibri"/>
          <w:color w:val="000000" w:themeColor="text1"/>
          <w:sz w:val="24"/>
          <w:szCs w:val="24"/>
        </w:rPr>
        <w:t>Westpac-Melbourne Institute Consumer Sentiment Index</w:t>
      </w:r>
      <w:r w:rsidRPr="00562465">
        <w:rPr>
          <w:rFonts w:cstheme="minorHAnsi"/>
          <w:sz w:val="24"/>
          <w:szCs w:val="24"/>
        </w:rPr>
        <w:t xml:space="preserve">     </w:t>
      </w:r>
    </w:p>
    <w:p w:rsidR="00BE014A" w:rsidRPr="00562465" w:rsidRDefault="00BE014A" w:rsidP="00BE014A">
      <w:pPr>
        <w:pStyle w:val="ListParagraph"/>
        <w:numPr>
          <w:ilvl w:val="0"/>
          <w:numId w:val="5"/>
        </w:numPr>
        <w:rPr>
          <w:rFonts w:cstheme="minorHAnsi"/>
          <w:sz w:val="24"/>
          <w:szCs w:val="24"/>
        </w:rPr>
      </w:pPr>
      <w:r w:rsidRPr="00562465">
        <w:rPr>
          <w:rFonts w:cstheme="minorHAnsi"/>
          <w:sz w:val="24"/>
          <w:szCs w:val="24"/>
        </w:rPr>
        <w:t xml:space="preserve">the </w:t>
      </w:r>
      <w:r w:rsidRPr="00562465">
        <w:rPr>
          <w:rFonts w:ascii="Calibri" w:hAnsi="Calibri" w:cs="Calibri"/>
          <w:color w:val="000000" w:themeColor="text1"/>
          <w:sz w:val="24"/>
          <w:szCs w:val="24"/>
        </w:rPr>
        <w:t xml:space="preserve">Westpac-Melbourne Institute Leading Index of </w:t>
      </w:r>
      <w:r w:rsidRPr="00562465">
        <w:rPr>
          <w:rFonts w:cstheme="minorHAnsi"/>
          <w:sz w:val="24"/>
          <w:szCs w:val="24"/>
        </w:rPr>
        <w:t xml:space="preserve">Economic Activity         </w:t>
      </w:r>
    </w:p>
    <w:p w:rsidR="00BE014A" w:rsidRPr="00562465" w:rsidRDefault="00BE014A" w:rsidP="00BE014A">
      <w:pPr>
        <w:pStyle w:val="ListParagraph"/>
        <w:numPr>
          <w:ilvl w:val="0"/>
          <w:numId w:val="5"/>
        </w:numPr>
        <w:rPr>
          <w:rFonts w:cstheme="minorHAnsi"/>
          <w:sz w:val="24"/>
          <w:szCs w:val="24"/>
        </w:rPr>
      </w:pPr>
      <w:r w:rsidRPr="00562465">
        <w:rPr>
          <w:rFonts w:cstheme="minorHAnsi"/>
          <w:sz w:val="24"/>
          <w:szCs w:val="24"/>
        </w:rPr>
        <w:t xml:space="preserve">the </w:t>
      </w:r>
      <w:r w:rsidRPr="00562465">
        <w:rPr>
          <w:rFonts w:ascii="Calibri" w:hAnsi="Calibri" w:cs="Calibri"/>
          <w:color w:val="000000" w:themeColor="text1"/>
          <w:sz w:val="24"/>
          <w:szCs w:val="24"/>
        </w:rPr>
        <w:t>Dun &amp; Bradstreet Employment Expectations Index</w:t>
      </w:r>
      <w:r w:rsidRPr="00562465">
        <w:rPr>
          <w:rFonts w:cstheme="minorHAnsi"/>
          <w:sz w:val="24"/>
          <w:szCs w:val="24"/>
        </w:rPr>
        <w:t xml:space="preserve">         </w:t>
      </w:r>
    </w:p>
    <w:p w:rsidR="00BE014A" w:rsidRPr="00562465" w:rsidRDefault="00BE014A" w:rsidP="00BE014A">
      <w:pPr>
        <w:pStyle w:val="ListParagraph"/>
        <w:numPr>
          <w:ilvl w:val="0"/>
          <w:numId w:val="5"/>
        </w:numPr>
        <w:rPr>
          <w:rFonts w:cstheme="minorHAnsi"/>
          <w:sz w:val="24"/>
          <w:szCs w:val="24"/>
        </w:rPr>
      </w:pPr>
      <w:r w:rsidRPr="00562465">
        <w:rPr>
          <w:rFonts w:cstheme="minorHAnsi"/>
          <w:sz w:val="24"/>
          <w:szCs w:val="24"/>
        </w:rPr>
        <w:t xml:space="preserve">the NAB Forward Orders Index.         </w:t>
      </w:r>
    </w:p>
    <w:p w:rsidR="00B45062" w:rsidRDefault="00B45062">
      <w:pPr>
        <w:rPr>
          <w:rFonts w:asciiTheme="minorHAnsi" w:hAnsiTheme="minorHAnsi" w:cstheme="minorHAnsi"/>
        </w:rPr>
      </w:pPr>
    </w:p>
    <w:p w:rsidR="00B45062" w:rsidRDefault="00562465">
      <w:pPr>
        <w:rPr>
          <w:rFonts w:asciiTheme="minorHAnsi" w:hAnsiTheme="minorHAnsi" w:cstheme="minorHAnsi"/>
        </w:rPr>
      </w:pPr>
      <w:r>
        <w:rPr>
          <w:rFonts w:asciiTheme="minorHAnsi" w:hAnsiTheme="minorHAnsi" w:cstheme="minorHAnsi"/>
        </w:rPr>
        <w:t xml:space="preserve">For the five-variable indicator, the Dun and Bradstreet </w:t>
      </w:r>
      <w:r w:rsidRPr="00562465">
        <w:rPr>
          <w:rFonts w:ascii="Calibri" w:hAnsi="Calibri" w:cs="Calibri"/>
          <w:color w:val="000000" w:themeColor="text1"/>
        </w:rPr>
        <w:t>Employment Expectations Index</w:t>
      </w:r>
      <w:r>
        <w:rPr>
          <w:rFonts w:asciiTheme="minorHAnsi" w:hAnsiTheme="minorHAnsi" w:cstheme="minorHAnsi"/>
        </w:rPr>
        <w:t xml:space="preserve"> was deleted from the set of variables </w:t>
      </w:r>
      <w:r w:rsidR="00935CBD">
        <w:rPr>
          <w:rFonts w:asciiTheme="minorHAnsi" w:hAnsiTheme="minorHAnsi" w:cstheme="minorHAnsi"/>
        </w:rPr>
        <w:t>shown above. While the excluded variable is a component of the current Indicator, it performed the worst of the six variables shown above in the econometric testing. Its estimated coefficient was negative in both the Kalman Filter results shown in and under Figure 1 and in the trade-shares regression results shown in equation (4). Understandably, the five-variable indicator</w:t>
      </w:r>
      <w:r>
        <w:rPr>
          <w:rFonts w:asciiTheme="minorHAnsi" w:hAnsiTheme="minorHAnsi" w:cstheme="minorHAnsi"/>
        </w:rPr>
        <w:t xml:space="preserve"> </w:t>
      </w:r>
      <w:r w:rsidR="00935CBD">
        <w:rPr>
          <w:rFonts w:asciiTheme="minorHAnsi" w:hAnsiTheme="minorHAnsi" w:cstheme="minorHAnsi"/>
        </w:rPr>
        <w:t>had a weight of one-fifth or 0.2</w:t>
      </w:r>
      <w:r>
        <w:rPr>
          <w:rFonts w:asciiTheme="minorHAnsi" w:hAnsiTheme="minorHAnsi" w:cstheme="minorHAnsi"/>
        </w:rPr>
        <w:t xml:space="preserve"> on each of the current values of the cyclical components of the </w:t>
      </w:r>
      <w:r w:rsidR="003D7EAE">
        <w:rPr>
          <w:rFonts w:asciiTheme="minorHAnsi" w:hAnsiTheme="minorHAnsi" w:cstheme="minorHAnsi"/>
        </w:rPr>
        <w:t>five remaining</w:t>
      </w:r>
      <w:r>
        <w:rPr>
          <w:rFonts w:asciiTheme="minorHAnsi" w:hAnsiTheme="minorHAnsi" w:cstheme="minorHAnsi"/>
        </w:rPr>
        <w:t xml:space="preserve"> </w:t>
      </w:r>
      <w:r w:rsidR="003D7EAE">
        <w:rPr>
          <w:rFonts w:asciiTheme="minorHAnsi" w:hAnsiTheme="minorHAnsi" w:cstheme="minorHAnsi"/>
        </w:rPr>
        <w:t>variables.</w:t>
      </w:r>
    </w:p>
    <w:p w:rsidR="00B45062" w:rsidRDefault="00B45062">
      <w:pPr>
        <w:rPr>
          <w:rFonts w:asciiTheme="minorHAnsi" w:hAnsiTheme="minorHAnsi" w:cstheme="minorHAnsi"/>
        </w:rPr>
      </w:pPr>
    </w:p>
    <w:p w:rsidR="00EC68F9" w:rsidRDefault="003D7EAE">
      <w:pPr>
        <w:rPr>
          <w:rFonts w:asciiTheme="minorHAnsi" w:hAnsiTheme="minorHAnsi" w:cstheme="minorHAnsi"/>
        </w:rPr>
      </w:pPr>
      <w:r>
        <w:rPr>
          <w:rFonts w:asciiTheme="minorHAnsi" w:hAnsiTheme="minorHAnsi" w:cstheme="minorHAnsi"/>
        </w:rPr>
        <w:t xml:space="preserve">Initial </w:t>
      </w:r>
      <w:r w:rsidR="0002758A">
        <w:rPr>
          <w:rFonts w:asciiTheme="minorHAnsi" w:hAnsiTheme="minorHAnsi" w:cstheme="minorHAnsi"/>
        </w:rPr>
        <w:t xml:space="preserve">visual </w:t>
      </w:r>
      <w:r>
        <w:rPr>
          <w:rFonts w:asciiTheme="minorHAnsi" w:hAnsiTheme="minorHAnsi" w:cstheme="minorHAnsi"/>
        </w:rPr>
        <w:t xml:space="preserve">examination of </w:t>
      </w:r>
      <w:r w:rsidR="006B6740">
        <w:rPr>
          <w:rFonts w:asciiTheme="minorHAnsi" w:hAnsiTheme="minorHAnsi" w:cstheme="minorHAnsi"/>
        </w:rPr>
        <w:t>both of these I</w:t>
      </w:r>
      <w:r w:rsidR="0002758A">
        <w:rPr>
          <w:rFonts w:asciiTheme="minorHAnsi" w:hAnsiTheme="minorHAnsi" w:cstheme="minorHAnsi"/>
        </w:rPr>
        <w:t>ndicators and how they performed in predicting peaks and troughs was done using a version of Figure 3. As</w:t>
      </w:r>
      <w:r w:rsidR="006B6740">
        <w:rPr>
          <w:rFonts w:asciiTheme="minorHAnsi" w:hAnsiTheme="minorHAnsi" w:cstheme="minorHAnsi"/>
        </w:rPr>
        <w:t xml:space="preserve"> shown in this Figure, the two I</w:t>
      </w:r>
      <w:r w:rsidR="0002758A">
        <w:rPr>
          <w:rFonts w:asciiTheme="minorHAnsi" w:hAnsiTheme="minorHAnsi" w:cstheme="minorHAnsi"/>
        </w:rPr>
        <w:t>ndicators were very sim</w:t>
      </w:r>
      <w:r w:rsidR="006B6740">
        <w:rPr>
          <w:rFonts w:asciiTheme="minorHAnsi" w:hAnsiTheme="minorHAnsi" w:cstheme="minorHAnsi"/>
        </w:rPr>
        <w:t>ilar (and so the five-variable I</w:t>
      </w:r>
      <w:r w:rsidR="0002758A">
        <w:rPr>
          <w:rFonts w:asciiTheme="minorHAnsi" w:hAnsiTheme="minorHAnsi" w:cstheme="minorHAnsi"/>
        </w:rPr>
        <w:t>ndicator would be favoured on the principle of Occam’</w:t>
      </w:r>
      <w:r w:rsidR="006B6740">
        <w:rPr>
          <w:rFonts w:asciiTheme="minorHAnsi" w:hAnsiTheme="minorHAnsi" w:cstheme="minorHAnsi"/>
        </w:rPr>
        <w:t>s Razor</w:t>
      </w:r>
      <w:r w:rsidR="001F5C0D">
        <w:rPr>
          <w:rStyle w:val="FootnoteReference"/>
          <w:rFonts w:asciiTheme="minorHAnsi" w:hAnsiTheme="minorHAnsi" w:cstheme="minorHAnsi"/>
        </w:rPr>
        <w:footnoteReference w:id="11"/>
      </w:r>
      <w:r w:rsidR="006B6740">
        <w:rPr>
          <w:rFonts w:asciiTheme="minorHAnsi" w:hAnsiTheme="minorHAnsi" w:cstheme="minorHAnsi"/>
        </w:rPr>
        <w:t>), but the six-variable I</w:t>
      </w:r>
      <w:r w:rsidR="0002758A">
        <w:rPr>
          <w:rFonts w:asciiTheme="minorHAnsi" w:hAnsiTheme="minorHAnsi" w:cstheme="minorHAnsi"/>
        </w:rPr>
        <w:t xml:space="preserve">ndicator performed slightly worse around some crucial turning points. For instance, in </w:t>
      </w:r>
      <w:r w:rsidR="006B6740">
        <w:rPr>
          <w:rFonts w:asciiTheme="minorHAnsi" w:hAnsiTheme="minorHAnsi" w:cstheme="minorHAnsi"/>
        </w:rPr>
        <w:t>the downturn</w:t>
      </w:r>
      <w:r w:rsidR="0002758A">
        <w:rPr>
          <w:rFonts w:asciiTheme="minorHAnsi" w:hAnsiTheme="minorHAnsi" w:cstheme="minorHAnsi"/>
        </w:rPr>
        <w:t xml:space="preserve"> immediately after the start of the Globa</w:t>
      </w:r>
      <w:r w:rsidR="006B6740">
        <w:rPr>
          <w:rFonts w:asciiTheme="minorHAnsi" w:hAnsiTheme="minorHAnsi" w:cstheme="minorHAnsi"/>
        </w:rPr>
        <w:t>l Recession, the five-variable I</w:t>
      </w:r>
      <w:r w:rsidR="0002758A">
        <w:rPr>
          <w:rFonts w:asciiTheme="minorHAnsi" w:hAnsiTheme="minorHAnsi" w:cstheme="minorHAnsi"/>
        </w:rPr>
        <w:t xml:space="preserve">ndicator had </w:t>
      </w:r>
      <w:r w:rsidR="006B6740">
        <w:rPr>
          <w:rFonts w:asciiTheme="minorHAnsi" w:hAnsiTheme="minorHAnsi" w:cstheme="minorHAnsi"/>
        </w:rPr>
        <w:t xml:space="preserve">a clear trough in December 2008, but the six-variable Indicator had </w:t>
      </w:r>
      <w:r w:rsidR="00B5062B">
        <w:rPr>
          <w:rFonts w:asciiTheme="minorHAnsi" w:hAnsiTheme="minorHAnsi" w:cstheme="minorHAnsi"/>
        </w:rPr>
        <w:t>similar</w:t>
      </w:r>
      <w:r w:rsidR="006B6740">
        <w:rPr>
          <w:rFonts w:asciiTheme="minorHAnsi" w:hAnsiTheme="minorHAnsi" w:cstheme="minorHAnsi"/>
        </w:rPr>
        <w:t xml:space="preserve"> values in both December 2008 and January 2009. Another instance is the peak in late 1999, which occurred one month earlier (October) for the five-variable Indicator than for the six-variable Indicator (November). </w:t>
      </w:r>
    </w:p>
    <w:p w:rsidR="00EC68F9" w:rsidRDefault="00EC68F9">
      <w:pPr>
        <w:rPr>
          <w:rFonts w:asciiTheme="minorHAnsi" w:hAnsiTheme="minorHAnsi" w:cstheme="minorHAnsi"/>
        </w:rPr>
      </w:pPr>
    </w:p>
    <w:p w:rsidR="003D7EAE" w:rsidRDefault="00B0546A">
      <w:pPr>
        <w:rPr>
          <w:rFonts w:asciiTheme="minorHAnsi" w:hAnsiTheme="minorHAnsi" w:cstheme="minorHAnsi"/>
        </w:rPr>
      </w:pPr>
      <w:r>
        <w:rPr>
          <w:rFonts w:asciiTheme="minorHAnsi" w:hAnsiTheme="minorHAnsi" w:cstheme="minorHAnsi"/>
        </w:rPr>
        <w:t>For these reasons, we dropped the</w:t>
      </w:r>
      <w:r w:rsidR="006B6740">
        <w:rPr>
          <w:rFonts w:asciiTheme="minorHAnsi" w:hAnsiTheme="minorHAnsi" w:cstheme="minorHAnsi"/>
        </w:rPr>
        <w:t xml:space="preserve"> six-variable Indicator from consideration in the final round of testing to select a new Indicator.  </w:t>
      </w:r>
    </w:p>
    <w:p w:rsidR="003D7EAE" w:rsidRDefault="003D7EAE">
      <w:pPr>
        <w:rPr>
          <w:rFonts w:asciiTheme="minorHAnsi" w:hAnsiTheme="minorHAnsi" w:cstheme="minorHAnsi"/>
        </w:rPr>
      </w:pPr>
    </w:p>
    <w:p w:rsidR="00B5062B" w:rsidRDefault="00B5062B">
      <w:pPr>
        <w:rPr>
          <w:rFonts w:ascii="Calibri" w:hAnsi="Calibri" w:cs="Calibri"/>
          <w:color w:val="000000" w:themeColor="text1"/>
        </w:rPr>
      </w:pPr>
      <w:r>
        <w:rPr>
          <w:rFonts w:ascii="Calibri" w:hAnsi="Calibri" w:cs="Calibri"/>
          <w:color w:val="000000" w:themeColor="text1"/>
        </w:rPr>
        <w:br w:type="page"/>
      </w:r>
    </w:p>
    <w:p w:rsidR="0002758A" w:rsidRDefault="0002758A" w:rsidP="0002758A">
      <w:pPr>
        <w:rPr>
          <w:rFonts w:ascii="Calibri" w:hAnsi="Calibri" w:cs="Calibri"/>
          <w:b/>
          <w:color w:val="000000" w:themeColor="text1"/>
        </w:rPr>
      </w:pPr>
      <w:r>
        <w:rPr>
          <w:rFonts w:ascii="Calibri" w:hAnsi="Calibri" w:cs="Calibri"/>
          <w:color w:val="000000" w:themeColor="text1"/>
        </w:rPr>
        <w:lastRenderedPageBreak/>
        <w:t xml:space="preserve">Figure 3: </w:t>
      </w:r>
      <w:r>
        <w:rPr>
          <w:rFonts w:ascii="Calibri" w:hAnsi="Calibri" w:cs="Calibri"/>
          <w:b/>
          <w:color w:val="000000" w:themeColor="text1"/>
        </w:rPr>
        <w:t xml:space="preserve">Cyclical Employment and Five- and Six-Variable Equally Weighted </w:t>
      </w:r>
    </w:p>
    <w:p w:rsidR="0002758A" w:rsidRPr="006E09AE" w:rsidRDefault="0002758A" w:rsidP="0002758A">
      <w:pPr>
        <w:rPr>
          <w:rFonts w:ascii="Calibri" w:hAnsi="Calibri" w:cs="Calibri"/>
        </w:rPr>
      </w:pPr>
      <w:r>
        <w:rPr>
          <w:rFonts w:ascii="Calibri" w:hAnsi="Calibri" w:cs="Calibri"/>
          <w:b/>
          <w:color w:val="000000" w:themeColor="text1"/>
        </w:rPr>
        <w:tab/>
        <w:t>Leading Indicators of Employment</w:t>
      </w:r>
    </w:p>
    <w:p w:rsidR="0002758A" w:rsidRDefault="0002758A">
      <w:pPr>
        <w:rPr>
          <w:rFonts w:asciiTheme="minorHAnsi" w:hAnsiTheme="minorHAnsi" w:cstheme="minorHAnsi"/>
        </w:rPr>
      </w:pPr>
    </w:p>
    <w:p w:rsidR="00B45062" w:rsidRDefault="00B5062B">
      <w:pPr>
        <w:rPr>
          <w:rFonts w:asciiTheme="minorHAnsi" w:hAnsiTheme="minorHAnsi" w:cstheme="minorHAnsi"/>
        </w:rPr>
      </w:pPr>
      <w:r w:rsidRPr="00B5062B">
        <w:rPr>
          <w:noProof/>
        </w:rPr>
        <w:drawing>
          <wp:inline distT="0" distB="0" distL="0" distR="0" wp14:anchorId="050E55D5" wp14:editId="11FF785D">
            <wp:extent cx="5274310" cy="3454056"/>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3454056"/>
                    </a:xfrm>
                    <a:prstGeom prst="rect">
                      <a:avLst/>
                    </a:prstGeom>
                    <a:noFill/>
                    <a:ln>
                      <a:noFill/>
                    </a:ln>
                  </pic:spPr>
                </pic:pic>
              </a:graphicData>
            </a:graphic>
          </wp:inline>
        </w:drawing>
      </w:r>
    </w:p>
    <w:p w:rsidR="0002758A" w:rsidRPr="0002758A" w:rsidRDefault="0002758A">
      <w:pPr>
        <w:rPr>
          <w:rFonts w:asciiTheme="minorHAnsi" w:hAnsiTheme="minorHAnsi" w:cstheme="minorHAnsi"/>
          <w:sz w:val="20"/>
          <w:szCs w:val="20"/>
        </w:rPr>
      </w:pPr>
      <w:r w:rsidRPr="0002758A">
        <w:rPr>
          <w:rFonts w:asciiTheme="minorHAnsi" w:hAnsiTheme="minorHAnsi" w:cstheme="minorHAnsi"/>
          <w:sz w:val="20"/>
          <w:szCs w:val="20"/>
        </w:rPr>
        <w:t xml:space="preserve">Source: constructed </w:t>
      </w:r>
      <w:r w:rsidR="00445C1B">
        <w:rPr>
          <w:rFonts w:asciiTheme="minorHAnsi" w:hAnsiTheme="minorHAnsi" w:cstheme="minorHAnsi"/>
          <w:sz w:val="20"/>
          <w:szCs w:val="20"/>
        </w:rPr>
        <w:t xml:space="preserve">by the authors </w:t>
      </w:r>
      <w:r w:rsidRPr="0002758A">
        <w:rPr>
          <w:rFonts w:asciiTheme="minorHAnsi" w:hAnsiTheme="minorHAnsi" w:cstheme="minorHAnsi"/>
          <w:sz w:val="20"/>
          <w:szCs w:val="20"/>
        </w:rPr>
        <w:t xml:space="preserve">using the methods explained in this paper from various data sources. </w:t>
      </w:r>
      <w:r w:rsidR="00B5062B">
        <w:rPr>
          <w:rFonts w:asciiTheme="minorHAnsi" w:hAnsiTheme="minorHAnsi" w:cstheme="minorHAnsi"/>
          <w:sz w:val="20"/>
          <w:szCs w:val="20"/>
        </w:rPr>
        <w:t>For brevity, both the sample period for econometric estimation (July 1994 through January 2011) and the out-of-sample forecasting period (February 2011 through November 2014) are shown in this chart.</w:t>
      </w:r>
    </w:p>
    <w:p w:rsidR="0002758A" w:rsidRDefault="0002758A">
      <w:pPr>
        <w:rPr>
          <w:rFonts w:asciiTheme="minorHAnsi" w:hAnsiTheme="minorHAnsi" w:cstheme="minorHAnsi"/>
        </w:rPr>
      </w:pPr>
    </w:p>
    <w:p w:rsidR="001F5C0D" w:rsidRPr="00404085" w:rsidRDefault="001F5C0D" w:rsidP="001F5C0D">
      <w:pPr>
        <w:rPr>
          <w:rFonts w:ascii="Calibri" w:hAnsi="Calibri" w:cs="Calibri"/>
          <w:b/>
        </w:rPr>
      </w:pPr>
      <w:r>
        <w:rPr>
          <w:rFonts w:ascii="Calibri" w:hAnsi="Calibri" w:cs="Calibri"/>
          <w:b/>
        </w:rPr>
        <w:t>Final Selection Tests for the N</w:t>
      </w:r>
      <w:r w:rsidRPr="00404085">
        <w:rPr>
          <w:rFonts w:ascii="Calibri" w:hAnsi="Calibri" w:cs="Calibri"/>
          <w:b/>
        </w:rPr>
        <w:t>ew Indicator</w:t>
      </w:r>
    </w:p>
    <w:p w:rsidR="001F5C0D" w:rsidRDefault="001F5C0D" w:rsidP="001F5C0D">
      <w:pPr>
        <w:rPr>
          <w:rFonts w:ascii="Calibri" w:hAnsi="Calibri" w:cs="Calibri"/>
        </w:rPr>
      </w:pPr>
    </w:p>
    <w:p w:rsidR="0002758A" w:rsidRDefault="001F5C0D">
      <w:pPr>
        <w:rPr>
          <w:rFonts w:asciiTheme="minorHAnsi" w:hAnsiTheme="minorHAnsi" w:cstheme="minorHAnsi"/>
        </w:rPr>
      </w:pPr>
      <w:r>
        <w:rPr>
          <w:rFonts w:asciiTheme="minorHAnsi" w:hAnsiTheme="minorHAnsi" w:cstheme="minorHAnsi"/>
        </w:rPr>
        <w:t>From the round of examination explained in the previous Section of this paper, there are two alternative Indicators to be tested in this final round of testing:</w:t>
      </w:r>
    </w:p>
    <w:p w:rsidR="001F5C0D" w:rsidRDefault="001F5C0D">
      <w:pPr>
        <w:rPr>
          <w:rFonts w:asciiTheme="minorHAnsi" w:hAnsiTheme="minorHAnsi" w:cstheme="minorHAnsi"/>
        </w:rPr>
      </w:pPr>
    </w:p>
    <w:p w:rsidR="001F5C0D" w:rsidRPr="001F5C0D" w:rsidRDefault="001F5C0D" w:rsidP="001F5C0D">
      <w:pPr>
        <w:pStyle w:val="ListParagraph"/>
        <w:numPr>
          <w:ilvl w:val="0"/>
          <w:numId w:val="6"/>
        </w:numPr>
        <w:rPr>
          <w:rFonts w:cstheme="minorHAnsi"/>
          <w:sz w:val="24"/>
          <w:szCs w:val="24"/>
        </w:rPr>
      </w:pPr>
      <w:r w:rsidRPr="001F5C0D">
        <w:rPr>
          <w:rFonts w:cstheme="minorHAnsi"/>
          <w:sz w:val="24"/>
          <w:szCs w:val="24"/>
        </w:rPr>
        <w:t xml:space="preserve">the New (econometrically estimated) Leading Indicator of Employment (NLIOE) and  </w:t>
      </w:r>
    </w:p>
    <w:p w:rsidR="001F5C0D" w:rsidRPr="001F5C0D" w:rsidRDefault="001F5C0D" w:rsidP="001F5C0D">
      <w:pPr>
        <w:pStyle w:val="ListParagraph"/>
        <w:numPr>
          <w:ilvl w:val="0"/>
          <w:numId w:val="6"/>
        </w:numPr>
        <w:rPr>
          <w:rFonts w:cstheme="minorHAnsi"/>
          <w:sz w:val="24"/>
          <w:szCs w:val="24"/>
        </w:rPr>
      </w:pPr>
      <w:r w:rsidRPr="001F5C0D">
        <w:rPr>
          <w:rFonts w:cstheme="minorHAnsi"/>
          <w:sz w:val="24"/>
          <w:szCs w:val="24"/>
        </w:rPr>
        <w:t>the Equally Weighted Five Variable Indicator (EW5VI).</w:t>
      </w:r>
    </w:p>
    <w:p w:rsidR="001F5C0D" w:rsidRDefault="001F5C0D">
      <w:pPr>
        <w:rPr>
          <w:rFonts w:asciiTheme="minorHAnsi" w:hAnsiTheme="minorHAnsi" w:cstheme="minorHAnsi"/>
        </w:rPr>
      </w:pPr>
    </w:p>
    <w:p w:rsidR="001F5C0D" w:rsidRPr="00B5062B" w:rsidRDefault="001F5C0D">
      <w:pPr>
        <w:rPr>
          <w:rFonts w:asciiTheme="minorHAnsi" w:hAnsiTheme="minorHAnsi" w:cstheme="minorHAnsi"/>
        </w:rPr>
      </w:pPr>
      <w:r>
        <w:rPr>
          <w:rFonts w:asciiTheme="minorHAnsi" w:hAnsiTheme="minorHAnsi" w:cstheme="minorHAnsi"/>
        </w:rPr>
        <w:t xml:space="preserve">These were tested against cyclical employment in the final round of examination for the Review. For the sake of comparison, the current Indicator (LIOE) was included. In doing this examination, the reference months were used for each series instead of the reporting months, so that the alternative series would be compared accurately. </w:t>
      </w:r>
      <w:r w:rsidR="00B5062B">
        <w:rPr>
          <w:rFonts w:asciiTheme="minorHAnsi" w:hAnsiTheme="minorHAnsi" w:cstheme="minorHAnsi"/>
        </w:rPr>
        <w:t>W</w:t>
      </w:r>
      <w:r w:rsidR="00895D47">
        <w:rPr>
          <w:rFonts w:asciiTheme="minorHAnsi" w:hAnsiTheme="minorHAnsi" w:cstheme="minorHAnsi"/>
        </w:rPr>
        <w:t>ith</w:t>
      </w:r>
      <w:r>
        <w:rPr>
          <w:rFonts w:asciiTheme="minorHAnsi" w:hAnsiTheme="minorHAnsi" w:cstheme="minorHAnsi"/>
        </w:rPr>
        <w:t xml:space="preserve"> the </w:t>
      </w:r>
      <w:r w:rsidR="00895D47">
        <w:rPr>
          <w:rFonts w:asciiTheme="minorHAnsi" w:hAnsiTheme="minorHAnsi" w:cstheme="minorHAnsi"/>
        </w:rPr>
        <w:t>current Indicator methods</w:t>
      </w:r>
      <w:r w:rsidR="00B5062B">
        <w:rPr>
          <w:rFonts w:asciiTheme="minorHAnsi" w:hAnsiTheme="minorHAnsi" w:cstheme="minorHAnsi"/>
        </w:rPr>
        <w:t xml:space="preserve">, the reference month for employment is moved forward two months to match the month of </w:t>
      </w:r>
      <w:r w:rsidR="00895D47">
        <w:rPr>
          <w:rFonts w:asciiTheme="minorHAnsi" w:hAnsiTheme="minorHAnsi" w:cstheme="minorHAnsi"/>
        </w:rPr>
        <w:t>release of the Indicator</w:t>
      </w:r>
      <w:r w:rsidR="00895D47" w:rsidRPr="00B5062B">
        <w:rPr>
          <w:rFonts w:asciiTheme="minorHAnsi" w:hAnsiTheme="minorHAnsi" w:cstheme="minorHAnsi"/>
        </w:rPr>
        <w:t xml:space="preserve">. </w:t>
      </w:r>
      <w:r w:rsidR="00B5062B">
        <w:rPr>
          <w:rFonts w:asciiTheme="minorHAnsi" w:hAnsiTheme="minorHAnsi" w:cstheme="minorHAnsi"/>
        </w:rPr>
        <w:t xml:space="preserve">The analysis was conducted over </w:t>
      </w:r>
      <w:r w:rsidR="00B5062B" w:rsidRPr="00B5062B">
        <w:rPr>
          <w:rFonts w:asciiTheme="minorHAnsi" w:hAnsiTheme="minorHAnsi" w:cstheme="minorHAnsi"/>
        </w:rPr>
        <w:t>the sample period for econometric estimation (July 1994 through January 2011)</w:t>
      </w:r>
      <w:r w:rsidR="00FD1A80">
        <w:rPr>
          <w:rFonts w:asciiTheme="minorHAnsi" w:hAnsiTheme="minorHAnsi" w:cstheme="minorHAnsi"/>
        </w:rPr>
        <w:t xml:space="preserve">, with a separate analysis of out-of-sample forecasting performance for the period from </w:t>
      </w:r>
      <w:r w:rsidR="00B5062B" w:rsidRPr="00B5062B">
        <w:rPr>
          <w:rFonts w:asciiTheme="minorHAnsi" w:hAnsiTheme="minorHAnsi" w:cstheme="minorHAnsi"/>
        </w:rPr>
        <w:t>February 2011 through November 2014.</w:t>
      </w:r>
      <w:r w:rsidR="00895D47" w:rsidRPr="00B5062B">
        <w:rPr>
          <w:rFonts w:asciiTheme="minorHAnsi" w:hAnsiTheme="minorHAnsi" w:cstheme="minorHAnsi"/>
        </w:rPr>
        <w:t xml:space="preserve"> </w:t>
      </w:r>
    </w:p>
    <w:p w:rsidR="001F5C0D" w:rsidRDefault="001F5C0D">
      <w:pPr>
        <w:rPr>
          <w:rFonts w:asciiTheme="minorHAnsi" w:hAnsiTheme="minorHAnsi" w:cstheme="minorHAnsi"/>
        </w:rPr>
      </w:pPr>
    </w:p>
    <w:p w:rsidR="001F5C0D" w:rsidRPr="001D11F0" w:rsidRDefault="001D11F0">
      <w:pPr>
        <w:rPr>
          <w:rFonts w:asciiTheme="minorHAnsi" w:hAnsiTheme="minorHAnsi" w:cstheme="minorHAnsi"/>
        </w:rPr>
      </w:pPr>
      <w:r>
        <w:rPr>
          <w:rFonts w:asciiTheme="minorHAnsi" w:hAnsiTheme="minorHAnsi" w:cstheme="minorHAnsi"/>
        </w:rPr>
        <w:lastRenderedPageBreak/>
        <w:t>In contrast to the previous round of testing where selection of one of the alternative new Indicators was based on explanatory power in multiple regression equations, the assessment in this final round of selection is based on how well the alternative indicators predict the turning points (peaks and troughs) in cyclical employment. In conducting the formal analysis of performance, the quantitative assessment is based on performance in predicting signals of strongly confirmed turning points</w:t>
      </w:r>
      <w:r w:rsidRPr="001D11F0">
        <w:rPr>
          <w:rFonts w:asciiTheme="minorHAnsi" w:hAnsiTheme="minorHAnsi" w:cstheme="minorHAnsi"/>
        </w:rPr>
        <w:t>.</w:t>
      </w:r>
      <w:r w:rsidRPr="001D11F0">
        <w:rPr>
          <w:rStyle w:val="FootnoteReference"/>
          <w:rFonts w:asciiTheme="minorHAnsi" w:hAnsiTheme="minorHAnsi" w:cstheme="minorHAnsi"/>
        </w:rPr>
        <w:footnoteReference w:id="12"/>
      </w:r>
      <w:r>
        <w:rPr>
          <w:rFonts w:asciiTheme="minorHAnsi" w:hAnsiTheme="minorHAnsi" w:cstheme="minorHAnsi"/>
        </w:rPr>
        <w:t xml:space="preserve"> Weakly confirmed turning points were not used in the quantitative assessment because they are, as is indicated in their name, weaker as a signal of a peak or a trough, to the extent that sometimes it can be hard to distinguish a weakly confirmed turning point from an inflexion point. </w:t>
      </w:r>
      <w:r w:rsidR="00DA7000">
        <w:rPr>
          <w:rFonts w:asciiTheme="minorHAnsi" w:hAnsiTheme="minorHAnsi" w:cstheme="minorHAnsi"/>
        </w:rPr>
        <w:t xml:space="preserve">The quantitative assessment is based on the signal of when a turning point has occurred in cyclical employment and the alternative Indicators, rather than the actual peaks or troughs, because the former can readily be quantitatively determined at the time that a strong confirmation of a turning point is made, but the latter requires further </w:t>
      </w:r>
      <w:r w:rsidR="000005BE">
        <w:rPr>
          <w:rFonts w:asciiTheme="minorHAnsi" w:hAnsiTheme="minorHAnsi" w:cstheme="minorHAnsi"/>
        </w:rPr>
        <w:t>analysis</w:t>
      </w:r>
      <w:r w:rsidR="00DA7000">
        <w:rPr>
          <w:rFonts w:asciiTheme="minorHAnsi" w:hAnsiTheme="minorHAnsi" w:cstheme="minorHAnsi"/>
        </w:rPr>
        <w:t xml:space="preserve"> </w:t>
      </w:r>
      <w:r w:rsidR="005E097D">
        <w:rPr>
          <w:rFonts w:asciiTheme="minorHAnsi" w:hAnsiTheme="minorHAnsi" w:cstheme="minorHAnsi"/>
        </w:rPr>
        <w:t xml:space="preserve">and observations </w:t>
      </w:r>
      <w:r w:rsidR="00DA7000">
        <w:rPr>
          <w:rFonts w:asciiTheme="minorHAnsi" w:hAnsiTheme="minorHAnsi" w:cstheme="minorHAnsi"/>
        </w:rPr>
        <w:t xml:space="preserve">to determine the actual peak or trough. An illustration of the distinction between the </w:t>
      </w:r>
      <w:r w:rsidR="00C84589">
        <w:rPr>
          <w:rFonts w:asciiTheme="minorHAnsi" w:hAnsiTheme="minorHAnsi" w:cstheme="minorHAnsi"/>
        </w:rPr>
        <w:t>signals for, and actual peaks and troughs is given in Figure 4, which portrays the time series for cyclical empl</w:t>
      </w:r>
      <w:r w:rsidR="00EA1A25">
        <w:rPr>
          <w:rFonts w:asciiTheme="minorHAnsi" w:hAnsiTheme="minorHAnsi" w:cstheme="minorHAnsi"/>
        </w:rPr>
        <w:t>oyment between July 1994</w:t>
      </w:r>
      <w:r w:rsidR="00C84589">
        <w:rPr>
          <w:rFonts w:asciiTheme="minorHAnsi" w:hAnsiTheme="minorHAnsi" w:cstheme="minorHAnsi"/>
        </w:rPr>
        <w:t xml:space="preserve"> and </w:t>
      </w:r>
      <w:r w:rsidR="00EA1A25">
        <w:rPr>
          <w:rFonts w:asciiTheme="minorHAnsi" w:hAnsiTheme="minorHAnsi" w:cstheme="minorHAnsi"/>
        </w:rPr>
        <w:t>January 200</w:t>
      </w:r>
      <w:r w:rsidR="00C84589">
        <w:rPr>
          <w:rFonts w:asciiTheme="minorHAnsi" w:hAnsiTheme="minorHAnsi" w:cstheme="minorHAnsi"/>
        </w:rPr>
        <w:t xml:space="preserve">1. </w:t>
      </w:r>
      <w:r>
        <w:rPr>
          <w:rFonts w:asciiTheme="minorHAnsi" w:hAnsiTheme="minorHAnsi" w:cstheme="minorHAnsi"/>
        </w:rPr>
        <w:t xml:space="preserve">  </w:t>
      </w:r>
    </w:p>
    <w:p w:rsidR="001F5C0D" w:rsidRDefault="001F5C0D">
      <w:pPr>
        <w:rPr>
          <w:rFonts w:asciiTheme="minorHAnsi" w:hAnsiTheme="minorHAnsi" w:cstheme="minorHAnsi"/>
        </w:rPr>
      </w:pPr>
    </w:p>
    <w:p w:rsidR="001D11F0" w:rsidRDefault="00C84589">
      <w:pPr>
        <w:rPr>
          <w:rFonts w:asciiTheme="minorHAnsi" w:hAnsiTheme="minorHAnsi" w:cstheme="minorHAnsi"/>
        </w:rPr>
      </w:pPr>
      <w:r>
        <w:rPr>
          <w:rFonts w:ascii="Calibri" w:hAnsi="Calibri" w:cs="Calibri"/>
          <w:color w:val="000000" w:themeColor="text1"/>
        </w:rPr>
        <w:t xml:space="preserve">Figure 4: </w:t>
      </w:r>
      <w:r w:rsidRPr="00C84589">
        <w:rPr>
          <w:rFonts w:ascii="Calibri" w:hAnsi="Calibri" w:cs="Calibri"/>
          <w:b/>
          <w:color w:val="000000" w:themeColor="text1"/>
        </w:rPr>
        <w:t>Signals for, and Actual, Peaks and Troughs in</w:t>
      </w:r>
      <w:r>
        <w:rPr>
          <w:rFonts w:ascii="Calibri" w:hAnsi="Calibri" w:cs="Calibri"/>
          <w:color w:val="000000" w:themeColor="text1"/>
        </w:rPr>
        <w:t xml:space="preserve"> </w:t>
      </w:r>
      <w:r>
        <w:rPr>
          <w:rFonts w:ascii="Calibri" w:hAnsi="Calibri" w:cs="Calibri"/>
          <w:b/>
          <w:color w:val="000000" w:themeColor="text1"/>
        </w:rPr>
        <w:t>Cyclical Employment</w:t>
      </w:r>
    </w:p>
    <w:p w:rsidR="00F77293" w:rsidRDefault="00F77293">
      <w:pPr>
        <w:rPr>
          <w:rFonts w:asciiTheme="minorHAnsi" w:hAnsiTheme="minorHAnsi" w:cstheme="minorHAnsi"/>
        </w:rPr>
      </w:pPr>
    </w:p>
    <w:p w:rsidR="00F77293" w:rsidRDefault="00EA1A25">
      <w:pPr>
        <w:rPr>
          <w:rFonts w:asciiTheme="minorHAnsi" w:hAnsiTheme="minorHAnsi" w:cstheme="minorHAnsi"/>
        </w:rPr>
      </w:pPr>
      <w:r w:rsidRPr="00EA1A25">
        <w:rPr>
          <w:noProof/>
        </w:rPr>
        <w:drawing>
          <wp:inline distT="0" distB="0" distL="0" distR="0" wp14:anchorId="10B9532B" wp14:editId="30B841C2">
            <wp:extent cx="5274310" cy="3458375"/>
            <wp:effectExtent l="0" t="0" r="254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310" cy="3458375"/>
                    </a:xfrm>
                    <a:prstGeom prst="rect">
                      <a:avLst/>
                    </a:prstGeom>
                    <a:noFill/>
                    <a:ln>
                      <a:noFill/>
                    </a:ln>
                  </pic:spPr>
                </pic:pic>
              </a:graphicData>
            </a:graphic>
          </wp:inline>
        </w:drawing>
      </w:r>
    </w:p>
    <w:p w:rsidR="00F77293" w:rsidRPr="00C84589" w:rsidRDefault="00C84589">
      <w:pPr>
        <w:rPr>
          <w:rFonts w:asciiTheme="minorHAnsi" w:hAnsiTheme="minorHAnsi" w:cstheme="minorHAnsi"/>
          <w:sz w:val="20"/>
          <w:szCs w:val="20"/>
        </w:rPr>
      </w:pPr>
      <w:r w:rsidRPr="00C84589">
        <w:rPr>
          <w:rFonts w:asciiTheme="minorHAnsi" w:hAnsiTheme="minorHAnsi" w:cstheme="minorHAnsi"/>
          <w:sz w:val="20"/>
          <w:szCs w:val="20"/>
        </w:rPr>
        <w:t xml:space="preserve">Source: Calculated by the authors using standard Leading Indicator methodology from ABS Labour Force Survey (Cat. No. 6202.0) data for seasonally adjusted total employment. </w:t>
      </w:r>
    </w:p>
    <w:p w:rsidR="001D11F0" w:rsidRDefault="001D11F0">
      <w:pPr>
        <w:rPr>
          <w:rFonts w:asciiTheme="minorHAnsi" w:hAnsiTheme="minorHAnsi" w:cstheme="minorHAnsi"/>
        </w:rPr>
      </w:pPr>
    </w:p>
    <w:p w:rsidR="00C84589" w:rsidRDefault="00C84589">
      <w:pPr>
        <w:rPr>
          <w:rFonts w:asciiTheme="minorHAnsi" w:hAnsiTheme="minorHAnsi" w:cstheme="minorHAnsi"/>
        </w:rPr>
      </w:pPr>
      <w:r>
        <w:rPr>
          <w:rFonts w:asciiTheme="minorHAnsi" w:hAnsiTheme="minorHAnsi" w:cstheme="minorHAnsi"/>
        </w:rPr>
        <w:t>In Figure 4, the signals for a peak, and the actual peaks in cyclical employmen</w:t>
      </w:r>
      <w:r w:rsidR="00EA1A25">
        <w:rPr>
          <w:rFonts w:asciiTheme="minorHAnsi" w:hAnsiTheme="minorHAnsi" w:cstheme="minorHAnsi"/>
        </w:rPr>
        <w:t>t, coincide in November 1995 and July 2000</w:t>
      </w:r>
      <w:r>
        <w:rPr>
          <w:rFonts w:asciiTheme="minorHAnsi" w:hAnsiTheme="minorHAnsi" w:cstheme="minorHAnsi"/>
        </w:rPr>
        <w:t xml:space="preserve">. However, the only actual strongly </w:t>
      </w:r>
      <w:r>
        <w:rPr>
          <w:rFonts w:asciiTheme="minorHAnsi" w:hAnsiTheme="minorHAnsi" w:cstheme="minorHAnsi"/>
        </w:rPr>
        <w:lastRenderedPageBreak/>
        <w:t xml:space="preserve">confirmed trough in cyclical employment during the time period shown in Figure 4 occurs in </w:t>
      </w:r>
      <w:r w:rsidR="00EA1A25">
        <w:rPr>
          <w:rFonts w:asciiTheme="minorHAnsi" w:hAnsiTheme="minorHAnsi" w:cstheme="minorHAnsi"/>
        </w:rPr>
        <w:t>August 1997</w:t>
      </w:r>
      <w:r>
        <w:rPr>
          <w:rFonts w:asciiTheme="minorHAnsi" w:hAnsiTheme="minorHAnsi" w:cstheme="minorHAnsi"/>
        </w:rPr>
        <w:t>, but the signal for this trough</w:t>
      </w:r>
      <w:r w:rsidR="00EA1A25">
        <w:rPr>
          <w:rFonts w:asciiTheme="minorHAnsi" w:hAnsiTheme="minorHAnsi" w:cstheme="minorHAnsi"/>
        </w:rPr>
        <w:t xml:space="preserve"> does not occur until April 1998</w:t>
      </w:r>
      <w:r>
        <w:rPr>
          <w:rFonts w:asciiTheme="minorHAnsi" w:hAnsiTheme="minorHAnsi" w:cstheme="minorHAnsi"/>
        </w:rPr>
        <w:t xml:space="preserve">.  </w:t>
      </w:r>
    </w:p>
    <w:p w:rsidR="00C84589" w:rsidRDefault="00C84589">
      <w:pPr>
        <w:rPr>
          <w:rFonts w:asciiTheme="minorHAnsi" w:hAnsiTheme="minorHAnsi" w:cstheme="minorHAnsi"/>
        </w:rPr>
      </w:pPr>
    </w:p>
    <w:p w:rsidR="00C84589" w:rsidRDefault="002D465B">
      <w:pPr>
        <w:rPr>
          <w:rFonts w:asciiTheme="minorHAnsi" w:hAnsiTheme="minorHAnsi" w:cstheme="minorHAnsi"/>
        </w:rPr>
      </w:pPr>
      <w:r>
        <w:rPr>
          <w:rFonts w:asciiTheme="minorHAnsi" w:hAnsiTheme="minorHAnsi" w:cstheme="minorHAnsi"/>
        </w:rPr>
        <w:t>The quantitative assessment was based on the average lead times, variability of lead times, and false signals (missed or extra turning points) between the alternative Indicators and cyclical employm</w:t>
      </w:r>
      <w:r w:rsidR="00240F23">
        <w:rPr>
          <w:rFonts w:asciiTheme="minorHAnsi" w:hAnsiTheme="minorHAnsi" w:cstheme="minorHAnsi"/>
        </w:rPr>
        <w:t>ent, from July 1994 through January 2011</w:t>
      </w:r>
      <w:r>
        <w:rPr>
          <w:rFonts w:asciiTheme="minorHAnsi" w:hAnsiTheme="minorHAnsi" w:cstheme="minorHAnsi"/>
        </w:rPr>
        <w:t>. The results are shown in Table 3.</w:t>
      </w:r>
    </w:p>
    <w:p w:rsidR="00C84589" w:rsidRDefault="00C84589">
      <w:pPr>
        <w:rPr>
          <w:rFonts w:asciiTheme="minorHAnsi" w:hAnsiTheme="minorHAnsi" w:cstheme="minorHAnsi"/>
        </w:rPr>
      </w:pPr>
    </w:p>
    <w:p w:rsidR="003039ED" w:rsidRDefault="003039ED">
      <w:pPr>
        <w:rPr>
          <w:rFonts w:asciiTheme="minorHAnsi" w:hAnsiTheme="minorHAnsi" w:cstheme="minorHAnsi"/>
        </w:rPr>
      </w:pPr>
    </w:p>
    <w:p w:rsidR="002D465B" w:rsidRPr="0049527F" w:rsidRDefault="002D465B" w:rsidP="002D465B">
      <w:pPr>
        <w:rPr>
          <w:rFonts w:asciiTheme="minorHAnsi" w:hAnsiTheme="minorHAnsi" w:cstheme="minorHAnsi"/>
          <w:b/>
        </w:rPr>
      </w:pPr>
      <w:r>
        <w:rPr>
          <w:rFonts w:asciiTheme="minorHAnsi" w:hAnsiTheme="minorHAnsi" w:cstheme="minorHAnsi"/>
        </w:rPr>
        <w:t xml:space="preserve">Table 3: </w:t>
      </w:r>
      <w:r w:rsidRPr="00812445">
        <w:rPr>
          <w:rFonts w:asciiTheme="minorHAnsi" w:hAnsiTheme="minorHAnsi" w:cstheme="minorHAnsi"/>
          <w:b/>
        </w:rPr>
        <w:t xml:space="preserve">Results of </w:t>
      </w:r>
      <w:r>
        <w:rPr>
          <w:rFonts w:asciiTheme="minorHAnsi" w:hAnsiTheme="minorHAnsi" w:cstheme="minorHAnsi"/>
          <w:b/>
        </w:rPr>
        <w:t>Analysis of Turning Point Signals between</w:t>
      </w:r>
      <w:r w:rsidRPr="00812445">
        <w:rPr>
          <w:rFonts w:asciiTheme="minorHAnsi" w:hAnsiTheme="minorHAnsi" w:cstheme="minorHAnsi"/>
          <w:b/>
        </w:rPr>
        <w:t xml:space="preserve"> </w:t>
      </w:r>
      <w:r>
        <w:rPr>
          <w:rFonts w:asciiTheme="minorHAnsi" w:hAnsiTheme="minorHAnsi" w:cstheme="minorHAnsi"/>
          <w:b/>
        </w:rPr>
        <w:t>P</w:t>
      </w:r>
      <w:r w:rsidRPr="0049527F">
        <w:rPr>
          <w:rFonts w:asciiTheme="minorHAnsi" w:hAnsiTheme="minorHAnsi" w:cstheme="minorHAnsi"/>
          <w:b/>
        </w:rPr>
        <w:t>otential Leading Indicator</w:t>
      </w:r>
      <w:r>
        <w:rPr>
          <w:rFonts w:asciiTheme="minorHAnsi" w:hAnsiTheme="minorHAnsi" w:cstheme="minorHAnsi"/>
          <w:b/>
        </w:rPr>
        <w:t>s and Cyclical Employment</w:t>
      </w:r>
      <w:r w:rsidR="00326492">
        <w:rPr>
          <w:rFonts w:asciiTheme="minorHAnsi" w:hAnsiTheme="minorHAnsi" w:cstheme="minorHAnsi"/>
          <w:b/>
        </w:rPr>
        <w:t xml:space="preserve"> during the Estimation Period</w:t>
      </w:r>
    </w:p>
    <w:p w:rsidR="002D465B" w:rsidRDefault="002D465B" w:rsidP="002D465B">
      <w:pPr>
        <w:rPr>
          <w:rFonts w:asciiTheme="minorHAnsi" w:hAnsiTheme="minorHAnsi" w:cstheme="minorHAnsi"/>
        </w:rPr>
      </w:pPr>
    </w:p>
    <w:tbl>
      <w:tblPr>
        <w:tblStyle w:val="TableGrid"/>
        <w:tblW w:w="7507" w:type="dxa"/>
        <w:tblLook w:val="04A0" w:firstRow="1" w:lastRow="0" w:firstColumn="1" w:lastColumn="0" w:noHBand="0" w:noVBand="1"/>
      </w:tblPr>
      <w:tblGrid>
        <w:gridCol w:w="2211"/>
        <w:gridCol w:w="1252"/>
        <w:gridCol w:w="1304"/>
        <w:gridCol w:w="1519"/>
        <w:gridCol w:w="1221"/>
      </w:tblGrid>
      <w:tr w:rsidR="002D465B" w:rsidTr="00AF76F2">
        <w:tc>
          <w:tcPr>
            <w:tcW w:w="2211" w:type="dxa"/>
            <w:tcBorders>
              <w:bottom w:val="single" w:sz="4" w:space="0" w:color="auto"/>
            </w:tcBorders>
          </w:tcPr>
          <w:p w:rsidR="002D465B" w:rsidRPr="0057403C" w:rsidRDefault="002D465B" w:rsidP="005A7FB0">
            <w:pPr>
              <w:rPr>
                <w:rFonts w:asciiTheme="minorHAnsi" w:hAnsiTheme="minorHAnsi" w:cstheme="minorHAnsi"/>
                <w:b/>
                <w:sz w:val="20"/>
                <w:szCs w:val="20"/>
              </w:rPr>
            </w:pPr>
            <w:r>
              <w:rPr>
                <w:rFonts w:asciiTheme="minorHAnsi" w:hAnsiTheme="minorHAnsi" w:cstheme="minorHAnsi"/>
                <w:b/>
                <w:sz w:val="20"/>
                <w:szCs w:val="20"/>
              </w:rPr>
              <w:t>Time Period</w:t>
            </w:r>
          </w:p>
        </w:tc>
        <w:tc>
          <w:tcPr>
            <w:tcW w:w="1252" w:type="dxa"/>
            <w:tcBorders>
              <w:bottom w:val="single" w:sz="4" w:space="0" w:color="auto"/>
            </w:tcBorders>
          </w:tcPr>
          <w:p w:rsidR="002D465B" w:rsidRPr="00812445" w:rsidRDefault="002D465B" w:rsidP="005A7FB0">
            <w:pPr>
              <w:jc w:val="center"/>
              <w:rPr>
                <w:rFonts w:asciiTheme="minorHAnsi" w:hAnsiTheme="minorHAnsi" w:cstheme="minorHAnsi"/>
                <w:sz w:val="20"/>
                <w:szCs w:val="20"/>
              </w:rPr>
            </w:pPr>
            <w:r>
              <w:rPr>
                <w:rFonts w:asciiTheme="minorHAnsi" w:hAnsiTheme="minorHAnsi" w:cstheme="minorHAnsi"/>
                <w:sz w:val="20"/>
                <w:szCs w:val="20"/>
              </w:rPr>
              <w:t>Turning Point Signal in Cyclical Employment</w:t>
            </w:r>
          </w:p>
        </w:tc>
        <w:tc>
          <w:tcPr>
            <w:tcW w:w="1304" w:type="dxa"/>
            <w:tcBorders>
              <w:bottom w:val="single" w:sz="4" w:space="0" w:color="auto"/>
            </w:tcBorders>
          </w:tcPr>
          <w:p w:rsidR="002D465B" w:rsidRPr="0057403C" w:rsidRDefault="002D465B" w:rsidP="005A7FB0">
            <w:pPr>
              <w:jc w:val="center"/>
              <w:rPr>
                <w:rFonts w:asciiTheme="minorHAnsi" w:hAnsiTheme="minorHAnsi" w:cstheme="minorHAnsi"/>
                <w:sz w:val="20"/>
                <w:szCs w:val="20"/>
              </w:rPr>
            </w:pPr>
            <w:r>
              <w:rPr>
                <w:rFonts w:asciiTheme="minorHAnsi" w:hAnsiTheme="minorHAnsi" w:cstheme="minorHAnsi"/>
                <w:sz w:val="20"/>
                <w:szCs w:val="20"/>
              </w:rPr>
              <w:t>Lead Time (months) for Five-Variable Equally Weighted Indicator</w:t>
            </w:r>
          </w:p>
        </w:tc>
        <w:tc>
          <w:tcPr>
            <w:tcW w:w="1519" w:type="dxa"/>
            <w:tcBorders>
              <w:bottom w:val="single" w:sz="4" w:space="0" w:color="auto"/>
            </w:tcBorders>
          </w:tcPr>
          <w:p w:rsidR="002D465B" w:rsidRPr="0057403C" w:rsidRDefault="002D465B" w:rsidP="002D465B">
            <w:pPr>
              <w:jc w:val="center"/>
              <w:rPr>
                <w:rFonts w:asciiTheme="minorHAnsi" w:hAnsiTheme="minorHAnsi" w:cstheme="minorHAnsi"/>
                <w:sz w:val="20"/>
                <w:szCs w:val="20"/>
              </w:rPr>
            </w:pPr>
            <w:r>
              <w:rPr>
                <w:rFonts w:asciiTheme="minorHAnsi" w:hAnsiTheme="minorHAnsi" w:cstheme="minorHAnsi"/>
                <w:sz w:val="20"/>
                <w:szCs w:val="20"/>
              </w:rPr>
              <w:t>Lead Time (months) for Econometrically Estimated Indicator</w:t>
            </w:r>
          </w:p>
        </w:tc>
        <w:tc>
          <w:tcPr>
            <w:tcW w:w="1221" w:type="dxa"/>
            <w:tcBorders>
              <w:bottom w:val="single" w:sz="4" w:space="0" w:color="auto"/>
            </w:tcBorders>
          </w:tcPr>
          <w:p w:rsidR="002D465B" w:rsidRPr="0057403C" w:rsidRDefault="002D465B" w:rsidP="002D465B">
            <w:pPr>
              <w:jc w:val="center"/>
              <w:rPr>
                <w:rFonts w:asciiTheme="minorHAnsi" w:hAnsiTheme="minorHAnsi" w:cstheme="minorHAnsi"/>
                <w:sz w:val="20"/>
                <w:szCs w:val="20"/>
              </w:rPr>
            </w:pPr>
            <w:r>
              <w:rPr>
                <w:rFonts w:asciiTheme="minorHAnsi" w:hAnsiTheme="minorHAnsi" w:cstheme="minorHAnsi"/>
                <w:sz w:val="20"/>
                <w:szCs w:val="20"/>
              </w:rPr>
              <w:t>Lead Time (months) for Current Indicator</w:t>
            </w:r>
          </w:p>
        </w:tc>
      </w:tr>
      <w:tr w:rsidR="007A5289" w:rsidRPr="0057403C" w:rsidTr="00AF76F2">
        <w:tc>
          <w:tcPr>
            <w:tcW w:w="2211" w:type="dxa"/>
            <w:tcBorders>
              <w:bottom w:val="single" w:sz="4" w:space="0" w:color="auto"/>
              <w:right w:val="single" w:sz="4" w:space="0" w:color="auto"/>
            </w:tcBorders>
          </w:tcPr>
          <w:p w:rsidR="007A5289" w:rsidRPr="0057403C" w:rsidRDefault="007A5289" w:rsidP="005A7FB0">
            <w:pPr>
              <w:rPr>
                <w:rFonts w:asciiTheme="minorHAnsi" w:hAnsiTheme="minorHAnsi" w:cstheme="minorHAnsi"/>
                <w:sz w:val="20"/>
                <w:szCs w:val="20"/>
              </w:rPr>
            </w:pPr>
            <w:r>
              <w:rPr>
                <w:rFonts w:asciiTheme="minorHAnsi" w:hAnsiTheme="minorHAnsi" w:cstheme="minorHAnsi"/>
                <w:sz w:val="20"/>
                <w:szCs w:val="20"/>
              </w:rPr>
              <w:t>November 1995</w:t>
            </w:r>
          </w:p>
        </w:tc>
        <w:tc>
          <w:tcPr>
            <w:tcW w:w="1252" w:type="dxa"/>
            <w:tcBorders>
              <w:left w:val="single" w:sz="4" w:space="0" w:color="auto"/>
              <w:bottom w:val="single" w:sz="4" w:space="0" w:color="auto"/>
              <w:right w:val="single" w:sz="4" w:space="0" w:color="auto"/>
            </w:tcBorders>
          </w:tcPr>
          <w:p w:rsidR="007A5289" w:rsidRPr="00812445" w:rsidRDefault="007A5289" w:rsidP="005A7FB0">
            <w:pPr>
              <w:jc w:val="center"/>
              <w:rPr>
                <w:rFonts w:asciiTheme="minorHAnsi" w:hAnsiTheme="minorHAnsi" w:cstheme="minorHAnsi"/>
                <w:sz w:val="20"/>
                <w:szCs w:val="20"/>
              </w:rPr>
            </w:pPr>
            <w:r>
              <w:rPr>
                <w:rFonts w:asciiTheme="minorHAnsi" w:hAnsiTheme="minorHAnsi" w:cstheme="minorHAnsi"/>
                <w:sz w:val="20"/>
                <w:szCs w:val="20"/>
              </w:rPr>
              <w:t>Peak</w:t>
            </w:r>
          </w:p>
        </w:tc>
        <w:tc>
          <w:tcPr>
            <w:tcW w:w="1304" w:type="dxa"/>
            <w:tcBorders>
              <w:left w:val="single" w:sz="4" w:space="0" w:color="auto"/>
              <w:bottom w:val="single" w:sz="4" w:space="0" w:color="auto"/>
              <w:right w:val="single" w:sz="4" w:space="0" w:color="auto"/>
            </w:tcBorders>
          </w:tcPr>
          <w:p w:rsidR="007A5289" w:rsidRPr="007A5289" w:rsidRDefault="007A5289" w:rsidP="007A5289">
            <w:pPr>
              <w:jc w:val="center"/>
              <w:rPr>
                <w:rFonts w:asciiTheme="minorHAnsi" w:hAnsiTheme="minorHAnsi" w:cstheme="minorHAnsi"/>
                <w:sz w:val="20"/>
                <w:szCs w:val="20"/>
              </w:rPr>
            </w:pPr>
            <w:r w:rsidRPr="007A5289">
              <w:rPr>
                <w:rFonts w:asciiTheme="minorHAnsi" w:hAnsiTheme="minorHAnsi" w:cstheme="minorHAnsi"/>
                <w:sz w:val="20"/>
                <w:szCs w:val="20"/>
              </w:rPr>
              <w:t>18</w:t>
            </w:r>
          </w:p>
        </w:tc>
        <w:tc>
          <w:tcPr>
            <w:tcW w:w="1519" w:type="dxa"/>
            <w:tcBorders>
              <w:left w:val="single" w:sz="4" w:space="0" w:color="auto"/>
              <w:bottom w:val="single" w:sz="4" w:space="0" w:color="auto"/>
              <w:right w:val="single" w:sz="4" w:space="0" w:color="auto"/>
            </w:tcBorders>
          </w:tcPr>
          <w:p w:rsidR="007A5289" w:rsidRPr="007A5289" w:rsidRDefault="007A5289" w:rsidP="007A5289">
            <w:pPr>
              <w:jc w:val="center"/>
              <w:rPr>
                <w:rFonts w:asciiTheme="minorHAnsi" w:hAnsiTheme="minorHAnsi" w:cstheme="minorHAnsi"/>
                <w:sz w:val="20"/>
                <w:szCs w:val="20"/>
              </w:rPr>
            </w:pPr>
            <w:r w:rsidRPr="007A5289">
              <w:rPr>
                <w:rFonts w:asciiTheme="minorHAnsi" w:hAnsiTheme="minorHAnsi" w:cstheme="minorHAnsi"/>
                <w:sz w:val="20"/>
                <w:szCs w:val="20"/>
              </w:rPr>
              <w:t>4</w:t>
            </w:r>
          </w:p>
        </w:tc>
        <w:tc>
          <w:tcPr>
            <w:tcW w:w="1221" w:type="dxa"/>
            <w:tcBorders>
              <w:left w:val="single" w:sz="4" w:space="0" w:color="auto"/>
              <w:bottom w:val="single" w:sz="4" w:space="0" w:color="auto"/>
              <w:right w:val="single" w:sz="4" w:space="0" w:color="auto"/>
            </w:tcBorders>
          </w:tcPr>
          <w:p w:rsidR="007A5289" w:rsidRPr="007A5289" w:rsidRDefault="00240F23" w:rsidP="007A5289">
            <w:pPr>
              <w:jc w:val="center"/>
              <w:rPr>
                <w:rFonts w:asciiTheme="minorHAnsi" w:hAnsiTheme="minorHAnsi" w:cstheme="minorHAnsi"/>
                <w:sz w:val="20"/>
                <w:szCs w:val="20"/>
              </w:rPr>
            </w:pPr>
            <w:r>
              <w:rPr>
                <w:rFonts w:asciiTheme="minorHAnsi" w:hAnsiTheme="minorHAnsi" w:cstheme="minorHAnsi"/>
                <w:sz w:val="20"/>
                <w:szCs w:val="20"/>
              </w:rPr>
              <w:t>14</w:t>
            </w:r>
          </w:p>
        </w:tc>
      </w:tr>
      <w:tr w:rsidR="002D465B" w:rsidRPr="0057403C" w:rsidTr="00AF76F2">
        <w:tc>
          <w:tcPr>
            <w:tcW w:w="2211" w:type="dxa"/>
            <w:tcBorders>
              <w:top w:val="single" w:sz="4" w:space="0" w:color="auto"/>
              <w:bottom w:val="single" w:sz="4" w:space="0" w:color="auto"/>
              <w:right w:val="single" w:sz="4" w:space="0" w:color="auto"/>
            </w:tcBorders>
          </w:tcPr>
          <w:p w:rsidR="002D465B" w:rsidRPr="00C56FE5" w:rsidRDefault="00AF76F2" w:rsidP="005A7FB0">
            <w:pPr>
              <w:rPr>
                <w:rFonts w:ascii="Calibri" w:hAnsi="Calibri" w:cs="Calibri"/>
                <w:sz w:val="20"/>
                <w:szCs w:val="20"/>
                <w:vertAlign w:val="superscript"/>
              </w:rPr>
            </w:pPr>
            <w:r>
              <w:rPr>
                <w:rFonts w:asciiTheme="minorHAnsi" w:hAnsiTheme="minorHAnsi" w:cstheme="minorHAnsi"/>
                <w:sz w:val="20"/>
                <w:szCs w:val="20"/>
              </w:rPr>
              <w:t>December 1997</w:t>
            </w:r>
          </w:p>
        </w:tc>
        <w:tc>
          <w:tcPr>
            <w:tcW w:w="1252" w:type="dxa"/>
            <w:tcBorders>
              <w:top w:val="single" w:sz="4" w:space="0" w:color="auto"/>
              <w:left w:val="single" w:sz="4" w:space="0" w:color="auto"/>
              <w:bottom w:val="single" w:sz="4" w:space="0" w:color="auto"/>
              <w:right w:val="single" w:sz="4" w:space="0" w:color="auto"/>
            </w:tcBorders>
          </w:tcPr>
          <w:p w:rsidR="002D465B" w:rsidRPr="00812445" w:rsidRDefault="002D465B" w:rsidP="005A7FB0">
            <w:pPr>
              <w:jc w:val="center"/>
              <w:rPr>
                <w:rFonts w:asciiTheme="minorHAnsi" w:hAnsiTheme="minorHAnsi" w:cstheme="minorHAnsi"/>
                <w:sz w:val="20"/>
                <w:szCs w:val="20"/>
              </w:rPr>
            </w:pPr>
          </w:p>
        </w:tc>
        <w:tc>
          <w:tcPr>
            <w:tcW w:w="1304" w:type="dxa"/>
            <w:tcBorders>
              <w:top w:val="single" w:sz="4" w:space="0" w:color="auto"/>
              <w:left w:val="single" w:sz="4" w:space="0" w:color="auto"/>
              <w:bottom w:val="single" w:sz="4" w:space="0" w:color="auto"/>
              <w:right w:val="single" w:sz="4" w:space="0" w:color="auto"/>
            </w:tcBorders>
          </w:tcPr>
          <w:p w:rsidR="002D465B" w:rsidRPr="00AF76F2" w:rsidRDefault="00AF76F2" w:rsidP="005A7FB0">
            <w:pPr>
              <w:jc w:val="center"/>
              <w:rPr>
                <w:rFonts w:asciiTheme="minorHAnsi" w:hAnsiTheme="minorHAnsi" w:cstheme="minorHAnsi"/>
                <w:sz w:val="20"/>
                <w:szCs w:val="20"/>
              </w:rPr>
            </w:pPr>
            <w:r w:rsidRPr="00AF76F2">
              <w:rPr>
                <w:rFonts w:asciiTheme="minorHAnsi" w:hAnsiTheme="minorHAnsi" w:cstheme="minorHAnsi"/>
                <w:sz w:val="20"/>
                <w:szCs w:val="20"/>
              </w:rPr>
              <w:t>extra peak</w:t>
            </w:r>
          </w:p>
        </w:tc>
        <w:tc>
          <w:tcPr>
            <w:tcW w:w="1519" w:type="dxa"/>
            <w:tcBorders>
              <w:top w:val="single" w:sz="4" w:space="0" w:color="auto"/>
              <w:left w:val="single" w:sz="4" w:space="0" w:color="auto"/>
              <w:bottom w:val="single" w:sz="4" w:space="0" w:color="auto"/>
              <w:right w:val="single" w:sz="4" w:space="0" w:color="auto"/>
            </w:tcBorders>
          </w:tcPr>
          <w:p w:rsidR="002D465B" w:rsidRPr="0057403C" w:rsidRDefault="002D465B" w:rsidP="005A7FB0">
            <w:pPr>
              <w:jc w:val="center"/>
              <w:rPr>
                <w:rFonts w:asciiTheme="minorHAnsi" w:hAnsiTheme="minorHAnsi" w:cstheme="minorHAnsi"/>
                <w:sz w:val="20"/>
                <w:szCs w:val="20"/>
              </w:rPr>
            </w:pPr>
          </w:p>
        </w:tc>
        <w:tc>
          <w:tcPr>
            <w:tcW w:w="1221" w:type="dxa"/>
            <w:tcBorders>
              <w:top w:val="single" w:sz="4" w:space="0" w:color="auto"/>
              <w:left w:val="single" w:sz="4" w:space="0" w:color="auto"/>
              <w:bottom w:val="single" w:sz="4" w:space="0" w:color="auto"/>
              <w:right w:val="single" w:sz="4" w:space="0" w:color="auto"/>
            </w:tcBorders>
          </w:tcPr>
          <w:p w:rsidR="002D465B" w:rsidRPr="0057403C" w:rsidRDefault="002D465B" w:rsidP="005A7FB0">
            <w:pPr>
              <w:jc w:val="center"/>
              <w:rPr>
                <w:rFonts w:asciiTheme="minorHAnsi" w:hAnsiTheme="minorHAnsi" w:cstheme="minorHAnsi"/>
                <w:sz w:val="20"/>
                <w:szCs w:val="20"/>
              </w:rPr>
            </w:pPr>
          </w:p>
        </w:tc>
      </w:tr>
      <w:tr w:rsidR="00240F23" w:rsidRPr="0057403C" w:rsidTr="00AF76F2">
        <w:tc>
          <w:tcPr>
            <w:tcW w:w="2211" w:type="dxa"/>
            <w:tcBorders>
              <w:top w:val="single" w:sz="4" w:space="0" w:color="auto"/>
              <w:bottom w:val="single" w:sz="4" w:space="0" w:color="auto"/>
              <w:right w:val="single" w:sz="4" w:space="0" w:color="auto"/>
            </w:tcBorders>
          </w:tcPr>
          <w:p w:rsidR="00240F23" w:rsidRPr="0057403C" w:rsidRDefault="00240F23" w:rsidP="00BE76A9">
            <w:pPr>
              <w:rPr>
                <w:rFonts w:asciiTheme="minorHAnsi" w:hAnsiTheme="minorHAnsi" w:cstheme="minorHAnsi"/>
                <w:sz w:val="20"/>
                <w:szCs w:val="20"/>
              </w:rPr>
            </w:pPr>
            <w:r>
              <w:rPr>
                <w:rFonts w:asciiTheme="minorHAnsi" w:hAnsiTheme="minorHAnsi" w:cstheme="minorHAnsi"/>
                <w:sz w:val="20"/>
                <w:szCs w:val="20"/>
              </w:rPr>
              <w:t>April 1998</w:t>
            </w:r>
          </w:p>
        </w:tc>
        <w:tc>
          <w:tcPr>
            <w:tcW w:w="1252" w:type="dxa"/>
            <w:tcBorders>
              <w:top w:val="single" w:sz="4" w:space="0" w:color="auto"/>
              <w:left w:val="single" w:sz="4" w:space="0" w:color="auto"/>
              <w:bottom w:val="single" w:sz="4" w:space="0" w:color="auto"/>
              <w:right w:val="single" w:sz="4" w:space="0" w:color="auto"/>
            </w:tcBorders>
          </w:tcPr>
          <w:p w:rsidR="00240F23" w:rsidRPr="00812445" w:rsidRDefault="00240F23" w:rsidP="00BE76A9">
            <w:pPr>
              <w:jc w:val="center"/>
              <w:rPr>
                <w:rFonts w:asciiTheme="minorHAnsi" w:hAnsiTheme="minorHAnsi" w:cstheme="minorHAnsi"/>
                <w:sz w:val="20"/>
                <w:szCs w:val="20"/>
              </w:rPr>
            </w:pPr>
            <w:r>
              <w:rPr>
                <w:rFonts w:asciiTheme="minorHAnsi" w:hAnsiTheme="minorHAnsi" w:cstheme="minorHAnsi"/>
                <w:sz w:val="20"/>
                <w:szCs w:val="20"/>
              </w:rPr>
              <w:t>Trough</w:t>
            </w:r>
          </w:p>
        </w:tc>
        <w:tc>
          <w:tcPr>
            <w:tcW w:w="1304" w:type="dxa"/>
            <w:tcBorders>
              <w:top w:val="single" w:sz="4" w:space="0" w:color="auto"/>
              <w:left w:val="single" w:sz="4" w:space="0" w:color="auto"/>
              <w:bottom w:val="single" w:sz="4" w:space="0" w:color="auto"/>
              <w:right w:val="single" w:sz="4" w:space="0" w:color="auto"/>
            </w:tcBorders>
          </w:tcPr>
          <w:p w:rsidR="00240F23" w:rsidRPr="007A5289" w:rsidRDefault="00240F23" w:rsidP="00BE76A9">
            <w:pPr>
              <w:jc w:val="center"/>
              <w:rPr>
                <w:rFonts w:asciiTheme="minorHAnsi" w:hAnsiTheme="minorHAnsi" w:cstheme="minorHAnsi"/>
                <w:sz w:val="20"/>
                <w:szCs w:val="20"/>
              </w:rPr>
            </w:pPr>
            <w:r>
              <w:rPr>
                <w:rFonts w:asciiTheme="minorHAnsi" w:hAnsiTheme="minorHAnsi" w:cstheme="minorHAnsi"/>
                <w:sz w:val="20"/>
                <w:szCs w:val="20"/>
              </w:rPr>
              <w:t>18</w:t>
            </w:r>
          </w:p>
        </w:tc>
        <w:tc>
          <w:tcPr>
            <w:tcW w:w="1519" w:type="dxa"/>
            <w:tcBorders>
              <w:top w:val="single" w:sz="4" w:space="0" w:color="auto"/>
              <w:left w:val="single" w:sz="4" w:space="0" w:color="auto"/>
              <w:bottom w:val="single" w:sz="4" w:space="0" w:color="auto"/>
              <w:right w:val="single" w:sz="4" w:space="0" w:color="auto"/>
            </w:tcBorders>
          </w:tcPr>
          <w:p w:rsidR="00240F23" w:rsidRPr="007A5289" w:rsidRDefault="00240F23" w:rsidP="00BE76A9">
            <w:pPr>
              <w:jc w:val="center"/>
              <w:rPr>
                <w:rFonts w:asciiTheme="minorHAnsi" w:hAnsiTheme="minorHAnsi" w:cstheme="minorHAnsi"/>
                <w:sz w:val="20"/>
                <w:szCs w:val="20"/>
              </w:rPr>
            </w:pPr>
            <w:r>
              <w:rPr>
                <w:rFonts w:asciiTheme="minorHAnsi" w:hAnsiTheme="minorHAnsi" w:cstheme="minorHAnsi"/>
                <w:sz w:val="20"/>
                <w:szCs w:val="20"/>
              </w:rPr>
              <w:t>5</w:t>
            </w:r>
          </w:p>
        </w:tc>
        <w:tc>
          <w:tcPr>
            <w:tcW w:w="1221" w:type="dxa"/>
            <w:tcBorders>
              <w:top w:val="single" w:sz="4" w:space="0" w:color="auto"/>
              <w:left w:val="single" w:sz="4" w:space="0" w:color="auto"/>
              <w:bottom w:val="single" w:sz="4" w:space="0" w:color="auto"/>
              <w:right w:val="single" w:sz="4" w:space="0" w:color="auto"/>
            </w:tcBorders>
          </w:tcPr>
          <w:p w:rsidR="00240F23" w:rsidRPr="007A5289" w:rsidRDefault="00240F23" w:rsidP="00BE76A9">
            <w:pPr>
              <w:jc w:val="center"/>
              <w:rPr>
                <w:rFonts w:asciiTheme="minorHAnsi" w:hAnsiTheme="minorHAnsi" w:cstheme="minorHAnsi"/>
                <w:sz w:val="20"/>
                <w:szCs w:val="20"/>
              </w:rPr>
            </w:pPr>
            <w:r>
              <w:rPr>
                <w:rFonts w:asciiTheme="minorHAnsi" w:hAnsiTheme="minorHAnsi" w:cstheme="minorHAnsi"/>
                <w:sz w:val="20"/>
                <w:szCs w:val="20"/>
              </w:rPr>
              <w:t>11</w:t>
            </w:r>
          </w:p>
        </w:tc>
      </w:tr>
      <w:tr w:rsidR="00240F23" w:rsidRPr="0057403C" w:rsidTr="00AF76F2">
        <w:tc>
          <w:tcPr>
            <w:tcW w:w="2211" w:type="dxa"/>
            <w:tcBorders>
              <w:top w:val="single" w:sz="4" w:space="0" w:color="auto"/>
              <w:bottom w:val="single" w:sz="4" w:space="0" w:color="auto"/>
              <w:right w:val="single" w:sz="4" w:space="0" w:color="auto"/>
            </w:tcBorders>
          </w:tcPr>
          <w:p w:rsidR="00240F23" w:rsidRPr="00B84D4B" w:rsidRDefault="00240F23" w:rsidP="005A7FB0">
            <w:pPr>
              <w:rPr>
                <w:rFonts w:ascii="Calibri" w:hAnsi="Calibri" w:cs="Calibri"/>
                <w:sz w:val="20"/>
                <w:szCs w:val="20"/>
              </w:rPr>
            </w:pPr>
            <w:r>
              <w:rPr>
                <w:rFonts w:asciiTheme="minorHAnsi" w:hAnsiTheme="minorHAnsi" w:cstheme="minorHAnsi"/>
                <w:sz w:val="20"/>
                <w:szCs w:val="20"/>
              </w:rPr>
              <w:t>August 1998</w:t>
            </w:r>
          </w:p>
        </w:tc>
        <w:tc>
          <w:tcPr>
            <w:tcW w:w="1252" w:type="dxa"/>
            <w:tcBorders>
              <w:top w:val="single" w:sz="4" w:space="0" w:color="auto"/>
              <w:left w:val="single" w:sz="4" w:space="0" w:color="auto"/>
              <w:bottom w:val="single" w:sz="4" w:space="0" w:color="auto"/>
              <w:right w:val="single" w:sz="4" w:space="0" w:color="auto"/>
            </w:tcBorders>
          </w:tcPr>
          <w:p w:rsidR="00240F23" w:rsidRPr="00812445" w:rsidRDefault="00240F23" w:rsidP="005A7FB0">
            <w:pPr>
              <w:jc w:val="center"/>
              <w:rPr>
                <w:rFonts w:asciiTheme="minorHAnsi" w:hAnsiTheme="minorHAnsi" w:cstheme="minorHAnsi"/>
                <w:sz w:val="20"/>
                <w:szCs w:val="20"/>
              </w:rPr>
            </w:pPr>
          </w:p>
        </w:tc>
        <w:tc>
          <w:tcPr>
            <w:tcW w:w="1304" w:type="dxa"/>
            <w:tcBorders>
              <w:top w:val="single" w:sz="4" w:space="0" w:color="auto"/>
              <w:left w:val="single" w:sz="4" w:space="0" w:color="auto"/>
              <w:bottom w:val="single" w:sz="4" w:space="0" w:color="auto"/>
              <w:right w:val="single" w:sz="4" w:space="0" w:color="auto"/>
            </w:tcBorders>
          </w:tcPr>
          <w:p w:rsidR="00240F23" w:rsidRPr="00AF76F2" w:rsidRDefault="00240F23" w:rsidP="005A7FB0">
            <w:pPr>
              <w:jc w:val="center"/>
              <w:rPr>
                <w:rFonts w:asciiTheme="minorHAnsi" w:hAnsiTheme="minorHAnsi" w:cstheme="minorHAnsi"/>
                <w:sz w:val="20"/>
                <w:szCs w:val="20"/>
              </w:rPr>
            </w:pPr>
            <w:r w:rsidRPr="00AF76F2">
              <w:rPr>
                <w:rFonts w:asciiTheme="minorHAnsi" w:hAnsiTheme="minorHAnsi" w:cstheme="minorHAnsi"/>
                <w:sz w:val="20"/>
                <w:szCs w:val="20"/>
              </w:rPr>
              <w:t>extra trough</w:t>
            </w:r>
          </w:p>
        </w:tc>
        <w:tc>
          <w:tcPr>
            <w:tcW w:w="1519" w:type="dxa"/>
            <w:tcBorders>
              <w:top w:val="single" w:sz="4" w:space="0" w:color="auto"/>
              <w:left w:val="single" w:sz="4" w:space="0" w:color="auto"/>
              <w:bottom w:val="single" w:sz="4" w:space="0" w:color="auto"/>
              <w:right w:val="single" w:sz="4" w:space="0" w:color="auto"/>
            </w:tcBorders>
          </w:tcPr>
          <w:p w:rsidR="00240F23" w:rsidRPr="0057403C" w:rsidRDefault="00240F23" w:rsidP="005A7FB0">
            <w:pPr>
              <w:jc w:val="center"/>
              <w:rPr>
                <w:rFonts w:asciiTheme="minorHAnsi" w:hAnsiTheme="minorHAnsi" w:cstheme="minorHAnsi"/>
                <w:sz w:val="20"/>
                <w:szCs w:val="20"/>
              </w:rPr>
            </w:pPr>
          </w:p>
        </w:tc>
        <w:tc>
          <w:tcPr>
            <w:tcW w:w="1221" w:type="dxa"/>
            <w:tcBorders>
              <w:top w:val="single" w:sz="4" w:space="0" w:color="auto"/>
              <w:left w:val="single" w:sz="4" w:space="0" w:color="auto"/>
              <w:bottom w:val="single" w:sz="4" w:space="0" w:color="auto"/>
              <w:right w:val="single" w:sz="4" w:space="0" w:color="auto"/>
            </w:tcBorders>
          </w:tcPr>
          <w:p w:rsidR="00240F23" w:rsidRPr="0057403C" w:rsidRDefault="00240F23" w:rsidP="005A7FB0">
            <w:pPr>
              <w:jc w:val="center"/>
              <w:rPr>
                <w:rFonts w:asciiTheme="minorHAnsi" w:hAnsiTheme="minorHAnsi" w:cstheme="minorHAnsi"/>
                <w:sz w:val="20"/>
                <w:szCs w:val="20"/>
              </w:rPr>
            </w:pPr>
          </w:p>
        </w:tc>
      </w:tr>
      <w:tr w:rsidR="00240F23" w:rsidRPr="0057403C" w:rsidTr="00AF76F2">
        <w:tc>
          <w:tcPr>
            <w:tcW w:w="2211" w:type="dxa"/>
            <w:tcBorders>
              <w:top w:val="single" w:sz="4" w:space="0" w:color="auto"/>
              <w:bottom w:val="single" w:sz="4" w:space="0" w:color="auto"/>
              <w:right w:val="single" w:sz="4" w:space="0" w:color="auto"/>
            </w:tcBorders>
          </w:tcPr>
          <w:p w:rsidR="00240F23" w:rsidRPr="002D2106" w:rsidRDefault="00240F23" w:rsidP="005A7FB0">
            <w:pPr>
              <w:rPr>
                <w:rFonts w:ascii="Calibri" w:hAnsi="Calibri" w:cs="Calibri"/>
                <w:sz w:val="20"/>
                <w:szCs w:val="20"/>
              </w:rPr>
            </w:pPr>
            <w:r>
              <w:rPr>
                <w:rFonts w:asciiTheme="minorHAnsi" w:hAnsiTheme="minorHAnsi" w:cstheme="minorHAnsi"/>
                <w:sz w:val="20"/>
                <w:szCs w:val="20"/>
              </w:rPr>
              <w:t>July 2000</w:t>
            </w:r>
          </w:p>
        </w:tc>
        <w:tc>
          <w:tcPr>
            <w:tcW w:w="1252" w:type="dxa"/>
            <w:tcBorders>
              <w:top w:val="single" w:sz="4" w:space="0" w:color="auto"/>
              <w:left w:val="single" w:sz="4" w:space="0" w:color="auto"/>
              <w:bottom w:val="single" w:sz="4" w:space="0" w:color="auto"/>
              <w:right w:val="single" w:sz="4" w:space="0" w:color="auto"/>
            </w:tcBorders>
          </w:tcPr>
          <w:p w:rsidR="00240F23" w:rsidRPr="00812445" w:rsidRDefault="00240F23" w:rsidP="005A7FB0">
            <w:pPr>
              <w:jc w:val="center"/>
              <w:rPr>
                <w:rFonts w:asciiTheme="minorHAnsi" w:hAnsiTheme="minorHAnsi" w:cstheme="minorHAnsi"/>
                <w:sz w:val="20"/>
                <w:szCs w:val="20"/>
              </w:rPr>
            </w:pPr>
            <w:r>
              <w:rPr>
                <w:rFonts w:asciiTheme="minorHAnsi" w:hAnsiTheme="minorHAnsi" w:cstheme="minorHAnsi"/>
                <w:sz w:val="20"/>
                <w:szCs w:val="20"/>
              </w:rPr>
              <w:t>Peak</w:t>
            </w:r>
          </w:p>
        </w:tc>
        <w:tc>
          <w:tcPr>
            <w:tcW w:w="1304" w:type="dxa"/>
            <w:tcBorders>
              <w:top w:val="single" w:sz="4" w:space="0" w:color="auto"/>
              <w:left w:val="single" w:sz="4" w:space="0" w:color="auto"/>
              <w:bottom w:val="single" w:sz="4" w:space="0" w:color="auto"/>
              <w:right w:val="single" w:sz="4" w:space="0" w:color="auto"/>
            </w:tcBorders>
          </w:tcPr>
          <w:p w:rsidR="00240F23" w:rsidRPr="00DA1BFD" w:rsidRDefault="00240F23" w:rsidP="00DA1BFD">
            <w:pPr>
              <w:jc w:val="center"/>
              <w:rPr>
                <w:rFonts w:asciiTheme="minorHAnsi" w:hAnsiTheme="minorHAnsi" w:cstheme="minorHAnsi"/>
                <w:sz w:val="20"/>
                <w:szCs w:val="20"/>
              </w:rPr>
            </w:pPr>
            <w:r w:rsidRPr="00DA1BFD">
              <w:rPr>
                <w:rFonts w:asciiTheme="minorHAnsi" w:hAnsiTheme="minorHAnsi" w:cstheme="minorHAnsi"/>
                <w:sz w:val="20"/>
                <w:szCs w:val="20"/>
              </w:rPr>
              <w:t>9</w:t>
            </w:r>
          </w:p>
        </w:tc>
        <w:tc>
          <w:tcPr>
            <w:tcW w:w="1519" w:type="dxa"/>
            <w:tcBorders>
              <w:top w:val="single" w:sz="4" w:space="0" w:color="auto"/>
              <w:left w:val="single" w:sz="4" w:space="0" w:color="auto"/>
              <w:bottom w:val="single" w:sz="4" w:space="0" w:color="auto"/>
              <w:right w:val="single" w:sz="4" w:space="0" w:color="auto"/>
            </w:tcBorders>
          </w:tcPr>
          <w:p w:rsidR="00240F23" w:rsidRPr="00DA1BFD" w:rsidRDefault="00240F23" w:rsidP="00DA1BFD">
            <w:pPr>
              <w:jc w:val="center"/>
              <w:rPr>
                <w:rFonts w:asciiTheme="minorHAnsi" w:hAnsiTheme="minorHAnsi" w:cstheme="minorHAnsi"/>
                <w:sz w:val="20"/>
                <w:szCs w:val="20"/>
              </w:rPr>
            </w:pPr>
            <w:r>
              <w:rPr>
                <w:rFonts w:asciiTheme="minorHAnsi" w:hAnsiTheme="minorHAnsi" w:cstheme="minorHAnsi"/>
                <w:sz w:val="20"/>
                <w:szCs w:val="20"/>
              </w:rPr>
              <w:t>-5</w:t>
            </w:r>
          </w:p>
        </w:tc>
        <w:tc>
          <w:tcPr>
            <w:tcW w:w="1221" w:type="dxa"/>
            <w:tcBorders>
              <w:top w:val="single" w:sz="4" w:space="0" w:color="auto"/>
              <w:left w:val="single" w:sz="4" w:space="0" w:color="auto"/>
              <w:bottom w:val="single" w:sz="4" w:space="0" w:color="auto"/>
              <w:right w:val="single" w:sz="4" w:space="0" w:color="auto"/>
            </w:tcBorders>
          </w:tcPr>
          <w:p w:rsidR="00240F23" w:rsidRPr="00DA1BFD" w:rsidRDefault="00240F23" w:rsidP="00DA1BFD">
            <w:pPr>
              <w:jc w:val="center"/>
              <w:rPr>
                <w:rFonts w:asciiTheme="minorHAnsi" w:hAnsiTheme="minorHAnsi" w:cstheme="minorHAnsi"/>
                <w:sz w:val="20"/>
                <w:szCs w:val="20"/>
              </w:rPr>
            </w:pPr>
            <w:r w:rsidRPr="00DA1BFD">
              <w:rPr>
                <w:rFonts w:asciiTheme="minorHAnsi" w:hAnsiTheme="minorHAnsi" w:cstheme="minorHAnsi"/>
                <w:sz w:val="20"/>
                <w:szCs w:val="20"/>
              </w:rPr>
              <w:t>2</w:t>
            </w:r>
          </w:p>
        </w:tc>
      </w:tr>
      <w:tr w:rsidR="00240F23" w:rsidRPr="0057403C" w:rsidTr="00AF76F2">
        <w:tc>
          <w:tcPr>
            <w:tcW w:w="2211" w:type="dxa"/>
            <w:tcBorders>
              <w:top w:val="single" w:sz="4" w:space="0" w:color="auto"/>
              <w:bottom w:val="single" w:sz="4" w:space="0" w:color="auto"/>
              <w:right w:val="single" w:sz="4" w:space="0" w:color="auto"/>
            </w:tcBorders>
          </w:tcPr>
          <w:p w:rsidR="00240F23" w:rsidRPr="002D2106" w:rsidRDefault="00240F23" w:rsidP="005A7FB0">
            <w:pPr>
              <w:rPr>
                <w:rFonts w:ascii="Calibri" w:hAnsi="Calibri" w:cs="Calibri"/>
                <w:sz w:val="20"/>
                <w:szCs w:val="20"/>
              </w:rPr>
            </w:pPr>
            <w:r>
              <w:rPr>
                <w:rFonts w:ascii="Calibri" w:hAnsi="Calibri" w:cs="Calibri"/>
                <w:color w:val="000000" w:themeColor="text1"/>
                <w:sz w:val="20"/>
                <w:szCs w:val="20"/>
              </w:rPr>
              <w:t>June 2002</w:t>
            </w:r>
          </w:p>
        </w:tc>
        <w:tc>
          <w:tcPr>
            <w:tcW w:w="1252" w:type="dxa"/>
            <w:tcBorders>
              <w:top w:val="single" w:sz="4" w:space="0" w:color="auto"/>
              <w:left w:val="single" w:sz="4" w:space="0" w:color="auto"/>
              <w:bottom w:val="single" w:sz="4" w:space="0" w:color="auto"/>
              <w:right w:val="single" w:sz="4" w:space="0" w:color="auto"/>
            </w:tcBorders>
          </w:tcPr>
          <w:p w:rsidR="00240F23" w:rsidRPr="00812445" w:rsidRDefault="00240F23" w:rsidP="005A7FB0">
            <w:pPr>
              <w:jc w:val="center"/>
              <w:rPr>
                <w:rFonts w:asciiTheme="minorHAnsi" w:hAnsiTheme="minorHAnsi" w:cstheme="minorHAnsi"/>
                <w:sz w:val="20"/>
                <w:szCs w:val="20"/>
              </w:rPr>
            </w:pPr>
            <w:r>
              <w:rPr>
                <w:rFonts w:asciiTheme="minorHAnsi" w:hAnsiTheme="minorHAnsi" w:cstheme="minorHAnsi"/>
                <w:sz w:val="20"/>
                <w:szCs w:val="20"/>
              </w:rPr>
              <w:t>Trough</w:t>
            </w:r>
          </w:p>
        </w:tc>
        <w:tc>
          <w:tcPr>
            <w:tcW w:w="1304" w:type="dxa"/>
            <w:tcBorders>
              <w:top w:val="single" w:sz="4" w:space="0" w:color="auto"/>
              <w:left w:val="single" w:sz="4" w:space="0" w:color="auto"/>
              <w:bottom w:val="single" w:sz="4" w:space="0" w:color="auto"/>
              <w:right w:val="single" w:sz="4" w:space="0" w:color="auto"/>
            </w:tcBorders>
          </w:tcPr>
          <w:p w:rsidR="00240F23" w:rsidRPr="00DA1BFD" w:rsidRDefault="00240F23" w:rsidP="00DA1BFD">
            <w:pPr>
              <w:jc w:val="center"/>
              <w:rPr>
                <w:rFonts w:asciiTheme="minorHAnsi" w:hAnsiTheme="minorHAnsi" w:cstheme="minorHAnsi"/>
                <w:sz w:val="20"/>
                <w:szCs w:val="20"/>
              </w:rPr>
            </w:pPr>
            <w:r w:rsidRPr="00DA1BFD">
              <w:rPr>
                <w:rFonts w:asciiTheme="minorHAnsi" w:hAnsiTheme="minorHAnsi" w:cstheme="minorHAnsi"/>
                <w:sz w:val="20"/>
                <w:szCs w:val="20"/>
              </w:rPr>
              <w:t>17</w:t>
            </w:r>
          </w:p>
        </w:tc>
        <w:tc>
          <w:tcPr>
            <w:tcW w:w="1519" w:type="dxa"/>
            <w:tcBorders>
              <w:top w:val="single" w:sz="4" w:space="0" w:color="auto"/>
              <w:left w:val="single" w:sz="4" w:space="0" w:color="auto"/>
              <w:bottom w:val="single" w:sz="4" w:space="0" w:color="auto"/>
              <w:right w:val="single" w:sz="4" w:space="0" w:color="auto"/>
            </w:tcBorders>
          </w:tcPr>
          <w:p w:rsidR="00240F23" w:rsidRPr="00DA1BFD" w:rsidRDefault="00240F23" w:rsidP="00DA1BFD">
            <w:pPr>
              <w:jc w:val="center"/>
              <w:rPr>
                <w:rFonts w:asciiTheme="minorHAnsi" w:hAnsiTheme="minorHAnsi" w:cstheme="minorHAnsi"/>
                <w:sz w:val="20"/>
                <w:szCs w:val="20"/>
              </w:rPr>
            </w:pPr>
            <w:r w:rsidRPr="00DA1BFD">
              <w:rPr>
                <w:rFonts w:asciiTheme="minorHAnsi" w:hAnsiTheme="minorHAnsi" w:cstheme="minorHAnsi"/>
                <w:sz w:val="20"/>
                <w:szCs w:val="20"/>
              </w:rPr>
              <w:t>missed</w:t>
            </w:r>
          </w:p>
        </w:tc>
        <w:tc>
          <w:tcPr>
            <w:tcW w:w="1221" w:type="dxa"/>
            <w:tcBorders>
              <w:top w:val="single" w:sz="4" w:space="0" w:color="auto"/>
              <w:left w:val="single" w:sz="4" w:space="0" w:color="auto"/>
              <w:bottom w:val="single" w:sz="4" w:space="0" w:color="auto"/>
              <w:right w:val="single" w:sz="4" w:space="0" w:color="auto"/>
            </w:tcBorders>
          </w:tcPr>
          <w:p w:rsidR="00240F23" w:rsidRPr="00DA1BFD" w:rsidRDefault="00240F23" w:rsidP="00DA1BFD">
            <w:pPr>
              <w:jc w:val="center"/>
              <w:rPr>
                <w:rFonts w:asciiTheme="minorHAnsi" w:hAnsiTheme="minorHAnsi" w:cstheme="minorHAnsi"/>
                <w:sz w:val="20"/>
                <w:szCs w:val="20"/>
              </w:rPr>
            </w:pPr>
            <w:r w:rsidRPr="00DA1BFD">
              <w:rPr>
                <w:rFonts w:asciiTheme="minorHAnsi" w:hAnsiTheme="minorHAnsi" w:cstheme="minorHAnsi"/>
                <w:sz w:val="20"/>
                <w:szCs w:val="20"/>
              </w:rPr>
              <w:t>9</w:t>
            </w:r>
          </w:p>
        </w:tc>
      </w:tr>
      <w:tr w:rsidR="00240F23" w:rsidRPr="0057403C" w:rsidTr="00AF76F2">
        <w:tc>
          <w:tcPr>
            <w:tcW w:w="2211" w:type="dxa"/>
            <w:tcBorders>
              <w:top w:val="single" w:sz="4" w:space="0" w:color="auto"/>
              <w:bottom w:val="single" w:sz="4" w:space="0" w:color="auto"/>
              <w:right w:val="single" w:sz="4" w:space="0" w:color="auto"/>
            </w:tcBorders>
          </w:tcPr>
          <w:p w:rsidR="00240F23" w:rsidRPr="006D0C8B" w:rsidRDefault="00240F23" w:rsidP="005A7FB0">
            <w:pPr>
              <w:rPr>
                <w:rFonts w:ascii="Calibri" w:hAnsi="Calibri" w:cs="Calibri"/>
                <w:color w:val="000000" w:themeColor="text1"/>
                <w:sz w:val="20"/>
                <w:szCs w:val="20"/>
              </w:rPr>
            </w:pPr>
            <w:r>
              <w:rPr>
                <w:rFonts w:ascii="Calibri" w:hAnsi="Calibri" w:cs="Calibri"/>
                <w:color w:val="000000" w:themeColor="text1"/>
                <w:sz w:val="20"/>
                <w:szCs w:val="20"/>
              </w:rPr>
              <w:t>January 2003</w:t>
            </w:r>
          </w:p>
        </w:tc>
        <w:tc>
          <w:tcPr>
            <w:tcW w:w="1252" w:type="dxa"/>
            <w:tcBorders>
              <w:top w:val="single" w:sz="4" w:space="0" w:color="auto"/>
              <w:left w:val="single" w:sz="4" w:space="0" w:color="auto"/>
              <w:bottom w:val="single" w:sz="4" w:space="0" w:color="auto"/>
              <w:right w:val="single" w:sz="4" w:space="0" w:color="auto"/>
            </w:tcBorders>
          </w:tcPr>
          <w:p w:rsidR="00240F23" w:rsidRPr="00812445" w:rsidRDefault="00240F23" w:rsidP="005A7FB0">
            <w:pPr>
              <w:jc w:val="center"/>
              <w:rPr>
                <w:rFonts w:asciiTheme="minorHAnsi" w:hAnsiTheme="minorHAnsi" w:cstheme="minorHAnsi"/>
                <w:sz w:val="20"/>
                <w:szCs w:val="20"/>
              </w:rPr>
            </w:pPr>
            <w:r>
              <w:rPr>
                <w:rFonts w:asciiTheme="minorHAnsi" w:hAnsiTheme="minorHAnsi" w:cstheme="minorHAnsi"/>
                <w:sz w:val="20"/>
                <w:szCs w:val="20"/>
              </w:rPr>
              <w:t>Peak</w:t>
            </w:r>
          </w:p>
        </w:tc>
        <w:tc>
          <w:tcPr>
            <w:tcW w:w="1304" w:type="dxa"/>
            <w:tcBorders>
              <w:top w:val="single" w:sz="4" w:space="0" w:color="auto"/>
              <w:left w:val="single" w:sz="4" w:space="0" w:color="auto"/>
              <w:bottom w:val="single" w:sz="4" w:space="0" w:color="auto"/>
              <w:right w:val="single" w:sz="4" w:space="0" w:color="auto"/>
            </w:tcBorders>
          </w:tcPr>
          <w:p w:rsidR="00240F23" w:rsidRPr="00DA1BFD" w:rsidRDefault="00240F23" w:rsidP="00DA1BFD">
            <w:pPr>
              <w:jc w:val="center"/>
              <w:rPr>
                <w:rFonts w:asciiTheme="minorHAnsi" w:hAnsiTheme="minorHAnsi" w:cstheme="minorHAnsi"/>
                <w:sz w:val="20"/>
                <w:szCs w:val="20"/>
              </w:rPr>
            </w:pPr>
            <w:r w:rsidRPr="00DA1BFD">
              <w:rPr>
                <w:rFonts w:asciiTheme="minorHAnsi" w:hAnsiTheme="minorHAnsi" w:cstheme="minorHAnsi"/>
                <w:sz w:val="20"/>
                <w:szCs w:val="20"/>
              </w:rPr>
              <w:t>10</w:t>
            </w:r>
          </w:p>
        </w:tc>
        <w:tc>
          <w:tcPr>
            <w:tcW w:w="1519" w:type="dxa"/>
            <w:tcBorders>
              <w:top w:val="single" w:sz="4" w:space="0" w:color="auto"/>
              <w:left w:val="single" w:sz="4" w:space="0" w:color="auto"/>
              <w:bottom w:val="single" w:sz="4" w:space="0" w:color="auto"/>
              <w:right w:val="single" w:sz="4" w:space="0" w:color="auto"/>
            </w:tcBorders>
          </w:tcPr>
          <w:p w:rsidR="00240F23" w:rsidRPr="00DA1BFD" w:rsidRDefault="00240F23" w:rsidP="00DA1BFD">
            <w:pPr>
              <w:jc w:val="center"/>
              <w:rPr>
                <w:rFonts w:asciiTheme="minorHAnsi" w:hAnsiTheme="minorHAnsi" w:cstheme="minorHAnsi"/>
                <w:sz w:val="20"/>
                <w:szCs w:val="20"/>
              </w:rPr>
            </w:pPr>
            <w:r w:rsidRPr="00DA1BFD">
              <w:rPr>
                <w:rFonts w:asciiTheme="minorHAnsi" w:hAnsiTheme="minorHAnsi" w:cstheme="minorHAnsi"/>
                <w:sz w:val="20"/>
                <w:szCs w:val="20"/>
              </w:rPr>
              <w:t>missed</w:t>
            </w:r>
          </w:p>
        </w:tc>
        <w:tc>
          <w:tcPr>
            <w:tcW w:w="1221" w:type="dxa"/>
            <w:tcBorders>
              <w:top w:val="single" w:sz="4" w:space="0" w:color="auto"/>
              <w:left w:val="single" w:sz="4" w:space="0" w:color="auto"/>
              <w:bottom w:val="single" w:sz="4" w:space="0" w:color="auto"/>
              <w:right w:val="single" w:sz="4" w:space="0" w:color="auto"/>
            </w:tcBorders>
          </w:tcPr>
          <w:p w:rsidR="00240F23" w:rsidRPr="00DA1BFD" w:rsidRDefault="00240F23" w:rsidP="00DA1BFD">
            <w:pPr>
              <w:jc w:val="center"/>
              <w:rPr>
                <w:rFonts w:asciiTheme="minorHAnsi" w:hAnsiTheme="minorHAnsi" w:cstheme="minorHAnsi"/>
                <w:sz w:val="20"/>
                <w:szCs w:val="20"/>
              </w:rPr>
            </w:pPr>
            <w:r w:rsidRPr="00DA1BFD">
              <w:rPr>
                <w:rFonts w:asciiTheme="minorHAnsi" w:hAnsiTheme="minorHAnsi" w:cstheme="minorHAnsi"/>
                <w:sz w:val="20"/>
                <w:szCs w:val="20"/>
              </w:rPr>
              <w:t>missed</w:t>
            </w:r>
          </w:p>
        </w:tc>
      </w:tr>
      <w:tr w:rsidR="00240F23" w:rsidRPr="00DA1BFD" w:rsidTr="00AF76F2">
        <w:tc>
          <w:tcPr>
            <w:tcW w:w="2211" w:type="dxa"/>
            <w:tcBorders>
              <w:top w:val="single" w:sz="4" w:space="0" w:color="auto"/>
              <w:bottom w:val="single" w:sz="4" w:space="0" w:color="auto"/>
              <w:right w:val="single" w:sz="4" w:space="0" w:color="auto"/>
            </w:tcBorders>
          </w:tcPr>
          <w:p w:rsidR="00240F23" w:rsidRPr="008847B3" w:rsidRDefault="00240F23" w:rsidP="005A7FB0">
            <w:pPr>
              <w:rPr>
                <w:rFonts w:asciiTheme="minorHAnsi" w:hAnsiTheme="minorHAnsi" w:cstheme="minorHAnsi"/>
                <w:sz w:val="20"/>
                <w:szCs w:val="20"/>
              </w:rPr>
            </w:pPr>
            <w:r>
              <w:rPr>
                <w:rFonts w:asciiTheme="minorHAnsi" w:hAnsiTheme="minorHAnsi" w:cstheme="minorHAnsi"/>
                <w:sz w:val="20"/>
                <w:szCs w:val="20"/>
              </w:rPr>
              <w:t>July 2004</w:t>
            </w:r>
          </w:p>
        </w:tc>
        <w:tc>
          <w:tcPr>
            <w:tcW w:w="1252" w:type="dxa"/>
            <w:tcBorders>
              <w:top w:val="single" w:sz="4" w:space="0" w:color="auto"/>
              <w:left w:val="single" w:sz="4" w:space="0" w:color="auto"/>
              <w:bottom w:val="single" w:sz="4" w:space="0" w:color="auto"/>
              <w:right w:val="single" w:sz="4" w:space="0" w:color="auto"/>
            </w:tcBorders>
          </w:tcPr>
          <w:p w:rsidR="00240F23" w:rsidRPr="00812445" w:rsidRDefault="00240F23" w:rsidP="005A7FB0">
            <w:pPr>
              <w:jc w:val="center"/>
              <w:rPr>
                <w:rFonts w:asciiTheme="minorHAnsi" w:hAnsiTheme="minorHAnsi" w:cstheme="minorHAnsi"/>
                <w:sz w:val="20"/>
                <w:szCs w:val="20"/>
              </w:rPr>
            </w:pPr>
            <w:r>
              <w:rPr>
                <w:rFonts w:asciiTheme="minorHAnsi" w:hAnsiTheme="minorHAnsi" w:cstheme="minorHAnsi"/>
                <w:sz w:val="20"/>
                <w:szCs w:val="20"/>
              </w:rPr>
              <w:t>Trough</w:t>
            </w:r>
          </w:p>
        </w:tc>
        <w:tc>
          <w:tcPr>
            <w:tcW w:w="1304" w:type="dxa"/>
            <w:tcBorders>
              <w:top w:val="single" w:sz="4" w:space="0" w:color="auto"/>
              <w:left w:val="single" w:sz="4" w:space="0" w:color="auto"/>
              <w:bottom w:val="single" w:sz="4" w:space="0" w:color="auto"/>
              <w:right w:val="single" w:sz="4" w:space="0" w:color="auto"/>
            </w:tcBorders>
          </w:tcPr>
          <w:p w:rsidR="00240F23" w:rsidRPr="00DA1BFD" w:rsidRDefault="00240F23" w:rsidP="00DA1BFD">
            <w:pPr>
              <w:jc w:val="center"/>
              <w:rPr>
                <w:rFonts w:asciiTheme="minorHAnsi" w:hAnsiTheme="minorHAnsi" w:cstheme="minorHAnsi"/>
                <w:sz w:val="20"/>
                <w:szCs w:val="20"/>
              </w:rPr>
            </w:pPr>
            <w:r w:rsidRPr="00DA1BFD">
              <w:rPr>
                <w:rFonts w:asciiTheme="minorHAnsi" w:hAnsiTheme="minorHAnsi" w:cstheme="minorHAnsi"/>
                <w:sz w:val="20"/>
                <w:szCs w:val="20"/>
              </w:rPr>
              <w:t>15</w:t>
            </w:r>
          </w:p>
        </w:tc>
        <w:tc>
          <w:tcPr>
            <w:tcW w:w="1519" w:type="dxa"/>
            <w:tcBorders>
              <w:top w:val="single" w:sz="4" w:space="0" w:color="auto"/>
              <w:left w:val="single" w:sz="4" w:space="0" w:color="auto"/>
              <w:bottom w:val="single" w:sz="4" w:space="0" w:color="auto"/>
              <w:right w:val="single" w:sz="4" w:space="0" w:color="auto"/>
            </w:tcBorders>
          </w:tcPr>
          <w:p w:rsidR="00240F23" w:rsidRPr="00DA1BFD" w:rsidRDefault="00240F23" w:rsidP="00DA1BFD">
            <w:pPr>
              <w:jc w:val="center"/>
              <w:rPr>
                <w:rFonts w:asciiTheme="minorHAnsi" w:hAnsiTheme="minorHAnsi" w:cstheme="minorHAnsi"/>
                <w:sz w:val="20"/>
                <w:szCs w:val="20"/>
              </w:rPr>
            </w:pPr>
            <w:r>
              <w:rPr>
                <w:rFonts w:asciiTheme="minorHAnsi" w:hAnsiTheme="minorHAnsi" w:cstheme="minorHAnsi"/>
                <w:sz w:val="20"/>
                <w:szCs w:val="20"/>
              </w:rPr>
              <w:t>16</w:t>
            </w:r>
          </w:p>
        </w:tc>
        <w:tc>
          <w:tcPr>
            <w:tcW w:w="1221" w:type="dxa"/>
            <w:tcBorders>
              <w:top w:val="single" w:sz="4" w:space="0" w:color="auto"/>
              <w:left w:val="single" w:sz="4" w:space="0" w:color="auto"/>
              <w:bottom w:val="single" w:sz="4" w:space="0" w:color="auto"/>
              <w:right w:val="single" w:sz="4" w:space="0" w:color="auto"/>
            </w:tcBorders>
          </w:tcPr>
          <w:p w:rsidR="00240F23" w:rsidRPr="00DA1BFD" w:rsidRDefault="00240F23" w:rsidP="00DA1BFD">
            <w:pPr>
              <w:jc w:val="center"/>
              <w:rPr>
                <w:rFonts w:asciiTheme="minorHAnsi" w:hAnsiTheme="minorHAnsi" w:cstheme="minorHAnsi"/>
                <w:sz w:val="20"/>
                <w:szCs w:val="20"/>
              </w:rPr>
            </w:pPr>
            <w:r w:rsidRPr="00DA1BFD">
              <w:rPr>
                <w:rFonts w:asciiTheme="minorHAnsi" w:hAnsiTheme="minorHAnsi" w:cstheme="minorHAnsi"/>
                <w:sz w:val="20"/>
                <w:szCs w:val="20"/>
              </w:rPr>
              <w:t>missed</w:t>
            </w:r>
          </w:p>
        </w:tc>
      </w:tr>
      <w:tr w:rsidR="00240F23" w:rsidRPr="0057403C" w:rsidTr="00AF76F2">
        <w:tc>
          <w:tcPr>
            <w:tcW w:w="2211" w:type="dxa"/>
            <w:tcBorders>
              <w:top w:val="single" w:sz="4" w:space="0" w:color="auto"/>
              <w:bottom w:val="single" w:sz="4" w:space="0" w:color="auto"/>
              <w:right w:val="single" w:sz="4" w:space="0" w:color="auto"/>
            </w:tcBorders>
          </w:tcPr>
          <w:p w:rsidR="00240F23" w:rsidRPr="008847B3" w:rsidRDefault="00240F23" w:rsidP="005A7FB0">
            <w:pPr>
              <w:rPr>
                <w:rFonts w:asciiTheme="minorHAnsi" w:hAnsiTheme="minorHAnsi" w:cstheme="minorHAnsi"/>
                <w:sz w:val="20"/>
                <w:szCs w:val="20"/>
              </w:rPr>
            </w:pPr>
            <w:r>
              <w:rPr>
                <w:rFonts w:asciiTheme="minorHAnsi" w:hAnsiTheme="minorHAnsi" w:cstheme="minorHAnsi"/>
                <w:sz w:val="20"/>
                <w:szCs w:val="20"/>
              </w:rPr>
              <w:t>June 2005</w:t>
            </w:r>
          </w:p>
        </w:tc>
        <w:tc>
          <w:tcPr>
            <w:tcW w:w="1252" w:type="dxa"/>
            <w:tcBorders>
              <w:top w:val="single" w:sz="4" w:space="0" w:color="auto"/>
              <w:left w:val="single" w:sz="4" w:space="0" w:color="auto"/>
              <w:bottom w:val="single" w:sz="4" w:space="0" w:color="auto"/>
              <w:right w:val="single" w:sz="4" w:space="0" w:color="auto"/>
            </w:tcBorders>
          </w:tcPr>
          <w:p w:rsidR="00240F23" w:rsidRPr="00812445" w:rsidRDefault="00240F23" w:rsidP="005A7FB0">
            <w:pPr>
              <w:jc w:val="center"/>
              <w:rPr>
                <w:rFonts w:asciiTheme="minorHAnsi" w:hAnsiTheme="minorHAnsi" w:cstheme="minorHAnsi"/>
                <w:sz w:val="20"/>
                <w:szCs w:val="20"/>
              </w:rPr>
            </w:pPr>
            <w:r>
              <w:rPr>
                <w:rFonts w:asciiTheme="minorHAnsi" w:hAnsiTheme="minorHAnsi" w:cstheme="minorHAnsi"/>
                <w:sz w:val="20"/>
                <w:szCs w:val="20"/>
              </w:rPr>
              <w:t>Peak</w:t>
            </w:r>
          </w:p>
        </w:tc>
        <w:tc>
          <w:tcPr>
            <w:tcW w:w="1304" w:type="dxa"/>
            <w:tcBorders>
              <w:top w:val="single" w:sz="4" w:space="0" w:color="auto"/>
              <w:left w:val="single" w:sz="4" w:space="0" w:color="auto"/>
              <w:bottom w:val="single" w:sz="4" w:space="0" w:color="auto"/>
              <w:right w:val="single" w:sz="4" w:space="0" w:color="auto"/>
            </w:tcBorders>
          </w:tcPr>
          <w:p w:rsidR="00240F23" w:rsidRPr="00DA1BFD" w:rsidRDefault="00240F23" w:rsidP="00DA1BFD">
            <w:pPr>
              <w:jc w:val="center"/>
              <w:rPr>
                <w:rFonts w:asciiTheme="minorHAnsi" w:hAnsiTheme="minorHAnsi" w:cstheme="minorHAnsi"/>
                <w:sz w:val="20"/>
                <w:szCs w:val="20"/>
              </w:rPr>
            </w:pPr>
            <w:r w:rsidRPr="00DA1BFD">
              <w:rPr>
                <w:rFonts w:asciiTheme="minorHAnsi" w:hAnsiTheme="minorHAnsi" w:cstheme="minorHAnsi"/>
                <w:sz w:val="20"/>
                <w:szCs w:val="20"/>
              </w:rPr>
              <w:t>13</w:t>
            </w:r>
          </w:p>
        </w:tc>
        <w:tc>
          <w:tcPr>
            <w:tcW w:w="1519" w:type="dxa"/>
            <w:tcBorders>
              <w:top w:val="single" w:sz="4" w:space="0" w:color="auto"/>
              <w:left w:val="single" w:sz="4" w:space="0" w:color="auto"/>
              <w:bottom w:val="single" w:sz="4" w:space="0" w:color="auto"/>
              <w:right w:val="single" w:sz="4" w:space="0" w:color="auto"/>
            </w:tcBorders>
          </w:tcPr>
          <w:p w:rsidR="00240F23" w:rsidRPr="00DA1BFD" w:rsidRDefault="00240F23" w:rsidP="00DA1BFD">
            <w:pPr>
              <w:jc w:val="center"/>
              <w:rPr>
                <w:rFonts w:asciiTheme="minorHAnsi" w:hAnsiTheme="minorHAnsi" w:cstheme="minorHAnsi"/>
                <w:sz w:val="20"/>
                <w:szCs w:val="20"/>
              </w:rPr>
            </w:pPr>
            <w:r>
              <w:rPr>
                <w:rFonts w:asciiTheme="minorHAnsi" w:hAnsiTheme="minorHAnsi" w:cstheme="minorHAnsi"/>
                <w:sz w:val="20"/>
                <w:szCs w:val="20"/>
              </w:rPr>
              <w:t>4</w:t>
            </w:r>
          </w:p>
        </w:tc>
        <w:tc>
          <w:tcPr>
            <w:tcW w:w="1221" w:type="dxa"/>
            <w:tcBorders>
              <w:top w:val="single" w:sz="4" w:space="0" w:color="auto"/>
              <w:left w:val="single" w:sz="4" w:space="0" w:color="auto"/>
              <w:bottom w:val="single" w:sz="4" w:space="0" w:color="auto"/>
              <w:right w:val="single" w:sz="4" w:space="0" w:color="auto"/>
            </w:tcBorders>
          </w:tcPr>
          <w:p w:rsidR="00240F23" w:rsidRPr="00DA1BFD" w:rsidRDefault="00240F23" w:rsidP="00DA1BFD">
            <w:pPr>
              <w:jc w:val="center"/>
              <w:rPr>
                <w:rFonts w:asciiTheme="minorHAnsi" w:hAnsiTheme="minorHAnsi" w:cstheme="minorHAnsi"/>
                <w:sz w:val="20"/>
                <w:szCs w:val="20"/>
              </w:rPr>
            </w:pPr>
            <w:r w:rsidRPr="00DA1BFD">
              <w:rPr>
                <w:rFonts w:asciiTheme="minorHAnsi" w:hAnsiTheme="minorHAnsi" w:cstheme="minorHAnsi"/>
                <w:sz w:val="20"/>
                <w:szCs w:val="20"/>
              </w:rPr>
              <w:t>1</w:t>
            </w:r>
            <w:r>
              <w:rPr>
                <w:rFonts w:asciiTheme="minorHAnsi" w:hAnsiTheme="minorHAnsi" w:cstheme="minorHAnsi"/>
                <w:sz w:val="20"/>
                <w:szCs w:val="20"/>
              </w:rPr>
              <w:t>2</w:t>
            </w:r>
          </w:p>
        </w:tc>
      </w:tr>
      <w:tr w:rsidR="00240F23" w:rsidRPr="0057403C" w:rsidTr="00AF76F2">
        <w:tc>
          <w:tcPr>
            <w:tcW w:w="2211" w:type="dxa"/>
            <w:tcBorders>
              <w:top w:val="single" w:sz="4" w:space="0" w:color="auto"/>
              <w:bottom w:val="single" w:sz="4" w:space="0" w:color="auto"/>
              <w:right w:val="single" w:sz="4" w:space="0" w:color="auto"/>
            </w:tcBorders>
          </w:tcPr>
          <w:p w:rsidR="00240F23" w:rsidRPr="008847B3" w:rsidRDefault="00240F23" w:rsidP="005A7FB0">
            <w:pPr>
              <w:rPr>
                <w:rFonts w:asciiTheme="minorHAnsi" w:hAnsiTheme="minorHAnsi" w:cstheme="minorHAnsi"/>
                <w:sz w:val="20"/>
                <w:szCs w:val="20"/>
              </w:rPr>
            </w:pPr>
            <w:r>
              <w:rPr>
                <w:rFonts w:ascii="Calibri" w:hAnsi="Calibri" w:cs="Calibri"/>
                <w:color w:val="000000" w:themeColor="text1"/>
                <w:sz w:val="20"/>
                <w:szCs w:val="20"/>
              </w:rPr>
              <w:t>January 2006</w:t>
            </w:r>
          </w:p>
        </w:tc>
        <w:tc>
          <w:tcPr>
            <w:tcW w:w="1252" w:type="dxa"/>
            <w:tcBorders>
              <w:top w:val="single" w:sz="4" w:space="0" w:color="auto"/>
              <w:left w:val="single" w:sz="4" w:space="0" w:color="auto"/>
              <w:bottom w:val="single" w:sz="4" w:space="0" w:color="auto"/>
              <w:right w:val="single" w:sz="4" w:space="0" w:color="auto"/>
            </w:tcBorders>
          </w:tcPr>
          <w:p w:rsidR="00240F23" w:rsidRPr="00812445" w:rsidRDefault="00240F23" w:rsidP="005A7FB0">
            <w:pPr>
              <w:jc w:val="center"/>
              <w:rPr>
                <w:rFonts w:asciiTheme="minorHAnsi" w:hAnsiTheme="minorHAnsi" w:cstheme="minorHAnsi"/>
                <w:sz w:val="20"/>
                <w:szCs w:val="20"/>
              </w:rPr>
            </w:pPr>
            <w:r>
              <w:rPr>
                <w:rFonts w:asciiTheme="minorHAnsi" w:hAnsiTheme="minorHAnsi" w:cstheme="minorHAnsi"/>
                <w:sz w:val="20"/>
                <w:szCs w:val="20"/>
              </w:rPr>
              <w:t>Trough</w:t>
            </w:r>
          </w:p>
        </w:tc>
        <w:tc>
          <w:tcPr>
            <w:tcW w:w="1304" w:type="dxa"/>
            <w:tcBorders>
              <w:top w:val="single" w:sz="4" w:space="0" w:color="auto"/>
              <w:left w:val="single" w:sz="4" w:space="0" w:color="auto"/>
              <w:bottom w:val="single" w:sz="4" w:space="0" w:color="auto"/>
              <w:right w:val="single" w:sz="4" w:space="0" w:color="auto"/>
            </w:tcBorders>
          </w:tcPr>
          <w:p w:rsidR="00240F23" w:rsidRPr="00DA1BFD" w:rsidRDefault="00240F23" w:rsidP="00DA1BFD">
            <w:pPr>
              <w:jc w:val="center"/>
              <w:rPr>
                <w:rFonts w:asciiTheme="minorHAnsi" w:hAnsiTheme="minorHAnsi" w:cstheme="minorHAnsi"/>
                <w:sz w:val="20"/>
                <w:szCs w:val="20"/>
              </w:rPr>
            </w:pPr>
            <w:r w:rsidRPr="00DA1BFD">
              <w:rPr>
                <w:rFonts w:asciiTheme="minorHAnsi" w:hAnsiTheme="minorHAnsi" w:cstheme="minorHAnsi"/>
                <w:sz w:val="20"/>
                <w:szCs w:val="20"/>
              </w:rPr>
              <w:t>3</w:t>
            </w:r>
          </w:p>
        </w:tc>
        <w:tc>
          <w:tcPr>
            <w:tcW w:w="1519" w:type="dxa"/>
            <w:tcBorders>
              <w:top w:val="single" w:sz="4" w:space="0" w:color="auto"/>
              <w:left w:val="single" w:sz="4" w:space="0" w:color="auto"/>
              <w:bottom w:val="single" w:sz="4" w:space="0" w:color="auto"/>
              <w:right w:val="single" w:sz="4" w:space="0" w:color="auto"/>
            </w:tcBorders>
          </w:tcPr>
          <w:p w:rsidR="00240F23" w:rsidRPr="00DA1BFD" w:rsidRDefault="00240F23" w:rsidP="00DA1BFD">
            <w:pPr>
              <w:jc w:val="center"/>
              <w:rPr>
                <w:rFonts w:asciiTheme="minorHAnsi" w:hAnsiTheme="minorHAnsi" w:cstheme="minorHAnsi"/>
                <w:sz w:val="20"/>
                <w:szCs w:val="20"/>
              </w:rPr>
            </w:pPr>
            <w:r>
              <w:rPr>
                <w:rFonts w:asciiTheme="minorHAnsi" w:hAnsiTheme="minorHAnsi" w:cstheme="minorHAnsi"/>
                <w:sz w:val="20"/>
                <w:szCs w:val="20"/>
              </w:rPr>
              <w:t>0</w:t>
            </w:r>
          </w:p>
        </w:tc>
        <w:tc>
          <w:tcPr>
            <w:tcW w:w="1221" w:type="dxa"/>
            <w:tcBorders>
              <w:top w:val="single" w:sz="4" w:space="0" w:color="auto"/>
              <w:left w:val="single" w:sz="4" w:space="0" w:color="auto"/>
              <w:bottom w:val="single" w:sz="4" w:space="0" w:color="auto"/>
              <w:right w:val="single" w:sz="4" w:space="0" w:color="auto"/>
            </w:tcBorders>
          </w:tcPr>
          <w:p w:rsidR="00240F23" w:rsidRPr="00DA1BFD" w:rsidRDefault="00240F23" w:rsidP="00DA1BFD">
            <w:pPr>
              <w:jc w:val="center"/>
              <w:rPr>
                <w:rFonts w:asciiTheme="minorHAnsi" w:hAnsiTheme="minorHAnsi" w:cstheme="minorHAnsi"/>
                <w:sz w:val="20"/>
                <w:szCs w:val="20"/>
              </w:rPr>
            </w:pPr>
            <w:r w:rsidRPr="00DA1BFD">
              <w:rPr>
                <w:rFonts w:asciiTheme="minorHAnsi" w:hAnsiTheme="minorHAnsi" w:cstheme="minorHAnsi"/>
                <w:sz w:val="20"/>
                <w:szCs w:val="20"/>
              </w:rPr>
              <w:t>-6</w:t>
            </w:r>
          </w:p>
        </w:tc>
      </w:tr>
      <w:tr w:rsidR="00240F23" w:rsidRPr="0057403C" w:rsidTr="00AF76F2">
        <w:tc>
          <w:tcPr>
            <w:tcW w:w="2211" w:type="dxa"/>
            <w:tcBorders>
              <w:top w:val="single" w:sz="4" w:space="0" w:color="auto"/>
              <w:bottom w:val="single" w:sz="4" w:space="0" w:color="auto"/>
              <w:right w:val="single" w:sz="4" w:space="0" w:color="auto"/>
            </w:tcBorders>
          </w:tcPr>
          <w:p w:rsidR="00240F23" w:rsidRPr="008847B3" w:rsidRDefault="00240F23" w:rsidP="005A7FB0">
            <w:pPr>
              <w:rPr>
                <w:rFonts w:asciiTheme="minorHAnsi" w:hAnsiTheme="minorHAnsi" w:cstheme="minorHAnsi"/>
                <w:sz w:val="20"/>
                <w:szCs w:val="20"/>
              </w:rPr>
            </w:pPr>
            <w:r>
              <w:rPr>
                <w:rFonts w:asciiTheme="minorHAnsi" w:hAnsiTheme="minorHAnsi" w:cstheme="minorHAnsi"/>
                <w:sz w:val="20"/>
                <w:szCs w:val="20"/>
              </w:rPr>
              <w:t>July 2008</w:t>
            </w:r>
          </w:p>
        </w:tc>
        <w:tc>
          <w:tcPr>
            <w:tcW w:w="1252" w:type="dxa"/>
            <w:tcBorders>
              <w:top w:val="single" w:sz="4" w:space="0" w:color="auto"/>
              <w:left w:val="single" w:sz="4" w:space="0" w:color="auto"/>
              <w:bottom w:val="single" w:sz="4" w:space="0" w:color="auto"/>
              <w:right w:val="single" w:sz="4" w:space="0" w:color="auto"/>
            </w:tcBorders>
          </w:tcPr>
          <w:p w:rsidR="00240F23" w:rsidRPr="00812445" w:rsidRDefault="00240F23" w:rsidP="005A7FB0">
            <w:pPr>
              <w:jc w:val="center"/>
              <w:rPr>
                <w:rFonts w:asciiTheme="minorHAnsi" w:hAnsiTheme="minorHAnsi" w:cstheme="minorHAnsi"/>
                <w:sz w:val="20"/>
                <w:szCs w:val="20"/>
              </w:rPr>
            </w:pPr>
            <w:r>
              <w:rPr>
                <w:rFonts w:asciiTheme="minorHAnsi" w:hAnsiTheme="minorHAnsi" w:cstheme="minorHAnsi"/>
                <w:sz w:val="20"/>
                <w:szCs w:val="20"/>
              </w:rPr>
              <w:t>Peak</w:t>
            </w:r>
          </w:p>
        </w:tc>
        <w:tc>
          <w:tcPr>
            <w:tcW w:w="1304" w:type="dxa"/>
            <w:tcBorders>
              <w:top w:val="single" w:sz="4" w:space="0" w:color="auto"/>
              <w:left w:val="single" w:sz="4" w:space="0" w:color="auto"/>
              <w:bottom w:val="single" w:sz="4" w:space="0" w:color="auto"/>
              <w:right w:val="single" w:sz="4" w:space="0" w:color="auto"/>
            </w:tcBorders>
          </w:tcPr>
          <w:p w:rsidR="00240F23" w:rsidRPr="00DA1BFD" w:rsidRDefault="00240F23" w:rsidP="00DA1BFD">
            <w:pPr>
              <w:jc w:val="center"/>
              <w:rPr>
                <w:rFonts w:asciiTheme="minorHAnsi" w:hAnsiTheme="minorHAnsi" w:cstheme="minorHAnsi"/>
                <w:sz w:val="20"/>
                <w:szCs w:val="20"/>
              </w:rPr>
            </w:pPr>
            <w:r>
              <w:rPr>
                <w:rFonts w:asciiTheme="minorHAnsi" w:hAnsiTheme="minorHAnsi" w:cstheme="minorHAnsi"/>
                <w:sz w:val="20"/>
                <w:szCs w:val="20"/>
              </w:rPr>
              <w:t>14</w:t>
            </w:r>
          </w:p>
        </w:tc>
        <w:tc>
          <w:tcPr>
            <w:tcW w:w="1519" w:type="dxa"/>
            <w:tcBorders>
              <w:top w:val="single" w:sz="4" w:space="0" w:color="auto"/>
              <w:left w:val="single" w:sz="4" w:space="0" w:color="auto"/>
              <w:bottom w:val="single" w:sz="4" w:space="0" w:color="auto"/>
              <w:right w:val="single" w:sz="4" w:space="0" w:color="auto"/>
            </w:tcBorders>
          </w:tcPr>
          <w:p w:rsidR="00240F23" w:rsidRPr="00DA1BFD" w:rsidRDefault="00240F23" w:rsidP="00DA1BFD">
            <w:pPr>
              <w:jc w:val="center"/>
              <w:rPr>
                <w:rFonts w:asciiTheme="minorHAnsi" w:hAnsiTheme="minorHAnsi" w:cstheme="minorHAnsi"/>
                <w:sz w:val="20"/>
                <w:szCs w:val="20"/>
              </w:rPr>
            </w:pPr>
            <w:r>
              <w:rPr>
                <w:rFonts w:asciiTheme="minorHAnsi" w:hAnsiTheme="minorHAnsi" w:cstheme="minorHAnsi"/>
                <w:sz w:val="20"/>
                <w:szCs w:val="20"/>
              </w:rPr>
              <w:t>5</w:t>
            </w:r>
          </w:p>
        </w:tc>
        <w:tc>
          <w:tcPr>
            <w:tcW w:w="1221" w:type="dxa"/>
            <w:tcBorders>
              <w:top w:val="single" w:sz="4" w:space="0" w:color="auto"/>
              <w:left w:val="single" w:sz="4" w:space="0" w:color="auto"/>
              <w:bottom w:val="single" w:sz="4" w:space="0" w:color="auto"/>
              <w:right w:val="single" w:sz="4" w:space="0" w:color="auto"/>
            </w:tcBorders>
          </w:tcPr>
          <w:p w:rsidR="00240F23" w:rsidRPr="00DA1BFD" w:rsidRDefault="00240F23" w:rsidP="00DA1BFD">
            <w:pPr>
              <w:jc w:val="center"/>
              <w:rPr>
                <w:rFonts w:asciiTheme="minorHAnsi" w:hAnsiTheme="minorHAnsi" w:cstheme="minorHAnsi"/>
                <w:sz w:val="20"/>
                <w:szCs w:val="20"/>
              </w:rPr>
            </w:pPr>
            <w:r>
              <w:rPr>
                <w:rFonts w:asciiTheme="minorHAnsi" w:hAnsiTheme="minorHAnsi" w:cstheme="minorHAnsi"/>
                <w:sz w:val="20"/>
                <w:szCs w:val="20"/>
              </w:rPr>
              <w:t>15</w:t>
            </w:r>
          </w:p>
        </w:tc>
      </w:tr>
      <w:tr w:rsidR="00240F23" w:rsidRPr="00DA1BFD" w:rsidTr="00AF76F2">
        <w:tc>
          <w:tcPr>
            <w:tcW w:w="2211" w:type="dxa"/>
            <w:tcBorders>
              <w:top w:val="single" w:sz="4" w:space="0" w:color="auto"/>
              <w:bottom w:val="single" w:sz="4" w:space="0" w:color="auto"/>
              <w:right w:val="single" w:sz="4" w:space="0" w:color="auto"/>
            </w:tcBorders>
          </w:tcPr>
          <w:p w:rsidR="00240F23" w:rsidRPr="008847B3" w:rsidRDefault="00240F23" w:rsidP="005A7FB0">
            <w:pPr>
              <w:rPr>
                <w:rFonts w:asciiTheme="minorHAnsi" w:hAnsiTheme="minorHAnsi" w:cstheme="minorHAnsi"/>
                <w:sz w:val="20"/>
                <w:szCs w:val="20"/>
              </w:rPr>
            </w:pPr>
            <w:r>
              <w:rPr>
                <w:rFonts w:asciiTheme="minorHAnsi" w:hAnsiTheme="minorHAnsi" w:cstheme="minorHAnsi"/>
                <w:sz w:val="20"/>
                <w:szCs w:val="20"/>
              </w:rPr>
              <w:t>August 2009</w:t>
            </w:r>
          </w:p>
        </w:tc>
        <w:tc>
          <w:tcPr>
            <w:tcW w:w="1252" w:type="dxa"/>
            <w:tcBorders>
              <w:top w:val="single" w:sz="4" w:space="0" w:color="auto"/>
              <w:left w:val="single" w:sz="4" w:space="0" w:color="auto"/>
              <w:bottom w:val="single" w:sz="4" w:space="0" w:color="auto"/>
              <w:right w:val="single" w:sz="4" w:space="0" w:color="auto"/>
            </w:tcBorders>
          </w:tcPr>
          <w:p w:rsidR="00240F23" w:rsidRPr="00812445" w:rsidRDefault="00240F23" w:rsidP="005A7FB0">
            <w:pPr>
              <w:jc w:val="center"/>
              <w:rPr>
                <w:rFonts w:asciiTheme="minorHAnsi" w:hAnsiTheme="minorHAnsi" w:cstheme="minorHAnsi"/>
                <w:sz w:val="20"/>
                <w:szCs w:val="20"/>
              </w:rPr>
            </w:pPr>
            <w:r>
              <w:rPr>
                <w:rFonts w:asciiTheme="minorHAnsi" w:hAnsiTheme="minorHAnsi" w:cstheme="minorHAnsi"/>
                <w:sz w:val="20"/>
                <w:szCs w:val="20"/>
              </w:rPr>
              <w:t>Trough</w:t>
            </w:r>
          </w:p>
        </w:tc>
        <w:tc>
          <w:tcPr>
            <w:tcW w:w="1304" w:type="dxa"/>
            <w:tcBorders>
              <w:top w:val="single" w:sz="4" w:space="0" w:color="auto"/>
              <w:left w:val="single" w:sz="4" w:space="0" w:color="auto"/>
              <w:bottom w:val="single" w:sz="4" w:space="0" w:color="auto"/>
              <w:right w:val="single" w:sz="4" w:space="0" w:color="auto"/>
            </w:tcBorders>
          </w:tcPr>
          <w:p w:rsidR="00240F23" w:rsidRPr="00DA1BFD" w:rsidRDefault="00240F23" w:rsidP="00DA1BFD">
            <w:pPr>
              <w:jc w:val="center"/>
              <w:rPr>
                <w:rFonts w:asciiTheme="minorHAnsi" w:hAnsiTheme="minorHAnsi" w:cstheme="minorHAnsi"/>
                <w:sz w:val="20"/>
                <w:szCs w:val="20"/>
              </w:rPr>
            </w:pPr>
            <w:r>
              <w:rPr>
                <w:rFonts w:asciiTheme="minorHAnsi" w:hAnsiTheme="minorHAnsi" w:cstheme="minorHAnsi"/>
                <w:sz w:val="20"/>
                <w:szCs w:val="20"/>
              </w:rPr>
              <w:t>8</w:t>
            </w:r>
          </w:p>
        </w:tc>
        <w:tc>
          <w:tcPr>
            <w:tcW w:w="1519" w:type="dxa"/>
            <w:tcBorders>
              <w:top w:val="single" w:sz="4" w:space="0" w:color="auto"/>
              <w:left w:val="single" w:sz="4" w:space="0" w:color="auto"/>
              <w:bottom w:val="single" w:sz="4" w:space="0" w:color="auto"/>
              <w:right w:val="single" w:sz="4" w:space="0" w:color="auto"/>
            </w:tcBorders>
          </w:tcPr>
          <w:p w:rsidR="00240F23" w:rsidRPr="00DA1BFD" w:rsidRDefault="00240F23" w:rsidP="00DA1BFD">
            <w:pPr>
              <w:jc w:val="center"/>
              <w:rPr>
                <w:rFonts w:asciiTheme="minorHAnsi" w:hAnsiTheme="minorHAnsi" w:cstheme="minorHAnsi"/>
                <w:sz w:val="20"/>
                <w:szCs w:val="20"/>
              </w:rPr>
            </w:pPr>
            <w:r>
              <w:rPr>
                <w:rFonts w:asciiTheme="minorHAnsi" w:hAnsiTheme="minorHAnsi" w:cstheme="minorHAnsi"/>
                <w:sz w:val="20"/>
                <w:szCs w:val="20"/>
              </w:rPr>
              <w:t>1</w:t>
            </w:r>
          </w:p>
        </w:tc>
        <w:tc>
          <w:tcPr>
            <w:tcW w:w="1221" w:type="dxa"/>
            <w:tcBorders>
              <w:top w:val="single" w:sz="4" w:space="0" w:color="auto"/>
              <w:left w:val="single" w:sz="4" w:space="0" w:color="auto"/>
              <w:bottom w:val="single" w:sz="4" w:space="0" w:color="auto"/>
              <w:right w:val="single" w:sz="4" w:space="0" w:color="auto"/>
            </w:tcBorders>
          </w:tcPr>
          <w:p w:rsidR="00240F23" w:rsidRPr="00DA1BFD" w:rsidRDefault="00240F23" w:rsidP="00DA1BFD">
            <w:pPr>
              <w:jc w:val="center"/>
              <w:rPr>
                <w:rFonts w:asciiTheme="minorHAnsi" w:hAnsiTheme="minorHAnsi" w:cstheme="minorHAnsi"/>
                <w:sz w:val="20"/>
                <w:szCs w:val="20"/>
              </w:rPr>
            </w:pPr>
            <w:r>
              <w:rPr>
                <w:rFonts w:asciiTheme="minorHAnsi" w:hAnsiTheme="minorHAnsi" w:cstheme="minorHAnsi"/>
                <w:sz w:val="20"/>
                <w:szCs w:val="20"/>
              </w:rPr>
              <w:t>4</w:t>
            </w:r>
          </w:p>
        </w:tc>
      </w:tr>
      <w:tr w:rsidR="00240F23" w:rsidRPr="0057403C" w:rsidTr="00AF76F2">
        <w:tc>
          <w:tcPr>
            <w:tcW w:w="2211" w:type="dxa"/>
            <w:tcBorders>
              <w:top w:val="single" w:sz="4" w:space="0" w:color="auto"/>
              <w:bottom w:val="single" w:sz="4" w:space="0" w:color="auto"/>
              <w:right w:val="single" w:sz="4" w:space="0" w:color="auto"/>
            </w:tcBorders>
          </w:tcPr>
          <w:p w:rsidR="00240F23" w:rsidRDefault="00240F23" w:rsidP="005A7FB0">
            <w:pPr>
              <w:rPr>
                <w:rFonts w:ascii="Calibri" w:hAnsi="Calibri" w:cs="Calibri"/>
                <w:color w:val="000000" w:themeColor="text1"/>
                <w:sz w:val="20"/>
                <w:szCs w:val="20"/>
              </w:rPr>
            </w:pPr>
            <w:r>
              <w:rPr>
                <w:rFonts w:ascii="Calibri" w:hAnsi="Calibri" w:cs="Calibri"/>
                <w:color w:val="000000" w:themeColor="text1"/>
                <w:sz w:val="20"/>
                <w:szCs w:val="20"/>
              </w:rPr>
              <w:t>January 2011</w:t>
            </w:r>
          </w:p>
          <w:p w:rsidR="00240F23" w:rsidRPr="008847B3" w:rsidRDefault="00240F23" w:rsidP="005A7FB0">
            <w:pPr>
              <w:rPr>
                <w:rFonts w:asciiTheme="minorHAnsi" w:hAnsiTheme="minorHAnsi" w:cstheme="minorHAnsi"/>
                <w:sz w:val="20"/>
                <w:szCs w:val="20"/>
              </w:rPr>
            </w:pPr>
          </w:p>
        </w:tc>
        <w:tc>
          <w:tcPr>
            <w:tcW w:w="1252" w:type="dxa"/>
            <w:tcBorders>
              <w:top w:val="single" w:sz="4" w:space="0" w:color="auto"/>
              <w:left w:val="single" w:sz="4" w:space="0" w:color="auto"/>
              <w:bottom w:val="single" w:sz="4" w:space="0" w:color="auto"/>
              <w:right w:val="single" w:sz="4" w:space="0" w:color="auto"/>
            </w:tcBorders>
          </w:tcPr>
          <w:p w:rsidR="00240F23" w:rsidRPr="00812445" w:rsidRDefault="00240F23" w:rsidP="005A7FB0">
            <w:pPr>
              <w:jc w:val="center"/>
              <w:rPr>
                <w:rFonts w:asciiTheme="minorHAnsi" w:hAnsiTheme="minorHAnsi" w:cstheme="minorHAnsi"/>
                <w:sz w:val="20"/>
                <w:szCs w:val="20"/>
              </w:rPr>
            </w:pPr>
            <w:r>
              <w:rPr>
                <w:rFonts w:asciiTheme="minorHAnsi" w:hAnsiTheme="minorHAnsi" w:cstheme="minorHAnsi"/>
                <w:sz w:val="20"/>
                <w:szCs w:val="20"/>
              </w:rPr>
              <w:t>Peak</w:t>
            </w:r>
          </w:p>
        </w:tc>
        <w:tc>
          <w:tcPr>
            <w:tcW w:w="1304" w:type="dxa"/>
            <w:tcBorders>
              <w:top w:val="single" w:sz="4" w:space="0" w:color="auto"/>
              <w:left w:val="single" w:sz="4" w:space="0" w:color="auto"/>
              <w:bottom w:val="single" w:sz="4" w:space="0" w:color="auto"/>
              <w:right w:val="single" w:sz="4" w:space="0" w:color="auto"/>
            </w:tcBorders>
          </w:tcPr>
          <w:p w:rsidR="00240F23" w:rsidRPr="00DA1BFD" w:rsidRDefault="00240F23" w:rsidP="00DA1BFD">
            <w:pPr>
              <w:jc w:val="center"/>
              <w:rPr>
                <w:rFonts w:asciiTheme="minorHAnsi" w:hAnsiTheme="minorHAnsi" w:cstheme="minorHAnsi"/>
                <w:sz w:val="20"/>
                <w:szCs w:val="20"/>
              </w:rPr>
            </w:pPr>
            <w:r>
              <w:rPr>
                <w:rFonts w:asciiTheme="minorHAnsi" w:hAnsiTheme="minorHAnsi" w:cstheme="minorHAnsi"/>
                <w:sz w:val="20"/>
                <w:szCs w:val="20"/>
              </w:rPr>
              <w:t>12</w:t>
            </w:r>
          </w:p>
        </w:tc>
        <w:tc>
          <w:tcPr>
            <w:tcW w:w="1519" w:type="dxa"/>
            <w:tcBorders>
              <w:top w:val="single" w:sz="4" w:space="0" w:color="auto"/>
              <w:left w:val="single" w:sz="4" w:space="0" w:color="auto"/>
              <w:bottom w:val="single" w:sz="4" w:space="0" w:color="auto"/>
              <w:right w:val="single" w:sz="4" w:space="0" w:color="auto"/>
            </w:tcBorders>
          </w:tcPr>
          <w:p w:rsidR="00240F23" w:rsidRPr="00DA1BFD" w:rsidRDefault="00240F23" w:rsidP="00DA1BFD">
            <w:pPr>
              <w:jc w:val="center"/>
              <w:rPr>
                <w:rFonts w:asciiTheme="minorHAnsi" w:hAnsiTheme="minorHAnsi" w:cstheme="minorHAnsi"/>
                <w:sz w:val="20"/>
                <w:szCs w:val="20"/>
              </w:rPr>
            </w:pPr>
            <w:r>
              <w:rPr>
                <w:rFonts w:asciiTheme="minorHAnsi" w:hAnsiTheme="minorHAnsi" w:cstheme="minorHAnsi"/>
                <w:sz w:val="20"/>
                <w:szCs w:val="20"/>
              </w:rPr>
              <w:t>12</w:t>
            </w:r>
          </w:p>
        </w:tc>
        <w:tc>
          <w:tcPr>
            <w:tcW w:w="1221" w:type="dxa"/>
            <w:tcBorders>
              <w:top w:val="single" w:sz="4" w:space="0" w:color="auto"/>
              <w:left w:val="single" w:sz="4" w:space="0" w:color="auto"/>
              <w:bottom w:val="single" w:sz="4" w:space="0" w:color="auto"/>
              <w:right w:val="single" w:sz="4" w:space="0" w:color="auto"/>
            </w:tcBorders>
          </w:tcPr>
          <w:p w:rsidR="00240F23" w:rsidRPr="00DA1BFD" w:rsidRDefault="00240F23" w:rsidP="00DA1BFD">
            <w:pPr>
              <w:jc w:val="center"/>
              <w:rPr>
                <w:rFonts w:asciiTheme="minorHAnsi" w:hAnsiTheme="minorHAnsi" w:cstheme="minorHAnsi"/>
                <w:sz w:val="20"/>
                <w:szCs w:val="20"/>
              </w:rPr>
            </w:pPr>
            <w:r w:rsidRPr="00DA1BFD">
              <w:rPr>
                <w:rFonts w:asciiTheme="minorHAnsi" w:hAnsiTheme="minorHAnsi" w:cstheme="minorHAnsi"/>
                <w:sz w:val="20"/>
                <w:szCs w:val="20"/>
              </w:rPr>
              <w:t>-9</w:t>
            </w:r>
          </w:p>
        </w:tc>
      </w:tr>
      <w:tr w:rsidR="00240F23" w:rsidRPr="0057403C" w:rsidTr="005A7FB0">
        <w:tc>
          <w:tcPr>
            <w:tcW w:w="7507" w:type="dxa"/>
            <w:gridSpan w:val="5"/>
            <w:tcBorders>
              <w:top w:val="single" w:sz="4" w:space="0" w:color="auto"/>
              <w:bottom w:val="single" w:sz="4" w:space="0" w:color="auto"/>
              <w:right w:val="single" w:sz="4" w:space="0" w:color="auto"/>
            </w:tcBorders>
          </w:tcPr>
          <w:p w:rsidR="00240F23" w:rsidRDefault="00240F23" w:rsidP="005A7FB0">
            <w:pPr>
              <w:jc w:val="center"/>
              <w:rPr>
                <w:rFonts w:asciiTheme="minorHAnsi" w:hAnsiTheme="minorHAnsi" w:cstheme="minorHAnsi"/>
                <w:sz w:val="20"/>
                <w:szCs w:val="20"/>
              </w:rPr>
            </w:pPr>
            <w:r w:rsidRPr="007A5289">
              <w:rPr>
                <w:rFonts w:asciiTheme="minorHAnsi" w:hAnsiTheme="minorHAnsi" w:cstheme="minorHAnsi"/>
                <w:b/>
                <w:sz w:val="20"/>
                <w:szCs w:val="20"/>
              </w:rPr>
              <w:t>Summary Statistics</w:t>
            </w:r>
          </w:p>
        </w:tc>
      </w:tr>
      <w:tr w:rsidR="00240F23" w:rsidRPr="0057403C" w:rsidTr="00AF76F2">
        <w:tc>
          <w:tcPr>
            <w:tcW w:w="2211" w:type="dxa"/>
            <w:tcBorders>
              <w:top w:val="single" w:sz="4" w:space="0" w:color="auto"/>
              <w:bottom w:val="single" w:sz="4" w:space="0" w:color="auto"/>
              <w:right w:val="single" w:sz="4" w:space="0" w:color="auto"/>
            </w:tcBorders>
          </w:tcPr>
          <w:p w:rsidR="00240F23" w:rsidRPr="00FF412B" w:rsidRDefault="00240F23" w:rsidP="005A7FB0">
            <w:pPr>
              <w:rPr>
                <w:rFonts w:ascii="Calibri" w:hAnsi="Calibri" w:cs="Calibri"/>
                <w:sz w:val="20"/>
                <w:szCs w:val="20"/>
              </w:rPr>
            </w:pPr>
            <w:r>
              <w:rPr>
                <w:rFonts w:ascii="Calibri" w:hAnsi="Calibri" w:cs="Calibri"/>
                <w:sz w:val="20"/>
                <w:szCs w:val="20"/>
              </w:rPr>
              <w:t>M</w:t>
            </w:r>
            <w:r w:rsidRPr="00FF412B">
              <w:rPr>
                <w:rFonts w:ascii="Calibri" w:hAnsi="Calibri" w:cs="Calibri"/>
                <w:sz w:val="20"/>
                <w:szCs w:val="20"/>
              </w:rPr>
              <w:t>ax</w:t>
            </w:r>
            <w:r>
              <w:rPr>
                <w:rFonts w:ascii="Calibri" w:hAnsi="Calibri" w:cs="Calibri"/>
                <w:sz w:val="20"/>
                <w:szCs w:val="20"/>
              </w:rPr>
              <w:t>imum</w:t>
            </w:r>
          </w:p>
        </w:tc>
        <w:tc>
          <w:tcPr>
            <w:tcW w:w="1252" w:type="dxa"/>
            <w:tcBorders>
              <w:top w:val="single" w:sz="4" w:space="0" w:color="auto"/>
              <w:left w:val="single" w:sz="4" w:space="0" w:color="auto"/>
              <w:bottom w:val="single" w:sz="4" w:space="0" w:color="auto"/>
              <w:right w:val="single" w:sz="4" w:space="0" w:color="auto"/>
            </w:tcBorders>
          </w:tcPr>
          <w:p w:rsidR="00240F23" w:rsidRPr="00812445" w:rsidRDefault="00240F23" w:rsidP="005A7FB0">
            <w:pPr>
              <w:jc w:val="center"/>
              <w:rPr>
                <w:rFonts w:asciiTheme="minorHAnsi" w:hAnsiTheme="minorHAnsi" w:cstheme="minorHAnsi"/>
                <w:sz w:val="20"/>
                <w:szCs w:val="20"/>
              </w:rPr>
            </w:pPr>
          </w:p>
        </w:tc>
        <w:tc>
          <w:tcPr>
            <w:tcW w:w="1304" w:type="dxa"/>
            <w:tcBorders>
              <w:top w:val="single" w:sz="4" w:space="0" w:color="auto"/>
              <w:left w:val="single" w:sz="4" w:space="0" w:color="auto"/>
              <w:bottom w:val="single" w:sz="4" w:space="0" w:color="auto"/>
              <w:right w:val="single" w:sz="4" w:space="0" w:color="auto"/>
            </w:tcBorders>
          </w:tcPr>
          <w:p w:rsidR="00240F23" w:rsidRPr="00FF412B" w:rsidRDefault="00571108" w:rsidP="00FF412B">
            <w:pPr>
              <w:jc w:val="center"/>
              <w:rPr>
                <w:rFonts w:asciiTheme="minorHAnsi" w:hAnsiTheme="minorHAnsi" w:cstheme="minorHAnsi"/>
                <w:sz w:val="20"/>
                <w:szCs w:val="20"/>
              </w:rPr>
            </w:pPr>
            <w:r>
              <w:rPr>
                <w:rFonts w:asciiTheme="minorHAnsi" w:hAnsiTheme="minorHAnsi" w:cstheme="minorHAnsi"/>
                <w:sz w:val="20"/>
                <w:szCs w:val="20"/>
              </w:rPr>
              <w:t>18</w:t>
            </w:r>
          </w:p>
        </w:tc>
        <w:tc>
          <w:tcPr>
            <w:tcW w:w="1519" w:type="dxa"/>
            <w:tcBorders>
              <w:top w:val="single" w:sz="4" w:space="0" w:color="auto"/>
              <w:left w:val="single" w:sz="4" w:space="0" w:color="auto"/>
              <w:bottom w:val="single" w:sz="4" w:space="0" w:color="auto"/>
              <w:right w:val="single" w:sz="4" w:space="0" w:color="auto"/>
            </w:tcBorders>
          </w:tcPr>
          <w:p w:rsidR="00240F23" w:rsidRPr="00FF412B" w:rsidRDefault="00571108" w:rsidP="00FF412B">
            <w:pPr>
              <w:jc w:val="center"/>
              <w:rPr>
                <w:rFonts w:asciiTheme="minorHAnsi" w:hAnsiTheme="minorHAnsi" w:cstheme="minorHAnsi"/>
                <w:sz w:val="20"/>
                <w:szCs w:val="20"/>
              </w:rPr>
            </w:pPr>
            <w:r>
              <w:rPr>
                <w:rFonts w:asciiTheme="minorHAnsi" w:hAnsiTheme="minorHAnsi" w:cstheme="minorHAnsi"/>
                <w:sz w:val="20"/>
                <w:szCs w:val="20"/>
              </w:rPr>
              <w:t>16</w:t>
            </w:r>
          </w:p>
        </w:tc>
        <w:tc>
          <w:tcPr>
            <w:tcW w:w="1221" w:type="dxa"/>
            <w:tcBorders>
              <w:top w:val="single" w:sz="4" w:space="0" w:color="auto"/>
              <w:left w:val="single" w:sz="4" w:space="0" w:color="auto"/>
              <w:bottom w:val="single" w:sz="4" w:space="0" w:color="auto"/>
              <w:right w:val="single" w:sz="4" w:space="0" w:color="auto"/>
            </w:tcBorders>
          </w:tcPr>
          <w:p w:rsidR="00240F23" w:rsidRPr="00FF412B" w:rsidRDefault="00240F23" w:rsidP="00FF412B">
            <w:pPr>
              <w:jc w:val="center"/>
              <w:rPr>
                <w:rFonts w:asciiTheme="minorHAnsi" w:hAnsiTheme="minorHAnsi" w:cstheme="minorHAnsi"/>
                <w:sz w:val="20"/>
                <w:szCs w:val="20"/>
              </w:rPr>
            </w:pPr>
            <w:r w:rsidRPr="00FF412B">
              <w:rPr>
                <w:rFonts w:asciiTheme="minorHAnsi" w:hAnsiTheme="minorHAnsi" w:cstheme="minorHAnsi"/>
                <w:sz w:val="20"/>
                <w:szCs w:val="20"/>
              </w:rPr>
              <w:t>1</w:t>
            </w:r>
            <w:r w:rsidR="00571108">
              <w:rPr>
                <w:rFonts w:asciiTheme="minorHAnsi" w:hAnsiTheme="minorHAnsi" w:cstheme="minorHAnsi"/>
                <w:sz w:val="20"/>
                <w:szCs w:val="20"/>
              </w:rPr>
              <w:t>5</w:t>
            </w:r>
          </w:p>
        </w:tc>
      </w:tr>
      <w:tr w:rsidR="00240F23" w:rsidRPr="0057403C" w:rsidTr="00AF76F2">
        <w:tc>
          <w:tcPr>
            <w:tcW w:w="2211" w:type="dxa"/>
            <w:tcBorders>
              <w:top w:val="single" w:sz="4" w:space="0" w:color="auto"/>
              <w:bottom w:val="single" w:sz="4" w:space="0" w:color="auto"/>
              <w:right w:val="single" w:sz="4" w:space="0" w:color="auto"/>
            </w:tcBorders>
          </w:tcPr>
          <w:p w:rsidR="00240F23" w:rsidRPr="00FF412B" w:rsidRDefault="00240F23" w:rsidP="00FF412B">
            <w:pPr>
              <w:rPr>
                <w:rFonts w:ascii="Calibri" w:hAnsi="Calibri" w:cs="Calibri"/>
                <w:sz w:val="20"/>
                <w:szCs w:val="20"/>
              </w:rPr>
            </w:pPr>
            <w:r>
              <w:rPr>
                <w:rFonts w:ascii="Calibri" w:hAnsi="Calibri" w:cs="Calibri"/>
                <w:sz w:val="20"/>
                <w:szCs w:val="20"/>
              </w:rPr>
              <w:t>Mi</w:t>
            </w:r>
            <w:r w:rsidRPr="00FF412B">
              <w:rPr>
                <w:rFonts w:ascii="Calibri" w:hAnsi="Calibri" w:cs="Calibri"/>
                <w:sz w:val="20"/>
                <w:szCs w:val="20"/>
              </w:rPr>
              <w:t>n</w:t>
            </w:r>
            <w:r>
              <w:rPr>
                <w:rFonts w:ascii="Calibri" w:hAnsi="Calibri" w:cs="Calibri"/>
                <w:sz w:val="20"/>
                <w:szCs w:val="20"/>
              </w:rPr>
              <w:t>imum</w:t>
            </w:r>
          </w:p>
        </w:tc>
        <w:tc>
          <w:tcPr>
            <w:tcW w:w="1252" w:type="dxa"/>
            <w:tcBorders>
              <w:top w:val="single" w:sz="4" w:space="0" w:color="auto"/>
              <w:left w:val="single" w:sz="4" w:space="0" w:color="auto"/>
              <w:bottom w:val="single" w:sz="4" w:space="0" w:color="auto"/>
              <w:right w:val="single" w:sz="4" w:space="0" w:color="auto"/>
            </w:tcBorders>
          </w:tcPr>
          <w:p w:rsidR="00240F23" w:rsidRPr="00812445" w:rsidRDefault="00240F23" w:rsidP="005A7FB0">
            <w:pPr>
              <w:jc w:val="center"/>
              <w:rPr>
                <w:rFonts w:asciiTheme="minorHAnsi" w:hAnsiTheme="minorHAnsi" w:cstheme="minorHAnsi"/>
                <w:sz w:val="20"/>
                <w:szCs w:val="20"/>
              </w:rPr>
            </w:pPr>
          </w:p>
        </w:tc>
        <w:tc>
          <w:tcPr>
            <w:tcW w:w="1304" w:type="dxa"/>
            <w:tcBorders>
              <w:top w:val="single" w:sz="4" w:space="0" w:color="auto"/>
              <w:left w:val="single" w:sz="4" w:space="0" w:color="auto"/>
              <w:bottom w:val="single" w:sz="4" w:space="0" w:color="auto"/>
              <w:right w:val="single" w:sz="4" w:space="0" w:color="auto"/>
            </w:tcBorders>
          </w:tcPr>
          <w:p w:rsidR="00240F23" w:rsidRPr="00FF412B" w:rsidRDefault="00571108" w:rsidP="00FF412B">
            <w:pPr>
              <w:jc w:val="center"/>
              <w:rPr>
                <w:rFonts w:asciiTheme="minorHAnsi" w:hAnsiTheme="minorHAnsi" w:cstheme="minorHAnsi"/>
                <w:sz w:val="20"/>
                <w:szCs w:val="20"/>
              </w:rPr>
            </w:pPr>
            <w:r>
              <w:rPr>
                <w:rFonts w:asciiTheme="minorHAnsi" w:hAnsiTheme="minorHAnsi" w:cstheme="minorHAnsi"/>
                <w:sz w:val="20"/>
                <w:szCs w:val="20"/>
              </w:rPr>
              <w:t>3</w:t>
            </w:r>
          </w:p>
        </w:tc>
        <w:tc>
          <w:tcPr>
            <w:tcW w:w="1519" w:type="dxa"/>
            <w:tcBorders>
              <w:top w:val="single" w:sz="4" w:space="0" w:color="auto"/>
              <w:left w:val="single" w:sz="4" w:space="0" w:color="auto"/>
              <w:bottom w:val="single" w:sz="4" w:space="0" w:color="auto"/>
              <w:right w:val="single" w:sz="4" w:space="0" w:color="auto"/>
            </w:tcBorders>
          </w:tcPr>
          <w:p w:rsidR="00240F23" w:rsidRPr="00FF412B" w:rsidRDefault="00571108" w:rsidP="00FF412B">
            <w:pPr>
              <w:jc w:val="center"/>
              <w:rPr>
                <w:rFonts w:asciiTheme="minorHAnsi" w:hAnsiTheme="minorHAnsi" w:cstheme="minorHAnsi"/>
                <w:sz w:val="20"/>
                <w:szCs w:val="20"/>
              </w:rPr>
            </w:pPr>
            <w:r>
              <w:rPr>
                <w:rFonts w:asciiTheme="minorHAnsi" w:hAnsiTheme="minorHAnsi" w:cstheme="minorHAnsi"/>
                <w:sz w:val="20"/>
                <w:szCs w:val="20"/>
              </w:rPr>
              <w:t>-5</w:t>
            </w:r>
          </w:p>
        </w:tc>
        <w:tc>
          <w:tcPr>
            <w:tcW w:w="1221" w:type="dxa"/>
            <w:tcBorders>
              <w:top w:val="single" w:sz="4" w:space="0" w:color="auto"/>
              <w:left w:val="single" w:sz="4" w:space="0" w:color="auto"/>
              <w:bottom w:val="single" w:sz="4" w:space="0" w:color="auto"/>
              <w:right w:val="single" w:sz="4" w:space="0" w:color="auto"/>
            </w:tcBorders>
          </w:tcPr>
          <w:p w:rsidR="00240F23" w:rsidRPr="00FF412B" w:rsidRDefault="00571108" w:rsidP="00FF412B">
            <w:pPr>
              <w:jc w:val="center"/>
              <w:rPr>
                <w:rFonts w:asciiTheme="minorHAnsi" w:hAnsiTheme="minorHAnsi" w:cstheme="minorHAnsi"/>
                <w:sz w:val="20"/>
                <w:szCs w:val="20"/>
              </w:rPr>
            </w:pPr>
            <w:r>
              <w:rPr>
                <w:rFonts w:asciiTheme="minorHAnsi" w:hAnsiTheme="minorHAnsi" w:cstheme="minorHAnsi"/>
                <w:sz w:val="20"/>
                <w:szCs w:val="20"/>
              </w:rPr>
              <w:t>-9</w:t>
            </w:r>
          </w:p>
        </w:tc>
      </w:tr>
      <w:tr w:rsidR="00240F23" w:rsidRPr="0057403C" w:rsidTr="00AF76F2">
        <w:tc>
          <w:tcPr>
            <w:tcW w:w="2211" w:type="dxa"/>
            <w:tcBorders>
              <w:top w:val="single" w:sz="4" w:space="0" w:color="auto"/>
              <w:bottom w:val="single" w:sz="4" w:space="0" w:color="auto"/>
              <w:right w:val="single" w:sz="4" w:space="0" w:color="auto"/>
            </w:tcBorders>
          </w:tcPr>
          <w:p w:rsidR="00240F23" w:rsidRPr="00FF412B" w:rsidRDefault="00240F23" w:rsidP="005A7FB0">
            <w:pPr>
              <w:rPr>
                <w:rFonts w:ascii="Calibri" w:hAnsi="Calibri" w:cs="Calibri"/>
                <w:b/>
                <w:sz w:val="20"/>
                <w:szCs w:val="20"/>
              </w:rPr>
            </w:pPr>
            <w:r w:rsidRPr="00FF412B">
              <w:rPr>
                <w:rFonts w:ascii="Calibri" w:hAnsi="Calibri" w:cs="Calibri"/>
                <w:b/>
                <w:sz w:val="20"/>
                <w:szCs w:val="20"/>
              </w:rPr>
              <w:t>Average</w:t>
            </w:r>
          </w:p>
        </w:tc>
        <w:tc>
          <w:tcPr>
            <w:tcW w:w="1252" w:type="dxa"/>
            <w:tcBorders>
              <w:top w:val="single" w:sz="4" w:space="0" w:color="auto"/>
              <w:left w:val="single" w:sz="4" w:space="0" w:color="auto"/>
              <w:bottom w:val="single" w:sz="4" w:space="0" w:color="auto"/>
              <w:right w:val="single" w:sz="4" w:space="0" w:color="auto"/>
            </w:tcBorders>
          </w:tcPr>
          <w:p w:rsidR="00240F23" w:rsidRPr="00812445" w:rsidRDefault="00240F23" w:rsidP="005A7FB0">
            <w:pPr>
              <w:jc w:val="center"/>
              <w:rPr>
                <w:rFonts w:asciiTheme="minorHAnsi" w:hAnsiTheme="minorHAnsi" w:cstheme="minorHAnsi"/>
                <w:sz w:val="20"/>
                <w:szCs w:val="20"/>
              </w:rPr>
            </w:pPr>
          </w:p>
        </w:tc>
        <w:tc>
          <w:tcPr>
            <w:tcW w:w="1304" w:type="dxa"/>
            <w:tcBorders>
              <w:top w:val="single" w:sz="4" w:space="0" w:color="auto"/>
              <w:left w:val="single" w:sz="4" w:space="0" w:color="auto"/>
              <w:bottom w:val="single" w:sz="4" w:space="0" w:color="auto"/>
              <w:right w:val="single" w:sz="4" w:space="0" w:color="auto"/>
            </w:tcBorders>
          </w:tcPr>
          <w:p w:rsidR="00240F23" w:rsidRPr="00FF412B" w:rsidRDefault="00571108" w:rsidP="00FF412B">
            <w:pPr>
              <w:jc w:val="center"/>
              <w:rPr>
                <w:rFonts w:asciiTheme="minorHAnsi" w:hAnsiTheme="minorHAnsi" w:cstheme="minorHAnsi"/>
                <w:b/>
                <w:sz w:val="20"/>
                <w:szCs w:val="20"/>
              </w:rPr>
            </w:pPr>
            <w:r>
              <w:rPr>
                <w:rFonts w:asciiTheme="minorHAnsi" w:hAnsiTheme="minorHAnsi" w:cstheme="minorHAnsi"/>
                <w:b/>
                <w:sz w:val="20"/>
                <w:szCs w:val="20"/>
              </w:rPr>
              <w:t>12.5</w:t>
            </w:r>
          </w:p>
        </w:tc>
        <w:tc>
          <w:tcPr>
            <w:tcW w:w="1519" w:type="dxa"/>
            <w:tcBorders>
              <w:top w:val="single" w:sz="4" w:space="0" w:color="auto"/>
              <w:left w:val="single" w:sz="4" w:space="0" w:color="auto"/>
              <w:bottom w:val="single" w:sz="4" w:space="0" w:color="auto"/>
              <w:right w:val="single" w:sz="4" w:space="0" w:color="auto"/>
            </w:tcBorders>
          </w:tcPr>
          <w:p w:rsidR="00240F23" w:rsidRPr="00FF412B" w:rsidRDefault="00571108" w:rsidP="00FF412B">
            <w:pPr>
              <w:jc w:val="center"/>
              <w:rPr>
                <w:rFonts w:asciiTheme="minorHAnsi" w:hAnsiTheme="minorHAnsi" w:cstheme="minorHAnsi"/>
                <w:b/>
                <w:sz w:val="20"/>
                <w:szCs w:val="20"/>
              </w:rPr>
            </w:pPr>
            <w:r>
              <w:rPr>
                <w:rFonts w:asciiTheme="minorHAnsi" w:hAnsiTheme="minorHAnsi" w:cstheme="minorHAnsi"/>
                <w:b/>
                <w:sz w:val="20"/>
                <w:szCs w:val="20"/>
              </w:rPr>
              <w:t>4.7</w:t>
            </w:r>
          </w:p>
        </w:tc>
        <w:tc>
          <w:tcPr>
            <w:tcW w:w="1221" w:type="dxa"/>
            <w:tcBorders>
              <w:top w:val="single" w:sz="4" w:space="0" w:color="auto"/>
              <w:left w:val="single" w:sz="4" w:space="0" w:color="auto"/>
              <w:bottom w:val="single" w:sz="4" w:space="0" w:color="auto"/>
              <w:right w:val="single" w:sz="4" w:space="0" w:color="auto"/>
            </w:tcBorders>
          </w:tcPr>
          <w:p w:rsidR="00240F23" w:rsidRPr="00FF412B" w:rsidRDefault="00571108" w:rsidP="00FF412B">
            <w:pPr>
              <w:jc w:val="center"/>
              <w:rPr>
                <w:rFonts w:asciiTheme="minorHAnsi" w:hAnsiTheme="minorHAnsi" w:cstheme="minorHAnsi"/>
                <w:b/>
                <w:sz w:val="20"/>
                <w:szCs w:val="20"/>
              </w:rPr>
            </w:pPr>
            <w:r>
              <w:rPr>
                <w:rFonts w:asciiTheme="minorHAnsi" w:hAnsiTheme="minorHAnsi" w:cstheme="minorHAnsi"/>
                <w:b/>
                <w:sz w:val="20"/>
                <w:szCs w:val="20"/>
              </w:rPr>
              <w:t>5.8</w:t>
            </w:r>
          </w:p>
        </w:tc>
      </w:tr>
      <w:tr w:rsidR="00240F23" w:rsidRPr="0057403C" w:rsidTr="00AF76F2">
        <w:tc>
          <w:tcPr>
            <w:tcW w:w="2211" w:type="dxa"/>
            <w:tcBorders>
              <w:top w:val="single" w:sz="4" w:space="0" w:color="auto"/>
              <w:bottom w:val="single" w:sz="4" w:space="0" w:color="auto"/>
              <w:right w:val="single" w:sz="4" w:space="0" w:color="auto"/>
            </w:tcBorders>
          </w:tcPr>
          <w:p w:rsidR="00240F23" w:rsidRPr="00FF412B" w:rsidRDefault="00240F23" w:rsidP="00FF412B">
            <w:pPr>
              <w:rPr>
                <w:rFonts w:ascii="Calibri" w:hAnsi="Calibri" w:cs="Calibri"/>
                <w:sz w:val="20"/>
                <w:szCs w:val="20"/>
              </w:rPr>
            </w:pPr>
            <w:r>
              <w:rPr>
                <w:rFonts w:ascii="Calibri" w:hAnsi="Calibri" w:cs="Calibri"/>
                <w:sz w:val="20"/>
                <w:szCs w:val="20"/>
              </w:rPr>
              <w:t>Standard Deviation</w:t>
            </w:r>
          </w:p>
        </w:tc>
        <w:tc>
          <w:tcPr>
            <w:tcW w:w="1252" w:type="dxa"/>
            <w:tcBorders>
              <w:top w:val="single" w:sz="4" w:space="0" w:color="auto"/>
              <w:left w:val="single" w:sz="4" w:space="0" w:color="auto"/>
              <w:bottom w:val="single" w:sz="4" w:space="0" w:color="auto"/>
              <w:right w:val="single" w:sz="4" w:space="0" w:color="auto"/>
            </w:tcBorders>
          </w:tcPr>
          <w:p w:rsidR="00240F23" w:rsidRPr="00812445" w:rsidRDefault="00240F23" w:rsidP="005A7FB0">
            <w:pPr>
              <w:jc w:val="center"/>
              <w:rPr>
                <w:rFonts w:asciiTheme="minorHAnsi" w:hAnsiTheme="minorHAnsi" w:cstheme="minorHAnsi"/>
                <w:sz w:val="20"/>
                <w:szCs w:val="20"/>
              </w:rPr>
            </w:pPr>
          </w:p>
        </w:tc>
        <w:tc>
          <w:tcPr>
            <w:tcW w:w="1304" w:type="dxa"/>
            <w:tcBorders>
              <w:top w:val="single" w:sz="4" w:space="0" w:color="auto"/>
              <w:left w:val="single" w:sz="4" w:space="0" w:color="auto"/>
              <w:bottom w:val="single" w:sz="4" w:space="0" w:color="auto"/>
              <w:right w:val="single" w:sz="4" w:space="0" w:color="auto"/>
            </w:tcBorders>
          </w:tcPr>
          <w:p w:rsidR="00240F23" w:rsidRPr="00FF412B" w:rsidRDefault="00571108" w:rsidP="00FF412B">
            <w:pPr>
              <w:jc w:val="center"/>
              <w:rPr>
                <w:rFonts w:asciiTheme="minorHAnsi" w:hAnsiTheme="minorHAnsi" w:cstheme="minorHAnsi"/>
                <w:sz w:val="20"/>
                <w:szCs w:val="20"/>
              </w:rPr>
            </w:pPr>
            <w:r>
              <w:rPr>
                <w:rFonts w:asciiTheme="minorHAnsi" w:hAnsiTheme="minorHAnsi" w:cstheme="minorHAnsi"/>
                <w:sz w:val="20"/>
                <w:szCs w:val="20"/>
              </w:rPr>
              <w:t>4.5</w:t>
            </w:r>
          </w:p>
        </w:tc>
        <w:tc>
          <w:tcPr>
            <w:tcW w:w="1519" w:type="dxa"/>
            <w:tcBorders>
              <w:top w:val="single" w:sz="4" w:space="0" w:color="auto"/>
              <w:left w:val="single" w:sz="4" w:space="0" w:color="auto"/>
              <w:bottom w:val="single" w:sz="4" w:space="0" w:color="auto"/>
              <w:right w:val="single" w:sz="4" w:space="0" w:color="auto"/>
            </w:tcBorders>
          </w:tcPr>
          <w:p w:rsidR="00240F23" w:rsidRPr="00FF412B" w:rsidRDefault="00571108" w:rsidP="00FF412B">
            <w:pPr>
              <w:jc w:val="center"/>
              <w:rPr>
                <w:rFonts w:asciiTheme="minorHAnsi" w:hAnsiTheme="minorHAnsi" w:cstheme="minorHAnsi"/>
                <w:sz w:val="20"/>
                <w:szCs w:val="20"/>
              </w:rPr>
            </w:pPr>
            <w:r>
              <w:rPr>
                <w:rFonts w:asciiTheme="minorHAnsi" w:hAnsiTheme="minorHAnsi" w:cstheme="minorHAnsi"/>
                <w:sz w:val="20"/>
                <w:szCs w:val="20"/>
              </w:rPr>
              <w:t>5.9</w:t>
            </w:r>
          </w:p>
        </w:tc>
        <w:tc>
          <w:tcPr>
            <w:tcW w:w="1221" w:type="dxa"/>
            <w:tcBorders>
              <w:top w:val="single" w:sz="4" w:space="0" w:color="auto"/>
              <w:left w:val="single" w:sz="4" w:space="0" w:color="auto"/>
              <w:bottom w:val="single" w:sz="4" w:space="0" w:color="auto"/>
              <w:right w:val="single" w:sz="4" w:space="0" w:color="auto"/>
            </w:tcBorders>
          </w:tcPr>
          <w:p w:rsidR="00240F23" w:rsidRPr="00FF412B" w:rsidRDefault="00571108" w:rsidP="00FF412B">
            <w:pPr>
              <w:jc w:val="center"/>
              <w:rPr>
                <w:rFonts w:asciiTheme="minorHAnsi" w:hAnsiTheme="minorHAnsi" w:cstheme="minorHAnsi"/>
                <w:sz w:val="20"/>
                <w:szCs w:val="20"/>
              </w:rPr>
            </w:pPr>
            <w:r>
              <w:rPr>
                <w:rFonts w:asciiTheme="minorHAnsi" w:hAnsiTheme="minorHAnsi" w:cstheme="minorHAnsi"/>
                <w:sz w:val="20"/>
                <w:szCs w:val="20"/>
              </w:rPr>
              <w:t>8.2</w:t>
            </w:r>
          </w:p>
        </w:tc>
      </w:tr>
    </w:tbl>
    <w:p w:rsidR="002D465B" w:rsidRPr="0057403C" w:rsidRDefault="002D465B" w:rsidP="002D465B">
      <w:pPr>
        <w:rPr>
          <w:rFonts w:asciiTheme="minorHAnsi" w:hAnsiTheme="minorHAnsi" w:cstheme="minorHAnsi"/>
          <w:sz w:val="20"/>
          <w:szCs w:val="20"/>
        </w:rPr>
      </w:pPr>
      <w:r w:rsidRPr="0057403C">
        <w:rPr>
          <w:rFonts w:asciiTheme="minorHAnsi" w:hAnsiTheme="minorHAnsi" w:cstheme="minorHAnsi"/>
          <w:sz w:val="20"/>
          <w:szCs w:val="20"/>
        </w:rPr>
        <w:t xml:space="preserve">Notes: </w:t>
      </w:r>
      <w:r>
        <w:rPr>
          <w:rFonts w:asciiTheme="minorHAnsi" w:hAnsiTheme="minorHAnsi" w:cstheme="minorHAnsi"/>
          <w:sz w:val="20"/>
          <w:szCs w:val="20"/>
        </w:rPr>
        <w:t>The sample period</w:t>
      </w:r>
      <w:r w:rsidR="00FF412B">
        <w:rPr>
          <w:rFonts w:asciiTheme="minorHAnsi" w:hAnsiTheme="minorHAnsi" w:cstheme="minorHAnsi"/>
          <w:sz w:val="20"/>
          <w:szCs w:val="20"/>
        </w:rPr>
        <w:t xml:space="preserve"> for this analysis</w:t>
      </w:r>
      <w:r>
        <w:rPr>
          <w:rFonts w:asciiTheme="minorHAnsi" w:hAnsiTheme="minorHAnsi" w:cstheme="minorHAnsi"/>
          <w:sz w:val="20"/>
          <w:szCs w:val="20"/>
        </w:rPr>
        <w:t xml:space="preserve"> was </w:t>
      </w:r>
      <w:r w:rsidRPr="0057403C">
        <w:rPr>
          <w:rFonts w:asciiTheme="minorHAnsi" w:hAnsiTheme="minorHAnsi" w:cstheme="minorHAnsi"/>
          <w:sz w:val="20"/>
          <w:szCs w:val="20"/>
        </w:rPr>
        <w:t xml:space="preserve">July 1994 through </w:t>
      </w:r>
      <w:r w:rsidR="00240F23">
        <w:rPr>
          <w:rFonts w:asciiTheme="minorHAnsi" w:hAnsiTheme="minorHAnsi" w:cstheme="minorHAnsi"/>
          <w:sz w:val="20"/>
          <w:szCs w:val="20"/>
        </w:rPr>
        <w:t>January 2011</w:t>
      </w:r>
      <w:r w:rsidR="00FF412B">
        <w:rPr>
          <w:rFonts w:asciiTheme="minorHAnsi" w:hAnsiTheme="minorHAnsi" w:cstheme="minorHAnsi"/>
          <w:sz w:val="20"/>
          <w:szCs w:val="20"/>
        </w:rPr>
        <w:t xml:space="preserve"> and the derivation and calculation of the Indicators are explained elsewhere in this paper</w:t>
      </w:r>
      <w:r>
        <w:rPr>
          <w:rFonts w:asciiTheme="minorHAnsi" w:hAnsiTheme="minorHAnsi" w:cstheme="minorHAnsi"/>
          <w:sz w:val="20"/>
          <w:szCs w:val="20"/>
        </w:rPr>
        <w:t xml:space="preserve">. </w:t>
      </w:r>
    </w:p>
    <w:p w:rsidR="002D465B" w:rsidRDefault="002D465B" w:rsidP="002D465B">
      <w:pPr>
        <w:rPr>
          <w:rFonts w:asciiTheme="minorHAnsi" w:hAnsiTheme="minorHAnsi" w:cstheme="minorHAnsi"/>
        </w:rPr>
      </w:pPr>
    </w:p>
    <w:p w:rsidR="00326492" w:rsidRDefault="00326492">
      <w:pPr>
        <w:rPr>
          <w:rFonts w:asciiTheme="minorHAnsi" w:hAnsiTheme="minorHAnsi" w:cstheme="minorHAnsi"/>
        </w:rPr>
      </w:pPr>
      <w:r>
        <w:rPr>
          <w:rFonts w:asciiTheme="minorHAnsi" w:hAnsiTheme="minorHAnsi" w:cstheme="minorHAnsi"/>
        </w:rPr>
        <w:t xml:space="preserve">An analysis of out-of-sample forecasting performance, using the period from February 2011 through November 2014, was also conducted, with results shown in Table 4. During this period, there were no strongly confirmed peaks or troughs in cyclical employment, so this analysis was based on how well the alternative indicators provided leading signals for the three weakly confirmed turning points in cyclical employment. </w:t>
      </w:r>
    </w:p>
    <w:p w:rsidR="00326492" w:rsidRDefault="00326492">
      <w:pPr>
        <w:rPr>
          <w:rFonts w:asciiTheme="minorHAnsi" w:hAnsiTheme="minorHAnsi" w:cstheme="minorHAnsi"/>
        </w:rPr>
      </w:pPr>
    </w:p>
    <w:p w:rsidR="00326492" w:rsidRDefault="00326492">
      <w:pPr>
        <w:rPr>
          <w:rFonts w:asciiTheme="minorHAnsi" w:hAnsiTheme="minorHAnsi" w:cstheme="minorHAnsi"/>
        </w:rPr>
      </w:pPr>
      <w:r>
        <w:rPr>
          <w:rFonts w:asciiTheme="minorHAnsi" w:hAnsiTheme="minorHAnsi" w:cstheme="minorHAnsi"/>
        </w:rPr>
        <w:br w:type="page"/>
      </w:r>
    </w:p>
    <w:p w:rsidR="00326492" w:rsidRPr="0049527F" w:rsidRDefault="00326492" w:rsidP="00326492">
      <w:pPr>
        <w:rPr>
          <w:rFonts w:asciiTheme="minorHAnsi" w:hAnsiTheme="minorHAnsi" w:cstheme="minorHAnsi"/>
          <w:b/>
        </w:rPr>
      </w:pPr>
      <w:r>
        <w:rPr>
          <w:rFonts w:asciiTheme="minorHAnsi" w:hAnsiTheme="minorHAnsi" w:cstheme="minorHAnsi"/>
        </w:rPr>
        <w:lastRenderedPageBreak/>
        <w:t xml:space="preserve">Table 4: </w:t>
      </w:r>
      <w:r w:rsidRPr="00812445">
        <w:rPr>
          <w:rFonts w:asciiTheme="minorHAnsi" w:hAnsiTheme="minorHAnsi" w:cstheme="minorHAnsi"/>
          <w:b/>
        </w:rPr>
        <w:t xml:space="preserve">Results of </w:t>
      </w:r>
      <w:r>
        <w:rPr>
          <w:rFonts w:asciiTheme="minorHAnsi" w:hAnsiTheme="minorHAnsi" w:cstheme="minorHAnsi"/>
          <w:b/>
        </w:rPr>
        <w:t>Analysis of Turning Point Signals between</w:t>
      </w:r>
      <w:r w:rsidRPr="00812445">
        <w:rPr>
          <w:rFonts w:asciiTheme="minorHAnsi" w:hAnsiTheme="minorHAnsi" w:cstheme="minorHAnsi"/>
          <w:b/>
        </w:rPr>
        <w:t xml:space="preserve"> </w:t>
      </w:r>
      <w:r>
        <w:rPr>
          <w:rFonts w:asciiTheme="minorHAnsi" w:hAnsiTheme="minorHAnsi" w:cstheme="minorHAnsi"/>
          <w:b/>
        </w:rPr>
        <w:t>P</w:t>
      </w:r>
      <w:r w:rsidRPr="0049527F">
        <w:rPr>
          <w:rFonts w:asciiTheme="minorHAnsi" w:hAnsiTheme="minorHAnsi" w:cstheme="minorHAnsi"/>
          <w:b/>
        </w:rPr>
        <w:t>otential Leading Indicator</w:t>
      </w:r>
      <w:r>
        <w:rPr>
          <w:rFonts w:asciiTheme="minorHAnsi" w:hAnsiTheme="minorHAnsi" w:cstheme="minorHAnsi"/>
          <w:b/>
        </w:rPr>
        <w:t xml:space="preserve">s and Cyclical Employment during </w:t>
      </w:r>
      <w:r w:rsidR="00964EF6">
        <w:rPr>
          <w:rFonts w:asciiTheme="minorHAnsi" w:hAnsiTheme="minorHAnsi" w:cstheme="minorHAnsi"/>
          <w:b/>
        </w:rPr>
        <w:t>the Out-of-sample Forecasting</w:t>
      </w:r>
      <w:r>
        <w:rPr>
          <w:rFonts w:asciiTheme="minorHAnsi" w:hAnsiTheme="minorHAnsi" w:cstheme="minorHAnsi"/>
          <w:b/>
        </w:rPr>
        <w:t xml:space="preserve"> Period</w:t>
      </w:r>
    </w:p>
    <w:p w:rsidR="00326492" w:rsidRDefault="00326492" w:rsidP="00326492">
      <w:pPr>
        <w:rPr>
          <w:rFonts w:asciiTheme="minorHAnsi" w:hAnsiTheme="minorHAnsi" w:cstheme="minorHAnsi"/>
        </w:rPr>
      </w:pPr>
    </w:p>
    <w:tbl>
      <w:tblPr>
        <w:tblStyle w:val="TableGrid"/>
        <w:tblW w:w="7507" w:type="dxa"/>
        <w:tblLook w:val="04A0" w:firstRow="1" w:lastRow="0" w:firstColumn="1" w:lastColumn="0" w:noHBand="0" w:noVBand="1"/>
      </w:tblPr>
      <w:tblGrid>
        <w:gridCol w:w="2211"/>
        <w:gridCol w:w="1252"/>
        <w:gridCol w:w="1304"/>
        <w:gridCol w:w="1519"/>
        <w:gridCol w:w="1221"/>
      </w:tblGrid>
      <w:tr w:rsidR="00326492" w:rsidTr="00BE76A9">
        <w:tc>
          <w:tcPr>
            <w:tcW w:w="2211" w:type="dxa"/>
            <w:tcBorders>
              <w:bottom w:val="single" w:sz="4" w:space="0" w:color="auto"/>
            </w:tcBorders>
          </w:tcPr>
          <w:p w:rsidR="00326492" w:rsidRPr="0057403C" w:rsidRDefault="00326492" w:rsidP="00BE76A9">
            <w:pPr>
              <w:rPr>
                <w:rFonts w:asciiTheme="minorHAnsi" w:hAnsiTheme="minorHAnsi" w:cstheme="minorHAnsi"/>
                <w:b/>
                <w:sz w:val="20"/>
                <w:szCs w:val="20"/>
              </w:rPr>
            </w:pPr>
            <w:r>
              <w:rPr>
                <w:rFonts w:asciiTheme="minorHAnsi" w:hAnsiTheme="minorHAnsi" w:cstheme="minorHAnsi"/>
                <w:b/>
                <w:sz w:val="20"/>
                <w:szCs w:val="20"/>
              </w:rPr>
              <w:t>Time Period</w:t>
            </w:r>
          </w:p>
        </w:tc>
        <w:tc>
          <w:tcPr>
            <w:tcW w:w="1252" w:type="dxa"/>
            <w:tcBorders>
              <w:bottom w:val="single" w:sz="4" w:space="0" w:color="auto"/>
            </w:tcBorders>
          </w:tcPr>
          <w:p w:rsidR="00326492" w:rsidRPr="00812445" w:rsidRDefault="00326492" w:rsidP="00BE76A9">
            <w:pPr>
              <w:jc w:val="center"/>
              <w:rPr>
                <w:rFonts w:asciiTheme="minorHAnsi" w:hAnsiTheme="minorHAnsi" w:cstheme="minorHAnsi"/>
                <w:sz w:val="20"/>
                <w:szCs w:val="20"/>
              </w:rPr>
            </w:pPr>
            <w:r>
              <w:rPr>
                <w:rFonts w:asciiTheme="minorHAnsi" w:hAnsiTheme="minorHAnsi" w:cstheme="minorHAnsi"/>
                <w:sz w:val="20"/>
                <w:szCs w:val="20"/>
              </w:rPr>
              <w:t>Turning Point Signal in Cyclical Employment</w:t>
            </w:r>
          </w:p>
        </w:tc>
        <w:tc>
          <w:tcPr>
            <w:tcW w:w="1304" w:type="dxa"/>
            <w:tcBorders>
              <w:bottom w:val="single" w:sz="4" w:space="0" w:color="auto"/>
            </w:tcBorders>
          </w:tcPr>
          <w:p w:rsidR="00326492" w:rsidRPr="0057403C" w:rsidRDefault="00326492" w:rsidP="00BE76A9">
            <w:pPr>
              <w:jc w:val="center"/>
              <w:rPr>
                <w:rFonts w:asciiTheme="minorHAnsi" w:hAnsiTheme="minorHAnsi" w:cstheme="minorHAnsi"/>
                <w:sz w:val="20"/>
                <w:szCs w:val="20"/>
              </w:rPr>
            </w:pPr>
            <w:r>
              <w:rPr>
                <w:rFonts w:asciiTheme="minorHAnsi" w:hAnsiTheme="minorHAnsi" w:cstheme="minorHAnsi"/>
                <w:sz w:val="20"/>
                <w:szCs w:val="20"/>
              </w:rPr>
              <w:t>Lead Time (months) for Five-Variable Equally Weighted Indicator</w:t>
            </w:r>
          </w:p>
        </w:tc>
        <w:tc>
          <w:tcPr>
            <w:tcW w:w="1519" w:type="dxa"/>
            <w:tcBorders>
              <w:bottom w:val="single" w:sz="4" w:space="0" w:color="auto"/>
            </w:tcBorders>
          </w:tcPr>
          <w:p w:rsidR="00326492" w:rsidRPr="0057403C" w:rsidRDefault="00326492" w:rsidP="00BE76A9">
            <w:pPr>
              <w:jc w:val="center"/>
              <w:rPr>
                <w:rFonts w:asciiTheme="minorHAnsi" w:hAnsiTheme="minorHAnsi" w:cstheme="minorHAnsi"/>
                <w:sz w:val="20"/>
                <w:szCs w:val="20"/>
              </w:rPr>
            </w:pPr>
            <w:r>
              <w:rPr>
                <w:rFonts w:asciiTheme="minorHAnsi" w:hAnsiTheme="minorHAnsi" w:cstheme="minorHAnsi"/>
                <w:sz w:val="20"/>
                <w:szCs w:val="20"/>
              </w:rPr>
              <w:t>Lead Time (months) for Econometrically Estimated Indicator</w:t>
            </w:r>
          </w:p>
        </w:tc>
        <w:tc>
          <w:tcPr>
            <w:tcW w:w="1221" w:type="dxa"/>
            <w:tcBorders>
              <w:bottom w:val="single" w:sz="4" w:space="0" w:color="auto"/>
            </w:tcBorders>
          </w:tcPr>
          <w:p w:rsidR="00326492" w:rsidRPr="0057403C" w:rsidRDefault="00326492" w:rsidP="00BE76A9">
            <w:pPr>
              <w:jc w:val="center"/>
              <w:rPr>
                <w:rFonts w:asciiTheme="minorHAnsi" w:hAnsiTheme="minorHAnsi" w:cstheme="minorHAnsi"/>
                <w:sz w:val="20"/>
                <w:szCs w:val="20"/>
              </w:rPr>
            </w:pPr>
            <w:r>
              <w:rPr>
                <w:rFonts w:asciiTheme="minorHAnsi" w:hAnsiTheme="minorHAnsi" w:cstheme="minorHAnsi"/>
                <w:sz w:val="20"/>
                <w:szCs w:val="20"/>
              </w:rPr>
              <w:t>Lead Time (months) for Current Indicator</w:t>
            </w:r>
          </w:p>
        </w:tc>
      </w:tr>
      <w:tr w:rsidR="00326492" w:rsidRPr="0057403C" w:rsidTr="00BE76A9">
        <w:tc>
          <w:tcPr>
            <w:tcW w:w="2211" w:type="dxa"/>
            <w:tcBorders>
              <w:bottom w:val="single" w:sz="4" w:space="0" w:color="auto"/>
              <w:right w:val="single" w:sz="4" w:space="0" w:color="auto"/>
            </w:tcBorders>
          </w:tcPr>
          <w:p w:rsidR="00326492" w:rsidRPr="0057403C" w:rsidRDefault="00964EF6" w:rsidP="00964EF6">
            <w:pPr>
              <w:rPr>
                <w:rFonts w:asciiTheme="minorHAnsi" w:hAnsiTheme="minorHAnsi" w:cstheme="minorHAnsi"/>
                <w:sz w:val="20"/>
                <w:szCs w:val="20"/>
              </w:rPr>
            </w:pPr>
            <w:r>
              <w:rPr>
                <w:rFonts w:asciiTheme="minorHAnsi" w:hAnsiTheme="minorHAnsi" w:cstheme="minorHAnsi"/>
                <w:sz w:val="20"/>
                <w:szCs w:val="20"/>
              </w:rPr>
              <w:t>July 2010</w:t>
            </w:r>
          </w:p>
        </w:tc>
        <w:tc>
          <w:tcPr>
            <w:tcW w:w="1252" w:type="dxa"/>
            <w:tcBorders>
              <w:left w:val="single" w:sz="4" w:space="0" w:color="auto"/>
              <w:bottom w:val="single" w:sz="4" w:space="0" w:color="auto"/>
              <w:right w:val="single" w:sz="4" w:space="0" w:color="auto"/>
            </w:tcBorders>
          </w:tcPr>
          <w:p w:rsidR="00326492" w:rsidRPr="00812445" w:rsidRDefault="00326492" w:rsidP="00BE76A9">
            <w:pPr>
              <w:jc w:val="center"/>
              <w:rPr>
                <w:rFonts w:asciiTheme="minorHAnsi" w:hAnsiTheme="minorHAnsi" w:cstheme="minorHAnsi"/>
                <w:sz w:val="20"/>
                <w:szCs w:val="20"/>
              </w:rPr>
            </w:pPr>
          </w:p>
        </w:tc>
        <w:tc>
          <w:tcPr>
            <w:tcW w:w="1304" w:type="dxa"/>
            <w:tcBorders>
              <w:left w:val="single" w:sz="4" w:space="0" w:color="auto"/>
              <w:bottom w:val="single" w:sz="4" w:space="0" w:color="auto"/>
              <w:right w:val="single" w:sz="4" w:space="0" w:color="auto"/>
            </w:tcBorders>
          </w:tcPr>
          <w:p w:rsidR="00326492" w:rsidRPr="007A5289" w:rsidRDefault="00326492" w:rsidP="00BE76A9">
            <w:pPr>
              <w:jc w:val="center"/>
              <w:rPr>
                <w:rFonts w:asciiTheme="minorHAnsi" w:hAnsiTheme="minorHAnsi" w:cstheme="minorHAnsi"/>
                <w:sz w:val="20"/>
                <w:szCs w:val="20"/>
              </w:rPr>
            </w:pPr>
          </w:p>
        </w:tc>
        <w:tc>
          <w:tcPr>
            <w:tcW w:w="1519" w:type="dxa"/>
            <w:tcBorders>
              <w:left w:val="single" w:sz="4" w:space="0" w:color="auto"/>
              <w:bottom w:val="single" w:sz="4" w:space="0" w:color="auto"/>
              <w:right w:val="single" w:sz="4" w:space="0" w:color="auto"/>
            </w:tcBorders>
          </w:tcPr>
          <w:p w:rsidR="00326492" w:rsidRPr="007A5289" w:rsidRDefault="00964EF6" w:rsidP="00BE76A9">
            <w:pPr>
              <w:jc w:val="center"/>
              <w:rPr>
                <w:rFonts w:asciiTheme="minorHAnsi" w:hAnsiTheme="minorHAnsi" w:cstheme="minorHAnsi"/>
                <w:sz w:val="20"/>
                <w:szCs w:val="20"/>
              </w:rPr>
            </w:pPr>
            <w:r>
              <w:rPr>
                <w:rFonts w:asciiTheme="minorHAnsi" w:hAnsiTheme="minorHAnsi" w:cstheme="minorHAnsi"/>
                <w:sz w:val="20"/>
                <w:szCs w:val="20"/>
              </w:rPr>
              <w:t>Extra strong trough</w:t>
            </w:r>
          </w:p>
        </w:tc>
        <w:tc>
          <w:tcPr>
            <w:tcW w:w="1221" w:type="dxa"/>
            <w:tcBorders>
              <w:left w:val="single" w:sz="4" w:space="0" w:color="auto"/>
              <w:bottom w:val="single" w:sz="4" w:space="0" w:color="auto"/>
              <w:right w:val="single" w:sz="4" w:space="0" w:color="auto"/>
            </w:tcBorders>
          </w:tcPr>
          <w:p w:rsidR="00326492" w:rsidRPr="007A5289" w:rsidRDefault="00326492" w:rsidP="00BE76A9">
            <w:pPr>
              <w:jc w:val="center"/>
              <w:rPr>
                <w:rFonts w:asciiTheme="minorHAnsi" w:hAnsiTheme="minorHAnsi" w:cstheme="minorHAnsi"/>
                <w:sz w:val="20"/>
                <w:szCs w:val="20"/>
              </w:rPr>
            </w:pPr>
          </w:p>
        </w:tc>
      </w:tr>
      <w:tr w:rsidR="00326492" w:rsidRPr="0057403C" w:rsidTr="00BE76A9">
        <w:tc>
          <w:tcPr>
            <w:tcW w:w="2211" w:type="dxa"/>
            <w:tcBorders>
              <w:top w:val="single" w:sz="4" w:space="0" w:color="auto"/>
              <w:bottom w:val="single" w:sz="4" w:space="0" w:color="auto"/>
              <w:right w:val="single" w:sz="4" w:space="0" w:color="auto"/>
            </w:tcBorders>
          </w:tcPr>
          <w:p w:rsidR="00326492" w:rsidRPr="00C56FE5" w:rsidRDefault="00964EF6" w:rsidP="00BE76A9">
            <w:pPr>
              <w:rPr>
                <w:rFonts w:ascii="Calibri" w:hAnsi="Calibri" w:cs="Calibri"/>
                <w:sz w:val="20"/>
                <w:szCs w:val="20"/>
                <w:vertAlign w:val="superscript"/>
              </w:rPr>
            </w:pPr>
            <w:r>
              <w:rPr>
                <w:rFonts w:asciiTheme="minorHAnsi" w:hAnsiTheme="minorHAnsi" w:cstheme="minorHAnsi"/>
                <w:sz w:val="20"/>
                <w:szCs w:val="20"/>
              </w:rPr>
              <w:t>January 2011</w:t>
            </w:r>
          </w:p>
        </w:tc>
        <w:tc>
          <w:tcPr>
            <w:tcW w:w="1252" w:type="dxa"/>
            <w:tcBorders>
              <w:top w:val="single" w:sz="4" w:space="0" w:color="auto"/>
              <w:left w:val="single" w:sz="4" w:space="0" w:color="auto"/>
              <w:bottom w:val="single" w:sz="4" w:space="0" w:color="auto"/>
              <w:right w:val="single" w:sz="4" w:space="0" w:color="auto"/>
            </w:tcBorders>
          </w:tcPr>
          <w:p w:rsidR="00326492" w:rsidRPr="00812445" w:rsidRDefault="00326492" w:rsidP="00BE76A9">
            <w:pPr>
              <w:jc w:val="center"/>
              <w:rPr>
                <w:rFonts w:asciiTheme="minorHAnsi" w:hAnsiTheme="minorHAnsi" w:cstheme="minorHAnsi"/>
                <w:sz w:val="20"/>
                <w:szCs w:val="20"/>
              </w:rPr>
            </w:pPr>
          </w:p>
        </w:tc>
        <w:tc>
          <w:tcPr>
            <w:tcW w:w="1304" w:type="dxa"/>
            <w:tcBorders>
              <w:top w:val="single" w:sz="4" w:space="0" w:color="auto"/>
              <w:left w:val="single" w:sz="4" w:space="0" w:color="auto"/>
              <w:bottom w:val="single" w:sz="4" w:space="0" w:color="auto"/>
              <w:right w:val="single" w:sz="4" w:space="0" w:color="auto"/>
            </w:tcBorders>
          </w:tcPr>
          <w:p w:rsidR="00326492" w:rsidRPr="00AF76F2" w:rsidRDefault="00326492" w:rsidP="00BE76A9">
            <w:pPr>
              <w:jc w:val="center"/>
              <w:rPr>
                <w:rFonts w:asciiTheme="minorHAnsi" w:hAnsiTheme="minorHAnsi" w:cstheme="minorHAnsi"/>
                <w:sz w:val="20"/>
                <w:szCs w:val="20"/>
              </w:rPr>
            </w:pPr>
          </w:p>
        </w:tc>
        <w:tc>
          <w:tcPr>
            <w:tcW w:w="1519" w:type="dxa"/>
            <w:tcBorders>
              <w:top w:val="single" w:sz="4" w:space="0" w:color="auto"/>
              <w:left w:val="single" w:sz="4" w:space="0" w:color="auto"/>
              <w:bottom w:val="single" w:sz="4" w:space="0" w:color="auto"/>
              <w:right w:val="single" w:sz="4" w:space="0" w:color="auto"/>
            </w:tcBorders>
          </w:tcPr>
          <w:p w:rsidR="00326492" w:rsidRPr="0057403C" w:rsidRDefault="003D7992" w:rsidP="00BE76A9">
            <w:pPr>
              <w:jc w:val="center"/>
              <w:rPr>
                <w:rFonts w:asciiTheme="minorHAnsi" w:hAnsiTheme="minorHAnsi" w:cstheme="minorHAnsi"/>
                <w:sz w:val="20"/>
                <w:szCs w:val="20"/>
              </w:rPr>
            </w:pPr>
            <w:r>
              <w:rPr>
                <w:rFonts w:asciiTheme="minorHAnsi" w:hAnsiTheme="minorHAnsi" w:cstheme="minorHAnsi"/>
                <w:sz w:val="20"/>
                <w:szCs w:val="20"/>
              </w:rPr>
              <w:t>E</w:t>
            </w:r>
            <w:r w:rsidR="00964EF6" w:rsidRPr="00AF76F2">
              <w:rPr>
                <w:rFonts w:asciiTheme="minorHAnsi" w:hAnsiTheme="minorHAnsi" w:cstheme="minorHAnsi"/>
                <w:sz w:val="20"/>
                <w:szCs w:val="20"/>
              </w:rPr>
              <w:t xml:space="preserve">xtra </w:t>
            </w:r>
            <w:r w:rsidR="00964EF6">
              <w:rPr>
                <w:rFonts w:asciiTheme="minorHAnsi" w:hAnsiTheme="minorHAnsi" w:cstheme="minorHAnsi"/>
                <w:sz w:val="20"/>
                <w:szCs w:val="20"/>
              </w:rPr>
              <w:t xml:space="preserve">weak </w:t>
            </w:r>
            <w:r w:rsidR="00964EF6" w:rsidRPr="00AF76F2">
              <w:rPr>
                <w:rFonts w:asciiTheme="minorHAnsi" w:hAnsiTheme="minorHAnsi" w:cstheme="minorHAnsi"/>
                <w:sz w:val="20"/>
                <w:szCs w:val="20"/>
              </w:rPr>
              <w:t>peak</w:t>
            </w:r>
          </w:p>
        </w:tc>
        <w:tc>
          <w:tcPr>
            <w:tcW w:w="1221" w:type="dxa"/>
            <w:tcBorders>
              <w:top w:val="single" w:sz="4" w:space="0" w:color="auto"/>
              <w:left w:val="single" w:sz="4" w:space="0" w:color="auto"/>
              <w:bottom w:val="single" w:sz="4" w:space="0" w:color="auto"/>
              <w:right w:val="single" w:sz="4" w:space="0" w:color="auto"/>
            </w:tcBorders>
          </w:tcPr>
          <w:p w:rsidR="00326492" w:rsidRPr="0057403C" w:rsidRDefault="00326492" w:rsidP="00BE76A9">
            <w:pPr>
              <w:jc w:val="center"/>
              <w:rPr>
                <w:rFonts w:asciiTheme="minorHAnsi" w:hAnsiTheme="minorHAnsi" w:cstheme="minorHAnsi"/>
                <w:sz w:val="20"/>
                <w:szCs w:val="20"/>
              </w:rPr>
            </w:pPr>
          </w:p>
        </w:tc>
      </w:tr>
      <w:tr w:rsidR="00326492" w:rsidRPr="0057403C" w:rsidTr="00BE76A9">
        <w:tc>
          <w:tcPr>
            <w:tcW w:w="2211" w:type="dxa"/>
            <w:tcBorders>
              <w:top w:val="single" w:sz="4" w:space="0" w:color="auto"/>
              <w:bottom w:val="single" w:sz="4" w:space="0" w:color="auto"/>
              <w:right w:val="single" w:sz="4" w:space="0" w:color="auto"/>
            </w:tcBorders>
          </w:tcPr>
          <w:p w:rsidR="00326492" w:rsidRPr="0057403C" w:rsidRDefault="00964EF6" w:rsidP="00BE76A9">
            <w:pPr>
              <w:rPr>
                <w:rFonts w:asciiTheme="minorHAnsi" w:hAnsiTheme="minorHAnsi" w:cstheme="minorHAnsi"/>
                <w:sz w:val="20"/>
                <w:szCs w:val="20"/>
              </w:rPr>
            </w:pPr>
            <w:r>
              <w:rPr>
                <w:rFonts w:asciiTheme="minorHAnsi" w:hAnsiTheme="minorHAnsi" w:cstheme="minorHAnsi"/>
                <w:sz w:val="20"/>
                <w:szCs w:val="20"/>
              </w:rPr>
              <w:t>October 2011</w:t>
            </w:r>
          </w:p>
        </w:tc>
        <w:tc>
          <w:tcPr>
            <w:tcW w:w="1252" w:type="dxa"/>
            <w:tcBorders>
              <w:top w:val="single" w:sz="4" w:space="0" w:color="auto"/>
              <w:left w:val="single" w:sz="4" w:space="0" w:color="auto"/>
              <w:bottom w:val="single" w:sz="4" w:space="0" w:color="auto"/>
              <w:right w:val="single" w:sz="4" w:space="0" w:color="auto"/>
            </w:tcBorders>
          </w:tcPr>
          <w:p w:rsidR="00326492" w:rsidRPr="00812445" w:rsidRDefault="00326492" w:rsidP="00BE76A9">
            <w:pPr>
              <w:jc w:val="center"/>
              <w:rPr>
                <w:rFonts w:asciiTheme="minorHAnsi" w:hAnsiTheme="minorHAnsi" w:cstheme="minorHAnsi"/>
                <w:sz w:val="20"/>
                <w:szCs w:val="20"/>
              </w:rPr>
            </w:pPr>
          </w:p>
        </w:tc>
        <w:tc>
          <w:tcPr>
            <w:tcW w:w="1304" w:type="dxa"/>
            <w:tcBorders>
              <w:top w:val="single" w:sz="4" w:space="0" w:color="auto"/>
              <w:left w:val="single" w:sz="4" w:space="0" w:color="auto"/>
              <w:bottom w:val="single" w:sz="4" w:space="0" w:color="auto"/>
              <w:right w:val="single" w:sz="4" w:space="0" w:color="auto"/>
            </w:tcBorders>
          </w:tcPr>
          <w:p w:rsidR="00326492" w:rsidRPr="007A5289" w:rsidRDefault="00964EF6" w:rsidP="00BE76A9">
            <w:pPr>
              <w:jc w:val="center"/>
              <w:rPr>
                <w:rFonts w:asciiTheme="minorHAnsi" w:hAnsiTheme="minorHAnsi" w:cstheme="minorHAnsi"/>
                <w:sz w:val="20"/>
                <w:szCs w:val="20"/>
              </w:rPr>
            </w:pPr>
            <w:r>
              <w:rPr>
                <w:rFonts w:asciiTheme="minorHAnsi" w:hAnsiTheme="minorHAnsi" w:cstheme="minorHAnsi"/>
                <w:sz w:val="20"/>
                <w:szCs w:val="20"/>
              </w:rPr>
              <w:t>Extra weak trough</w:t>
            </w:r>
          </w:p>
        </w:tc>
        <w:tc>
          <w:tcPr>
            <w:tcW w:w="1519" w:type="dxa"/>
            <w:tcBorders>
              <w:top w:val="single" w:sz="4" w:space="0" w:color="auto"/>
              <w:left w:val="single" w:sz="4" w:space="0" w:color="auto"/>
              <w:bottom w:val="single" w:sz="4" w:space="0" w:color="auto"/>
              <w:right w:val="single" w:sz="4" w:space="0" w:color="auto"/>
            </w:tcBorders>
          </w:tcPr>
          <w:p w:rsidR="00326492" w:rsidRPr="007A5289" w:rsidRDefault="00964EF6" w:rsidP="00BE76A9">
            <w:pPr>
              <w:jc w:val="center"/>
              <w:rPr>
                <w:rFonts w:asciiTheme="minorHAnsi" w:hAnsiTheme="minorHAnsi" w:cstheme="minorHAnsi"/>
                <w:sz w:val="20"/>
                <w:szCs w:val="20"/>
              </w:rPr>
            </w:pPr>
            <w:r>
              <w:rPr>
                <w:rFonts w:asciiTheme="minorHAnsi" w:hAnsiTheme="minorHAnsi" w:cstheme="minorHAnsi"/>
                <w:sz w:val="20"/>
                <w:szCs w:val="20"/>
              </w:rPr>
              <w:t>Extra weak trough</w:t>
            </w:r>
          </w:p>
        </w:tc>
        <w:tc>
          <w:tcPr>
            <w:tcW w:w="1221" w:type="dxa"/>
            <w:tcBorders>
              <w:top w:val="single" w:sz="4" w:space="0" w:color="auto"/>
              <w:left w:val="single" w:sz="4" w:space="0" w:color="auto"/>
              <w:bottom w:val="single" w:sz="4" w:space="0" w:color="auto"/>
              <w:right w:val="single" w:sz="4" w:space="0" w:color="auto"/>
            </w:tcBorders>
          </w:tcPr>
          <w:p w:rsidR="00326492" w:rsidRPr="007A5289" w:rsidRDefault="00326492" w:rsidP="00BE76A9">
            <w:pPr>
              <w:jc w:val="center"/>
              <w:rPr>
                <w:rFonts w:asciiTheme="minorHAnsi" w:hAnsiTheme="minorHAnsi" w:cstheme="minorHAnsi"/>
                <w:sz w:val="20"/>
                <w:szCs w:val="20"/>
              </w:rPr>
            </w:pPr>
          </w:p>
        </w:tc>
      </w:tr>
      <w:tr w:rsidR="00326492" w:rsidRPr="0057403C" w:rsidTr="00BE76A9">
        <w:tc>
          <w:tcPr>
            <w:tcW w:w="2211" w:type="dxa"/>
            <w:tcBorders>
              <w:top w:val="single" w:sz="4" w:space="0" w:color="auto"/>
              <w:bottom w:val="single" w:sz="4" w:space="0" w:color="auto"/>
              <w:right w:val="single" w:sz="4" w:space="0" w:color="auto"/>
            </w:tcBorders>
          </w:tcPr>
          <w:p w:rsidR="00326492" w:rsidRPr="00B84D4B" w:rsidRDefault="00964EF6" w:rsidP="00964EF6">
            <w:pPr>
              <w:rPr>
                <w:rFonts w:ascii="Calibri" w:hAnsi="Calibri" w:cs="Calibri"/>
                <w:sz w:val="20"/>
                <w:szCs w:val="20"/>
              </w:rPr>
            </w:pPr>
            <w:r>
              <w:rPr>
                <w:rFonts w:asciiTheme="minorHAnsi" w:hAnsiTheme="minorHAnsi" w:cstheme="minorHAnsi"/>
                <w:sz w:val="20"/>
                <w:szCs w:val="20"/>
              </w:rPr>
              <w:t>May 2012</w:t>
            </w:r>
          </w:p>
        </w:tc>
        <w:tc>
          <w:tcPr>
            <w:tcW w:w="1252" w:type="dxa"/>
            <w:tcBorders>
              <w:top w:val="single" w:sz="4" w:space="0" w:color="auto"/>
              <w:left w:val="single" w:sz="4" w:space="0" w:color="auto"/>
              <w:bottom w:val="single" w:sz="4" w:space="0" w:color="auto"/>
              <w:right w:val="single" w:sz="4" w:space="0" w:color="auto"/>
            </w:tcBorders>
          </w:tcPr>
          <w:p w:rsidR="00326492" w:rsidRPr="00812445" w:rsidRDefault="00326492" w:rsidP="00BE76A9">
            <w:pPr>
              <w:jc w:val="center"/>
              <w:rPr>
                <w:rFonts w:asciiTheme="minorHAnsi" w:hAnsiTheme="minorHAnsi" w:cstheme="minorHAnsi"/>
                <w:sz w:val="20"/>
                <w:szCs w:val="20"/>
              </w:rPr>
            </w:pPr>
          </w:p>
        </w:tc>
        <w:tc>
          <w:tcPr>
            <w:tcW w:w="1304" w:type="dxa"/>
            <w:tcBorders>
              <w:top w:val="single" w:sz="4" w:space="0" w:color="auto"/>
              <w:left w:val="single" w:sz="4" w:space="0" w:color="auto"/>
              <w:bottom w:val="single" w:sz="4" w:space="0" w:color="auto"/>
              <w:right w:val="single" w:sz="4" w:space="0" w:color="auto"/>
            </w:tcBorders>
          </w:tcPr>
          <w:p w:rsidR="00326492" w:rsidRPr="00AF76F2" w:rsidRDefault="00326492" w:rsidP="00BE76A9">
            <w:pPr>
              <w:jc w:val="center"/>
              <w:rPr>
                <w:rFonts w:asciiTheme="minorHAnsi" w:hAnsiTheme="minorHAnsi" w:cstheme="minorHAnsi"/>
                <w:sz w:val="20"/>
                <w:szCs w:val="20"/>
              </w:rPr>
            </w:pPr>
          </w:p>
        </w:tc>
        <w:tc>
          <w:tcPr>
            <w:tcW w:w="1519" w:type="dxa"/>
            <w:tcBorders>
              <w:top w:val="single" w:sz="4" w:space="0" w:color="auto"/>
              <w:left w:val="single" w:sz="4" w:space="0" w:color="auto"/>
              <w:bottom w:val="single" w:sz="4" w:space="0" w:color="auto"/>
              <w:right w:val="single" w:sz="4" w:space="0" w:color="auto"/>
            </w:tcBorders>
          </w:tcPr>
          <w:p w:rsidR="00326492" w:rsidRPr="0057403C" w:rsidRDefault="00326492" w:rsidP="00BE76A9">
            <w:pPr>
              <w:jc w:val="center"/>
              <w:rPr>
                <w:rFonts w:asciiTheme="minorHAnsi" w:hAnsiTheme="minorHAnsi" w:cstheme="minorHAnsi"/>
                <w:sz w:val="20"/>
                <w:szCs w:val="20"/>
              </w:rPr>
            </w:pPr>
          </w:p>
        </w:tc>
        <w:tc>
          <w:tcPr>
            <w:tcW w:w="1221" w:type="dxa"/>
            <w:tcBorders>
              <w:top w:val="single" w:sz="4" w:space="0" w:color="auto"/>
              <w:left w:val="single" w:sz="4" w:space="0" w:color="auto"/>
              <w:bottom w:val="single" w:sz="4" w:space="0" w:color="auto"/>
              <w:right w:val="single" w:sz="4" w:space="0" w:color="auto"/>
            </w:tcBorders>
          </w:tcPr>
          <w:p w:rsidR="00326492" w:rsidRPr="0057403C" w:rsidRDefault="00964EF6" w:rsidP="00BE76A9">
            <w:pPr>
              <w:jc w:val="center"/>
              <w:rPr>
                <w:rFonts w:asciiTheme="minorHAnsi" w:hAnsiTheme="minorHAnsi" w:cstheme="minorHAnsi"/>
                <w:sz w:val="20"/>
                <w:szCs w:val="20"/>
              </w:rPr>
            </w:pPr>
            <w:r>
              <w:rPr>
                <w:rFonts w:asciiTheme="minorHAnsi" w:hAnsiTheme="minorHAnsi" w:cstheme="minorHAnsi"/>
                <w:sz w:val="20"/>
                <w:szCs w:val="20"/>
              </w:rPr>
              <w:t>Extra strong trough</w:t>
            </w:r>
          </w:p>
        </w:tc>
      </w:tr>
      <w:tr w:rsidR="00326492" w:rsidRPr="0057403C" w:rsidTr="00BE76A9">
        <w:tc>
          <w:tcPr>
            <w:tcW w:w="2211" w:type="dxa"/>
            <w:tcBorders>
              <w:top w:val="single" w:sz="4" w:space="0" w:color="auto"/>
              <w:bottom w:val="single" w:sz="4" w:space="0" w:color="auto"/>
              <w:right w:val="single" w:sz="4" w:space="0" w:color="auto"/>
            </w:tcBorders>
          </w:tcPr>
          <w:p w:rsidR="00326492" w:rsidRPr="002D2106" w:rsidRDefault="00964EF6" w:rsidP="00BE76A9">
            <w:pPr>
              <w:rPr>
                <w:rFonts w:ascii="Calibri" w:hAnsi="Calibri" w:cs="Calibri"/>
                <w:sz w:val="20"/>
                <w:szCs w:val="20"/>
              </w:rPr>
            </w:pPr>
            <w:r>
              <w:rPr>
                <w:rFonts w:asciiTheme="minorHAnsi" w:hAnsiTheme="minorHAnsi" w:cstheme="minorHAnsi"/>
                <w:sz w:val="20"/>
                <w:szCs w:val="20"/>
              </w:rPr>
              <w:t>February</w:t>
            </w:r>
            <w:r w:rsidR="00326492">
              <w:rPr>
                <w:rFonts w:asciiTheme="minorHAnsi" w:hAnsiTheme="minorHAnsi" w:cstheme="minorHAnsi"/>
                <w:sz w:val="20"/>
                <w:szCs w:val="20"/>
              </w:rPr>
              <w:t xml:space="preserve"> 20</w:t>
            </w:r>
            <w:r>
              <w:rPr>
                <w:rFonts w:asciiTheme="minorHAnsi" w:hAnsiTheme="minorHAnsi" w:cstheme="minorHAnsi"/>
                <w:sz w:val="20"/>
                <w:szCs w:val="20"/>
              </w:rPr>
              <w:t>13</w:t>
            </w:r>
          </w:p>
        </w:tc>
        <w:tc>
          <w:tcPr>
            <w:tcW w:w="1252" w:type="dxa"/>
            <w:tcBorders>
              <w:top w:val="single" w:sz="4" w:space="0" w:color="auto"/>
              <w:left w:val="single" w:sz="4" w:space="0" w:color="auto"/>
              <w:bottom w:val="single" w:sz="4" w:space="0" w:color="auto"/>
              <w:right w:val="single" w:sz="4" w:space="0" w:color="auto"/>
            </w:tcBorders>
          </w:tcPr>
          <w:p w:rsidR="00326492" w:rsidRPr="00812445" w:rsidRDefault="00964EF6" w:rsidP="00BE76A9">
            <w:pPr>
              <w:jc w:val="center"/>
              <w:rPr>
                <w:rFonts w:asciiTheme="minorHAnsi" w:hAnsiTheme="minorHAnsi" w:cstheme="minorHAnsi"/>
                <w:sz w:val="20"/>
                <w:szCs w:val="20"/>
              </w:rPr>
            </w:pPr>
            <w:r>
              <w:rPr>
                <w:rFonts w:asciiTheme="minorHAnsi" w:hAnsiTheme="minorHAnsi" w:cstheme="minorHAnsi"/>
                <w:sz w:val="20"/>
                <w:szCs w:val="20"/>
              </w:rPr>
              <w:t>Weak p</w:t>
            </w:r>
            <w:r w:rsidR="00326492">
              <w:rPr>
                <w:rFonts w:asciiTheme="minorHAnsi" w:hAnsiTheme="minorHAnsi" w:cstheme="minorHAnsi"/>
                <w:sz w:val="20"/>
                <w:szCs w:val="20"/>
              </w:rPr>
              <w:t>eak</w:t>
            </w:r>
          </w:p>
        </w:tc>
        <w:tc>
          <w:tcPr>
            <w:tcW w:w="1304" w:type="dxa"/>
            <w:tcBorders>
              <w:top w:val="single" w:sz="4" w:space="0" w:color="auto"/>
              <w:left w:val="single" w:sz="4" w:space="0" w:color="auto"/>
              <w:bottom w:val="single" w:sz="4" w:space="0" w:color="auto"/>
              <w:right w:val="single" w:sz="4" w:space="0" w:color="auto"/>
            </w:tcBorders>
          </w:tcPr>
          <w:p w:rsidR="00326492" w:rsidRPr="00DA1BFD" w:rsidRDefault="00964EF6" w:rsidP="00BE76A9">
            <w:pPr>
              <w:jc w:val="center"/>
              <w:rPr>
                <w:rFonts w:asciiTheme="minorHAnsi" w:hAnsiTheme="minorHAnsi" w:cstheme="minorHAnsi"/>
                <w:sz w:val="20"/>
                <w:szCs w:val="20"/>
              </w:rPr>
            </w:pPr>
            <w:r>
              <w:rPr>
                <w:rFonts w:asciiTheme="minorHAnsi" w:hAnsiTheme="minorHAnsi" w:cstheme="minorHAnsi"/>
                <w:sz w:val="20"/>
                <w:szCs w:val="20"/>
              </w:rPr>
              <w:t>12</w:t>
            </w:r>
          </w:p>
        </w:tc>
        <w:tc>
          <w:tcPr>
            <w:tcW w:w="1519" w:type="dxa"/>
            <w:tcBorders>
              <w:top w:val="single" w:sz="4" w:space="0" w:color="auto"/>
              <w:left w:val="single" w:sz="4" w:space="0" w:color="auto"/>
              <w:bottom w:val="single" w:sz="4" w:space="0" w:color="auto"/>
              <w:right w:val="single" w:sz="4" w:space="0" w:color="auto"/>
            </w:tcBorders>
          </w:tcPr>
          <w:p w:rsidR="00326492" w:rsidRPr="00DA1BFD" w:rsidRDefault="00964EF6" w:rsidP="00BE76A9">
            <w:pPr>
              <w:jc w:val="center"/>
              <w:rPr>
                <w:rFonts w:asciiTheme="minorHAnsi" w:hAnsiTheme="minorHAnsi" w:cstheme="minorHAnsi"/>
                <w:sz w:val="20"/>
                <w:szCs w:val="20"/>
              </w:rPr>
            </w:pPr>
            <w:r>
              <w:rPr>
                <w:rFonts w:asciiTheme="minorHAnsi" w:hAnsiTheme="minorHAnsi" w:cstheme="minorHAnsi"/>
                <w:sz w:val="20"/>
                <w:szCs w:val="20"/>
              </w:rPr>
              <w:t>10</w:t>
            </w:r>
          </w:p>
        </w:tc>
        <w:tc>
          <w:tcPr>
            <w:tcW w:w="1221" w:type="dxa"/>
            <w:tcBorders>
              <w:top w:val="single" w:sz="4" w:space="0" w:color="auto"/>
              <w:left w:val="single" w:sz="4" w:space="0" w:color="auto"/>
              <w:bottom w:val="single" w:sz="4" w:space="0" w:color="auto"/>
              <w:right w:val="single" w:sz="4" w:space="0" w:color="auto"/>
            </w:tcBorders>
          </w:tcPr>
          <w:p w:rsidR="00326492" w:rsidRPr="00DA1BFD" w:rsidRDefault="00964EF6" w:rsidP="00BE76A9">
            <w:pPr>
              <w:jc w:val="center"/>
              <w:rPr>
                <w:rFonts w:asciiTheme="minorHAnsi" w:hAnsiTheme="minorHAnsi" w:cstheme="minorHAnsi"/>
                <w:sz w:val="20"/>
                <w:szCs w:val="20"/>
              </w:rPr>
            </w:pPr>
            <w:r>
              <w:rPr>
                <w:rFonts w:asciiTheme="minorHAnsi" w:hAnsiTheme="minorHAnsi" w:cstheme="minorHAnsi"/>
                <w:sz w:val="20"/>
                <w:szCs w:val="20"/>
              </w:rPr>
              <w:t>3</w:t>
            </w:r>
          </w:p>
        </w:tc>
      </w:tr>
      <w:tr w:rsidR="00326492" w:rsidRPr="0057403C" w:rsidTr="00BE76A9">
        <w:tc>
          <w:tcPr>
            <w:tcW w:w="2211" w:type="dxa"/>
            <w:tcBorders>
              <w:top w:val="single" w:sz="4" w:space="0" w:color="auto"/>
              <w:bottom w:val="single" w:sz="4" w:space="0" w:color="auto"/>
              <w:right w:val="single" w:sz="4" w:space="0" w:color="auto"/>
            </w:tcBorders>
          </w:tcPr>
          <w:p w:rsidR="00326492" w:rsidRPr="002D2106" w:rsidRDefault="00964EF6" w:rsidP="00BE76A9">
            <w:pPr>
              <w:rPr>
                <w:rFonts w:ascii="Calibri" w:hAnsi="Calibri" w:cs="Calibri"/>
                <w:sz w:val="20"/>
                <w:szCs w:val="20"/>
              </w:rPr>
            </w:pPr>
            <w:r>
              <w:rPr>
                <w:rFonts w:ascii="Calibri" w:hAnsi="Calibri" w:cs="Calibri"/>
                <w:color w:val="000000" w:themeColor="text1"/>
                <w:sz w:val="20"/>
                <w:szCs w:val="20"/>
              </w:rPr>
              <w:t>December</w:t>
            </w:r>
            <w:r w:rsidR="00326492">
              <w:rPr>
                <w:rFonts w:ascii="Calibri" w:hAnsi="Calibri" w:cs="Calibri"/>
                <w:color w:val="000000" w:themeColor="text1"/>
                <w:sz w:val="20"/>
                <w:szCs w:val="20"/>
              </w:rPr>
              <w:t xml:space="preserve"> </w:t>
            </w:r>
            <w:r>
              <w:rPr>
                <w:rFonts w:asciiTheme="minorHAnsi" w:hAnsiTheme="minorHAnsi" w:cstheme="minorHAnsi"/>
                <w:sz w:val="20"/>
                <w:szCs w:val="20"/>
              </w:rPr>
              <w:t>2013</w:t>
            </w:r>
          </w:p>
        </w:tc>
        <w:tc>
          <w:tcPr>
            <w:tcW w:w="1252" w:type="dxa"/>
            <w:tcBorders>
              <w:top w:val="single" w:sz="4" w:space="0" w:color="auto"/>
              <w:left w:val="single" w:sz="4" w:space="0" w:color="auto"/>
              <w:bottom w:val="single" w:sz="4" w:space="0" w:color="auto"/>
              <w:right w:val="single" w:sz="4" w:space="0" w:color="auto"/>
            </w:tcBorders>
          </w:tcPr>
          <w:p w:rsidR="00326492" w:rsidRPr="00812445" w:rsidRDefault="00964EF6" w:rsidP="00BE76A9">
            <w:pPr>
              <w:jc w:val="center"/>
              <w:rPr>
                <w:rFonts w:asciiTheme="minorHAnsi" w:hAnsiTheme="minorHAnsi" w:cstheme="minorHAnsi"/>
                <w:sz w:val="20"/>
                <w:szCs w:val="20"/>
              </w:rPr>
            </w:pPr>
            <w:r>
              <w:rPr>
                <w:rFonts w:asciiTheme="minorHAnsi" w:hAnsiTheme="minorHAnsi" w:cstheme="minorHAnsi"/>
                <w:sz w:val="20"/>
                <w:szCs w:val="20"/>
              </w:rPr>
              <w:t>Weak t</w:t>
            </w:r>
            <w:r w:rsidR="00326492">
              <w:rPr>
                <w:rFonts w:asciiTheme="minorHAnsi" w:hAnsiTheme="minorHAnsi" w:cstheme="minorHAnsi"/>
                <w:sz w:val="20"/>
                <w:szCs w:val="20"/>
              </w:rPr>
              <w:t>rough</w:t>
            </w:r>
          </w:p>
        </w:tc>
        <w:tc>
          <w:tcPr>
            <w:tcW w:w="1304" w:type="dxa"/>
            <w:tcBorders>
              <w:top w:val="single" w:sz="4" w:space="0" w:color="auto"/>
              <w:left w:val="single" w:sz="4" w:space="0" w:color="auto"/>
              <w:bottom w:val="single" w:sz="4" w:space="0" w:color="auto"/>
              <w:right w:val="single" w:sz="4" w:space="0" w:color="auto"/>
            </w:tcBorders>
          </w:tcPr>
          <w:p w:rsidR="00326492" w:rsidRPr="00DA1BFD" w:rsidRDefault="00964EF6" w:rsidP="00BE76A9">
            <w:pPr>
              <w:jc w:val="center"/>
              <w:rPr>
                <w:rFonts w:asciiTheme="minorHAnsi" w:hAnsiTheme="minorHAnsi" w:cstheme="minorHAnsi"/>
                <w:sz w:val="20"/>
                <w:szCs w:val="20"/>
              </w:rPr>
            </w:pPr>
            <w:r>
              <w:rPr>
                <w:rFonts w:asciiTheme="minorHAnsi" w:hAnsiTheme="minorHAnsi" w:cstheme="minorHAnsi"/>
                <w:sz w:val="20"/>
                <w:szCs w:val="20"/>
              </w:rPr>
              <w:t>16</w:t>
            </w:r>
          </w:p>
        </w:tc>
        <w:tc>
          <w:tcPr>
            <w:tcW w:w="1519" w:type="dxa"/>
            <w:tcBorders>
              <w:top w:val="single" w:sz="4" w:space="0" w:color="auto"/>
              <w:left w:val="single" w:sz="4" w:space="0" w:color="auto"/>
              <w:bottom w:val="single" w:sz="4" w:space="0" w:color="auto"/>
              <w:right w:val="single" w:sz="4" w:space="0" w:color="auto"/>
            </w:tcBorders>
          </w:tcPr>
          <w:p w:rsidR="00326492" w:rsidRPr="00DA1BFD" w:rsidRDefault="00964EF6" w:rsidP="00BE76A9">
            <w:pPr>
              <w:jc w:val="center"/>
              <w:rPr>
                <w:rFonts w:asciiTheme="minorHAnsi" w:hAnsiTheme="minorHAnsi" w:cstheme="minorHAnsi"/>
                <w:sz w:val="20"/>
                <w:szCs w:val="20"/>
              </w:rPr>
            </w:pPr>
            <w:r>
              <w:rPr>
                <w:rFonts w:asciiTheme="minorHAnsi" w:hAnsiTheme="minorHAnsi" w:cstheme="minorHAnsi"/>
                <w:sz w:val="20"/>
                <w:szCs w:val="20"/>
              </w:rPr>
              <w:t>10</w:t>
            </w:r>
          </w:p>
        </w:tc>
        <w:tc>
          <w:tcPr>
            <w:tcW w:w="1221" w:type="dxa"/>
            <w:tcBorders>
              <w:top w:val="single" w:sz="4" w:space="0" w:color="auto"/>
              <w:left w:val="single" w:sz="4" w:space="0" w:color="auto"/>
              <w:bottom w:val="single" w:sz="4" w:space="0" w:color="auto"/>
              <w:right w:val="single" w:sz="4" w:space="0" w:color="auto"/>
            </w:tcBorders>
          </w:tcPr>
          <w:p w:rsidR="00326492" w:rsidRPr="00DA1BFD" w:rsidRDefault="00964EF6" w:rsidP="00BE76A9">
            <w:pPr>
              <w:jc w:val="center"/>
              <w:rPr>
                <w:rFonts w:asciiTheme="minorHAnsi" w:hAnsiTheme="minorHAnsi" w:cstheme="minorHAnsi"/>
                <w:sz w:val="20"/>
                <w:szCs w:val="20"/>
              </w:rPr>
            </w:pPr>
            <w:r w:rsidRPr="00DA1BFD">
              <w:rPr>
                <w:rFonts w:asciiTheme="minorHAnsi" w:hAnsiTheme="minorHAnsi" w:cstheme="minorHAnsi"/>
                <w:sz w:val="20"/>
                <w:szCs w:val="20"/>
              </w:rPr>
              <w:t>missed</w:t>
            </w:r>
          </w:p>
        </w:tc>
      </w:tr>
      <w:tr w:rsidR="00326492" w:rsidRPr="0057403C" w:rsidTr="00BE76A9">
        <w:tc>
          <w:tcPr>
            <w:tcW w:w="2211" w:type="dxa"/>
            <w:tcBorders>
              <w:top w:val="single" w:sz="4" w:space="0" w:color="auto"/>
              <w:bottom w:val="single" w:sz="4" w:space="0" w:color="auto"/>
              <w:right w:val="single" w:sz="4" w:space="0" w:color="auto"/>
            </w:tcBorders>
          </w:tcPr>
          <w:p w:rsidR="00326492" w:rsidRPr="006D0C8B" w:rsidRDefault="00964EF6" w:rsidP="00BE76A9">
            <w:pPr>
              <w:rPr>
                <w:rFonts w:ascii="Calibri" w:hAnsi="Calibri" w:cs="Calibri"/>
                <w:color w:val="000000" w:themeColor="text1"/>
                <w:sz w:val="20"/>
                <w:szCs w:val="20"/>
              </w:rPr>
            </w:pPr>
            <w:r>
              <w:rPr>
                <w:rFonts w:ascii="Calibri" w:hAnsi="Calibri" w:cs="Calibri"/>
                <w:color w:val="000000" w:themeColor="text1"/>
                <w:sz w:val="20"/>
                <w:szCs w:val="20"/>
              </w:rPr>
              <w:t>May</w:t>
            </w:r>
            <w:r w:rsidR="00326492">
              <w:rPr>
                <w:rFonts w:ascii="Calibri" w:hAnsi="Calibri" w:cs="Calibri"/>
                <w:color w:val="000000" w:themeColor="text1"/>
                <w:sz w:val="20"/>
                <w:szCs w:val="20"/>
              </w:rPr>
              <w:t xml:space="preserve"> 20</w:t>
            </w:r>
            <w:r>
              <w:rPr>
                <w:rFonts w:ascii="Calibri" w:hAnsi="Calibri" w:cs="Calibri"/>
                <w:color w:val="000000" w:themeColor="text1"/>
                <w:sz w:val="20"/>
                <w:szCs w:val="20"/>
              </w:rPr>
              <w:t>14</w:t>
            </w:r>
          </w:p>
        </w:tc>
        <w:tc>
          <w:tcPr>
            <w:tcW w:w="1252" w:type="dxa"/>
            <w:tcBorders>
              <w:top w:val="single" w:sz="4" w:space="0" w:color="auto"/>
              <w:left w:val="single" w:sz="4" w:space="0" w:color="auto"/>
              <w:bottom w:val="single" w:sz="4" w:space="0" w:color="auto"/>
              <w:right w:val="single" w:sz="4" w:space="0" w:color="auto"/>
            </w:tcBorders>
          </w:tcPr>
          <w:p w:rsidR="00326492" w:rsidRPr="00812445" w:rsidRDefault="00964EF6" w:rsidP="00BE76A9">
            <w:pPr>
              <w:jc w:val="center"/>
              <w:rPr>
                <w:rFonts w:asciiTheme="minorHAnsi" w:hAnsiTheme="minorHAnsi" w:cstheme="minorHAnsi"/>
                <w:sz w:val="20"/>
                <w:szCs w:val="20"/>
              </w:rPr>
            </w:pPr>
            <w:r>
              <w:rPr>
                <w:rFonts w:asciiTheme="minorHAnsi" w:hAnsiTheme="minorHAnsi" w:cstheme="minorHAnsi"/>
                <w:sz w:val="20"/>
                <w:szCs w:val="20"/>
              </w:rPr>
              <w:t>Weak p</w:t>
            </w:r>
            <w:r w:rsidR="00326492">
              <w:rPr>
                <w:rFonts w:asciiTheme="minorHAnsi" w:hAnsiTheme="minorHAnsi" w:cstheme="minorHAnsi"/>
                <w:sz w:val="20"/>
                <w:szCs w:val="20"/>
              </w:rPr>
              <w:t>eak</w:t>
            </w:r>
          </w:p>
        </w:tc>
        <w:tc>
          <w:tcPr>
            <w:tcW w:w="1304" w:type="dxa"/>
            <w:tcBorders>
              <w:top w:val="single" w:sz="4" w:space="0" w:color="auto"/>
              <w:left w:val="single" w:sz="4" w:space="0" w:color="auto"/>
              <w:bottom w:val="single" w:sz="4" w:space="0" w:color="auto"/>
              <w:right w:val="single" w:sz="4" w:space="0" w:color="auto"/>
            </w:tcBorders>
          </w:tcPr>
          <w:p w:rsidR="00326492" w:rsidRPr="00DA1BFD" w:rsidRDefault="00964EF6" w:rsidP="00BE76A9">
            <w:pPr>
              <w:jc w:val="center"/>
              <w:rPr>
                <w:rFonts w:asciiTheme="minorHAnsi" w:hAnsiTheme="minorHAnsi" w:cstheme="minorHAnsi"/>
                <w:sz w:val="20"/>
                <w:szCs w:val="20"/>
              </w:rPr>
            </w:pPr>
            <w:r>
              <w:rPr>
                <w:rFonts w:asciiTheme="minorHAnsi" w:hAnsiTheme="minorHAnsi" w:cstheme="minorHAnsi"/>
                <w:sz w:val="20"/>
                <w:szCs w:val="20"/>
              </w:rPr>
              <w:t>6</w:t>
            </w:r>
          </w:p>
        </w:tc>
        <w:tc>
          <w:tcPr>
            <w:tcW w:w="1519" w:type="dxa"/>
            <w:tcBorders>
              <w:top w:val="single" w:sz="4" w:space="0" w:color="auto"/>
              <w:left w:val="single" w:sz="4" w:space="0" w:color="auto"/>
              <w:bottom w:val="single" w:sz="4" w:space="0" w:color="auto"/>
              <w:right w:val="single" w:sz="4" w:space="0" w:color="auto"/>
            </w:tcBorders>
          </w:tcPr>
          <w:p w:rsidR="00326492" w:rsidRPr="00DA1BFD" w:rsidRDefault="00326492" w:rsidP="00BE76A9">
            <w:pPr>
              <w:jc w:val="center"/>
              <w:rPr>
                <w:rFonts w:asciiTheme="minorHAnsi" w:hAnsiTheme="minorHAnsi" w:cstheme="minorHAnsi"/>
                <w:sz w:val="20"/>
                <w:szCs w:val="20"/>
              </w:rPr>
            </w:pPr>
            <w:r w:rsidRPr="00DA1BFD">
              <w:rPr>
                <w:rFonts w:asciiTheme="minorHAnsi" w:hAnsiTheme="minorHAnsi" w:cstheme="minorHAnsi"/>
                <w:sz w:val="20"/>
                <w:szCs w:val="20"/>
              </w:rPr>
              <w:t>missed</w:t>
            </w:r>
          </w:p>
        </w:tc>
        <w:tc>
          <w:tcPr>
            <w:tcW w:w="1221" w:type="dxa"/>
            <w:tcBorders>
              <w:top w:val="single" w:sz="4" w:space="0" w:color="auto"/>
              <w:left w:val="single" w:sz="4" w:space="0" w:color="auto"/>
              <w:bottom w:val="single" w:sz="4" w:space="0" w:color="auto"/>
              <w:right w:val="single" w:sz="4" w:space="0" w:color="auto"/>
            </w:tcBorders>
          </w:tcPr>
          <w:p w:rsidR="00326492" w:rsidRPr="00DA1BFD" w:rsidRDefault="00964EF6" w:rsidP="00BE76A9">
            <w:pPr>
              <w:jc w:val="center"/>
              <w:rPr>
                <w:rFonts w:asciiTheme="minorHAnsi" w:hAnsiTheme="minorHAnsi" w:cstheme="minorHAnsi"/>
                <w:sz w:val="20"/>
                <w:szCs w:val="20"/>
              </w:rPr>
            </w:pPr>
            <w:r>
              <w:rPr>
                <w:rFonts w:asciiTheme="minorHAnsi" w:hAnsiTheme="minorHAnsi" w:cstheme="minorHAnsi"/>
                <w:sz w:val="20"/>
                <w:szCs w:val="20"/>
              </w:rPr>
              <w:t>9</w:t>
            </w:r>
          </w:p>
        </w:tc>
      </w:tr>
      <w:tr w:rsidR="00326492" w:rsidRPr="0057403C" w:rsidTr="00BE76A9">
        <w:tc>
          <w:tcPr>
            <w:tcW w:w="7507" w:type="dxa"/>
            <w:gridSpan w:val="5"/>
            <w:tcBorders>
              <w:top w:val="single" w:sz="4" w:space="0" w:color="auto"/>
              <w:bottom w:val="single" w:sz="4" w:space="0" w:color="auto"/>
              <w:right w:val="single" w:sz="4" w:space="0" w:color="auto"/>
            </w:tcBorders>
          </w:tcPr>
          <w:p w:rsidR="00326492" w:rsidRDefault="00326492" w:rsidP="00BE76A9">
            <w:pPr>
              <w:jc w:val="center"/>
              <w:rPr>
                <w:rFonts w:asciiTheme="minorHAnsi" w:hAnsiTheme="minorHAnsi" w:cstheme="minorHAnsi"/>
                <w:sz w:val="20"/>
                <w:szCs w:val="20"/>
              </w:rPr>
            </w:pPr>
            <w:r w:rsidRPr="007A5289">
              <w:rPr>
                <w:rFonts w:asciiTheme="minorHAnsi" w:hAnsiTheme="minorHAnsi" w:cstheme="minorHAnsi"/>
                <w:b/>
                <w:sz w:val="20"/>
                <w:szCs w:val="20"/>
              </w:rPr>
              <w:t>Summary Statistics</w:t>
            </w:r>
          </w:p>
        </w:tc>
      </w:tr>
      <w:tr w:rsidR="00326492" w:rsidRPr="0057403C" w:rsidTr="00BE76A9">
        <w:tc>
          <w:tcPr>
            <w:tcW w:w="2211" w:type="dxa"/>
            <w:tcBorders>
              <w:top w:val="single" w:sz="4" w:space="0" w:color="auto"/>
              <w:bottom w:val="single" w:sz="4" w:space="0" w:color="auto"/>
              <w:right w:val="single" w:sz="4" w:space="0" w:color="auto"/>
            </w:tcBorders>
          </w:tcPr>
          <w:p w:rsidR="00326492" w:rsidRPr="00FF412B" w:rsidRDefault="00326492" w:rsidP="00BE76A9">
            <w:pPr>
              <w:rPr>
                <w:rFonts w:ascii="Calibri" w:hAnsi="Calibri" w:cs="Calibri"/>
                <w:sz w:val="20"/>
                <w:szCs w:val="20"/>
              </w:rPr>
            </w:pPr>
            <w:r>
              <w:rPr>
                <w:rFonts w:ascii="Calibri" w:hAnsi="Calibri" w:cs="Calibri"/>
                <w:sz w:val="20"/>
                <w:szCs w:val="20"/>
              </w:rPr>
              <w:t>M</w:t>
            </w:r>
            <w:r w:rsidRPr="00FF412B">
              <w:rPr>
                <w:rFonts w:ascii="Calibri" w:hAnsi="Calibri" w:cs="Calibri"/>
                <w:sz w:val="20"/>
                <w:szCs w:val="20"/>
              </w:rPr>
              <w:t>ax</w:t>
            </w:r>
            <w:r>
              <w:rPr>
                <w:rFonts w:ascii="Calibri" w:hAnsi="Calibri" w:cs="Calibri"/>
                <w:sz w:val="20"/>
                <w:szCs w:val="20"/>
              </w:rPr>
              <w:t>imum</w:t>
            </w:r>
          </w:p>
        </w:tc>
        <w:tc>
          <w:tcPr>
            <w:tcW w:w="1252" w:type="dxa"/>
            <w:tcBorders>
              <w:top w:val="single" w:sz="4" w:space="0" w:color="auto"/>
              <w:left w:val="single" w:sz="4" w:space="0" w:color="auto"/>
              <w:bottom w:val="single" w:sz="4" w:space="0" w:color="auto"/>
              <w:right w:val="single" w:sz="4" w:space="0" w:color="auto"/>
            </w:tcBorders>
          </w:tcPr>
          <w:p w:rsidR="00326492" w:rsidRPr="00812445" w:rsidRDefault="00326492" w:rsidP="00BE76A9">
            <w:pPr>
              <w:jc w:val="center"/>
              <w:rPr>
                <w:rFonts w:asciiTheme="minorHAnsi" w:hAnsiTheme="minorHAnsi" w:cstheme="minorHAnsi"/>
                <w:sz w:val="20"/>
                <w:szCs w:val="20"/>
              </w:rPr>
            </w:pPr>
          </w:p>
        </w:tc>
        <w:tc>
          <w:tcPr>
            <w:tcW w:w="1304" w:type="dxa"/>
            <w:tcBorders>
              <w:top w:val="single" w:sz="4" w:space="0" w:color="auto"/>
              <w:left w:val="single" w:sz="4" w:space="0" w:color="auto"/>
              <w:bottom w:val="single" w:sz="4" w:space="0" w:color="auto"/>
              <w:right w:val="single" w:sz="4" w:space="0" w:color="auto"/>
            </w:tcBorders>
          </w:tcPr>
          <w:p w:rsidR="00326492" w:rsidRPr="00FF412B" w:rsidRDefault="00326492" w:rsidP="00BE76A9">
            <w:pPr>
              <w:jc w:val="center"/>
              <w:rPr>
                <w:rFonts w:asciiTheme="minorHAnsi" w:hAnsiTheme="minorHAnsi" w:cstheme="minorHAnsi"/>
                <w:sz w:val="20"/>
                <w:szCs w:val="20"/>
              </w:rPr>
            </w:pPr>
            <w:r>
              <w:rPr>
                <w:rFonts w:asciiTheme="minorHAnsi" w:hAnsiTheme="minorHAnsi" w:cstheme="minorHAnsi"/>
                <w:sz w:val="20"/>
                <w:szCs w:val="20"/>
              </w:rPr>
              <w:t>1</w:t>
            </w:r>
            <w:r w:rsidR="00964EF6">
              <w:rPr>
                <w:rFonts w:asciiTheme="minorHAnsi" w:hAnsiTheme="minorHAnsi" w:cstheme="minorHAnsi"/>
                <w:sz w:val="20"/>
                <w:szCs w:val="20"/>
              </w:rPr>
              <w:t>6</w:t>
            </w:r>
          </w:p>
        </w:tc>
        <w:tc>
          <w:tcPr>
            <w:tcW w:w="1519" w:type="dxa"/>
            <w:tcBorders>
              <w:top w:val="single" w:sz="4" w:space="0" w:color="auto"/>
              <w:left w:val="single" w:sz="4" w:space="0" w:color="auto"/>
              <w:bottom w:val="single" w:sz="4" w:space="0" w:color="auto"/>
              <w:right w:val="single" w:sz="4" w:space="0" w:color="auto"/>
            </w:tcBorders>
          </w:tcPr>
          <w:p w:rsidR="00326492" w:rsidRPr="00FF412B" w:rsidRDefault="00326492" w:rsidP="00BE76A9">
            <w:pPr>
              <w:jc w:val="center"/>
              <w:rPr>
                <w:rFonts w:asciiTheme="minorHAnsi" w:hAnsiTheme="minorHAnsi" w:cstheme="minorHAnsi"/>
                <w:sz w:val="20"/>
                <w:szCs w:val="20"/>
              </w:rPr>
            </w:pPr>
            <w:r>
              <w:rPr>
                <w:rFonts w:asciiTheme="minorHAnsi" w:hAnsiTheme="minorHAnsi" w:cstheme="minorHAnsi"/>
                <w:sz w:val="20"/>
                <w:szCs w:val="20"/>
              </w:rPr>
              <w:t>1</w:t>
            </w:r>
            <w:r w:rsidR="00964EF6">
              <w:rPr>
                <w:rFonts w:asciiTheme="minorHAnsi" w:hAnsiTheme="minorHAnsi" w:cstheme="minorHAnsi"/>
                <w:sz w:val="20"/>
                <w:szCs w:val="20"/>
              </w:rPr>
              <w:t>0</w:t>
            </w:r>
          </w:p>
        </w:tc>
        <w:tc>
          <w:tcPr>
            <w:tcW w:w="1221" w:type="dxa"/>
            <w:tcBorders>
              <w:top w:val="single" w:sz="4" w:space="0" w:color="auto"/>
              <w:left w:val="single" w:sz="4" w:space="0" w:color="auto"/>
              <w:bottom w:val="single" w:sz="4" w:space="0" w:color="auto"/>
              <w:right w:val="single" w:sz="4" w:space="0" w:color="auto"/>
            </w:tcBorders>
          </w:tcPr>
          <w:p w:rsidR="00326492" w:rsidRPr="00FF412B" w:rsidRDefault="00964EF6" w:rsidP="00BE76A9">
            <w:pPr>
              <w:jc w:val="center"/>
              <w:rPr>
                <w:rFonts w:asciiTheme="minorHAnsi" w:hAnsiTheme="minorHAnsi" w:cstheme="minorHAnsi"/>
                <w:sz w:val="20"/>
                <w:szCs w:val="20"/>
              </w:rPr>
            </w:pPr>
            <w:r>
              <w:rPr>
                <w:rFonts w:asciiTheme="minorHAnsi" w:hAnsiTheme="minorHAnsi" w:cstheme="minorHAnsi"/>
                <w:sz w:val="20"/>
                <w:szCs w:val="20"/>
              </w:rPr>
              <w:t>9</w:t>
            </w:r>
          </w:p>
        </w:tc>
      </w:tr>
      <w:tr w:rsidR="00326492" w:rsidRPr="0057403C" w:rsidTr="00BE76A9">
        <w:tc>
          <w:tcPr>
            <w:tcW w:w="2211" w:type="dxa"/>
            <w:tcBorders>
              <w:top w:val="single" w:sz="4" w:space="0" w:color="auto"/>
              <w:bottom w:val="single" w:sz="4" w:space="0" w:color="auto"/>
              <w:right w:val="single" w:sz="4" w:space="0" w:color="auto"/>
            </w:tcBorders>
          </w:tcPr>
          <w:p w:rsidR="00326492" w:rsidRPr="00FF412B" w:rsidRDefault="00326492" w:rsidP="00BE76A9">
            <w:pPr>
              <w:rPr>
                <w:rFonts w:ascii="Calibri" w:hAnsi="Calibri" w:cs="Calibri"/>
                <w:sz w:val="20"/>
                <w:szCs w:val="20"/>
              </w:rPr>
            </w:pPr>
            <w:r>
              <w:rPr>
                <w:rFonts w:ascii="Calibri" w:hAnsi="Calibri" w:cs="Calibri"/>
                <w:sz w:val="20"/>
                <w:szCs w:val="20"/>
              </w:rPr>
              <w:t>Mi</w:t>
            </w:r>
            <w:r w:rsidRPr="00FF412B">
              <w:rPr>
                <w:rFonts w:ascii="Calibri" w:hAnsi="Calibri" w:cs="Calibri"/>
                <w:sz w:val="20"/>
                <w:szCs w:val="20"/>
              </w:rPr>
              <w:t>n</w:t>
            </w:r>
            <w:r>
              <w:rPr>
                <w:rFonts w:ascii="Calibri" w:hAnsi="Calibri" w:cs="Calibri"/>
                <w:sz w:val="20"/>
                <w:szCs w:val="20"/>
              </w:rPr>
              <w:t>imum</w:t>
            </w:r>
          </w:p>
        </w:tc>
        <w:tc>
          <w:tcPr>
            <w:tcW w:w="1252" w:type="dxa"/>
            <w:tcBorders>
              <w:top w:val="single" w:sz="4" w:space="0" w:color="auto"/>
              <w:left w:val="single" w:sz="4" w:space="0" w:color="auto"/>
              <w:bottom w:val="single" w:sz="4" w:space="0" w:color="auto"/>
              <w:right w:val="single" w:sz="4" w:space="0" w:color="auto"/>
            </w:tcBorders>
          </w:tcPr>
          <w:p w:rsidR="00326492" w:rsidRPr="00812445" w:rsidRDefault="00326492" w:rsidP="00BE76A9">
            <w:pPr>
              <w:jc w:val="center"/>
              <w:rPr>
                <w:rFonts w:asciiTheme="minorHAnsi" w:hAnsiTheme="minorHAnsi" w:cstheme="minorHAnsi"/>
                <w:sz w:val="20"/>
                <w:szCs w:val="20"/>
              </w:rPr>
            </w:pPr>
          </w:p>
        </w:tc>
        <w:tc>
          <w:tcPr>
            <w:tcW w:w="1304" w:type="dxa"/>
            <w:tcBorders>
              <w:top w:val="single" w:sz="4" w:space="0" w:color="auto"/>
              <w:left w:val="single" w:sz="4" w:space="0" w:color="auto"/>
              <w:bottom w:val="single" w:sz="4" w:space="0" w:color="auto"/>
              <w:right w:val="single" w:sz="4" w:space="0" w:color="auto"/>
            </w:tcBorders>
          </w:tcPr>
          <w:p w:rsidR="00326492" w:rsidRPr="00FF412B" w:rsidRDefault="00964EF6" w:rsidP="00BE76A9">
            <w:pPr>
              <w:jc w:val="center"/>
              <w:rPr>
                <w:rFonts w:asciiTheme="minorHAnsi" w:hAnsiTheme="minorHAnsi" w:cstheme="minorHAnsi"/>
                <w:sz w:val="20"/>
                <w:szCs w:val="20"/>
              </w:rPr>
            </w:pPr>
            <w:r>
              <w:rPr>
                <w:rFonts w:asciiTheme="minorHAnsi" w:hAnsiTheme="minorHAnsi" w:cstheme="minorHAnsi"/>
                <w:sz w:val="20"/>
                <w:szCs w:val="20"/>
              </w:rPr>
              <w:t>6</w:t>
            </w:r>
          </w:p>
        </w:tc>
        <w:tc>
          <w:tcPr>
            <w:tcW w:w="1519" w:type="dxa"/>
            <w:tcBorders>
              <w:top w:val="single" w:sz="4" w:space="0" w:color="auto"/>
              <w:left w:val="single" w:sz="4" w:space="0" w:color="auto"/>
              <w:bottom w:val="single" w:sz="4" w:space="0" w:color="auto"/>
              <w:right w:val="single" w:sz="4" w:space="0" w:color="auto"/>
            </w:tcBorders>
          </w:tcPr>
          <w:p w:rsidR="00326492" w:rsidRPr="00FF412B" w:rsidRDefault="00964EF6" w:rsidP="00BE76A9">
            <w:pPr>
              <w:jc w:val="center"/>
              <w:rPr>
                <w:rFonts w:asciiTheme="minorHAnsi" w:hAnsiTheme="minorHAnsi" w:cstheme="minorHAnsi"/>
                <w:sz w:val="20"/>
                <w:szCs w:val="20"/>
              </w:rPr>
            </w:pPr>
            <w:r>
              <w:rPr>
                <w:rFonts w:asciiTheme="minorHAnsi" w:hAnsiTheme="minorHAnsi" w:cstheme="minorHAnsi"/>
                <w:sz w:val="20"/>
                <w:szCs w:val="20"/>
              </w:rPr>
              <w:t>10</w:t>
            </w:r>
          </w:p>
        </w:tc>
        <w:tc>
          <w:tcPr>
            <w:tcW w:w="1221" w:type="dxa"/>
            <w:tcBorders>
              <w:top w:val="single" w:sz="4" w:space="0" w:color="auto"/>
              <w:left w:val="single" w:sz="4" w:space="0" w:color="auto"/>
              <w:bottom w:val="single" w:sz="4" w:space="0" w:color="auto"/>
              <w:right w:val="single" w:sz="4" w:space="0" w:color="auto"/>
            </w:tcBorders>
          </w:tcPr>
          <w:p w:rsidR="00326492" w:rsidRPr="00FF412B" w:rsidRDefault="00964EF6" w:rsidP="00BE76A9">
            <w:pPr>
              <w:jc w:val="center"/>
              <w:rPr>
                <w:rFonts w:asciiTheme="minorHAnsi" w:hAnsiTheme="minorHAnsi" w:cstheme="minorHAnsi"/>
                <w:sz w:val="20"/>
                <w:szCs w:val="20"/>
              </w:rPr>
            </w:pPr>
            <w:r>
              <w:rPr>
                <w:rFonts w:asciiTheme="minorHAnsi" w:hAnsiTheme="minorHAnsi" w:cstheme="minorHAnsi"/>
                <w:sz w:val="20"/>
                <w:szCs w:val="20"/>
              </w:rPr>
              <w:t>3</w:t>
            </w:r>
          </w:p>
        </w:tc>
      </w:tr>
      <w:tr w:rsidR="00326492" w:rsidRPr="0057403C" w:rsidTr="00BE76A9">
        <w:tc>
          <w:tcPr>
            <w:tcW w:w="2211" w:type="dxa"/>
            <w:tcBorders>
              <w:top w:val="single" w:sz="4" w:space="0" w:color="auto"/>
              <w:bottom w:val="single" w:sz="4" w:space="0" w:color="auto"/>
              <w:right w:val="single" w:sz="4" w:space="0" w:color="auto"/>
            </w:tcBorders>
          </w:tcPr>
          <w:p w:rsidR="00326492" w:rsidRPr="00FF412B" w:rsidRDefault="00326492" w:rsidP="00BE76A9">
            <w:pPr>
              <w:rPr>
                <w:rFonts w:ascii="Calibri" w:hAnsi="Calibri" w:cs="Calibri"/>
                <w:b/>
                <w:sz w:val="20"/>
                <w:szCs w:val="20"/>
              </w:rPr>
            </w:pPr>
            <w:r w:rsidRPr="00FF412B">
              <w:rPr>
                <w:rFonts w:ascii="Calibri" w:hAnsi="Calibri" w:cs="Calibri"/>
                <w:b/>
                <w:sz w:val="20"/>
                <w:szCs w:val="20"/>
              </w:rPr>
              <w:t>Average</w:t>
            </w:r>
          </w:p>
        </w:tc>
        <w:tc>
          <w:tcPr>
            <w:tcW w:w="1252" w:type="dxa"/>
            <w:tcBorders>
              <w:top w:val="single" w:sz="4" w:space="0" w:color="auto"/>
              <w:left w:val="single" w:sz="4" w:space="0" w:color="auto"/>
              <w:bottom w:val="single" w:sz="4" w:space="0" w:color="auto"/>
              <w:right w:val="single" w:sz="4" w:space="0" w:color="auto"/>
            </w:tcBorders>
          </w:tcPr>
          <w:p w:rsidR="00326492" w:rsidRPr="00812445" w:rsidRDefault="00326492" w:rsidP="00BE76A9">
            <w:pPr>
              <w:jc w:val="center"/>
              <w:rPr>
                <w:rFonts w:asciiTheme="minorHAnsi" w:hAnsiTheme="minorHAnsi" w:cstheme="minorHAnsi"/>
                <w:sz w:val="20"/>
                <w:szCs w:val="20"/>
              </w:rPr>
            </w:pPr>
          </w:p>
        </w:tc>
        <w:tc>
          <w:tcPr>
            <w:tcW w:w="1304" w:type="dxa"/>
            <w:tcBorders>
              <w:top w:val="single" w:sz="4" w:space="0" w:color="auto"/>
              <w:left w:val="single" w:sz="4" w:space="0" w:color="auto"/>
              <w:bottom w:val="single" w:sz="4" w:space="0" w:color="auto"/>
              <w:right w:val="single" w:sz="4" w:space="0" w:color="auto"/>
            </w:tcBorders>
          </w:tcPr>
          <w:p w:rsidR="00326492" w:rsidRPr="00FF412B" w:rsidRDefault="00326492" w:rsidP="00BE76A9">
            <w:pPr>
              <w:jc w:val="center"/>
              <w:rPr>
                <w:rFonts w:asciiTheme="minorHAnsi" w:hAnsiTheme="minorHAnsi" w:cstheme="minorHAnsi"/>
                <w:b/>
                <w:sz w:val="20"/>
                <w:szCs w:val="20"/>
              </w:rPr>
            </w:pPr>
            <w:r>
              <w:rPr>
                <w:rFonts w:asciiTheme="minorHAnsi" w:hAnsiTheme="minorHAnsi" w:cstheme="minorHAnsi"/>
                <w:b/>
                <w:sz w:val="20"/>
                <w:szCs w:val="20"/>
              </w:rPr>
              <w:t>1</w:t>
            </w:r>
            <w:r w:rsidR="00964EF6">
              <w:rPr>
                <w:rFonts w:asciiTheme="minorHAnsi" w:hAnsiTheme="minorHAnsi" w:cstheme="minorHAnsi"/>
                <w:b/>
                <w:sz w:val="20"/>
                <w:szCs w:val="20"/>
              </w:rPr>
              <w:t>1.3</w:t>
            </w:r>
          </w:p>
        </w:tc>
        <w:tc>
          <w:tcPr>
            <w:tcW w:w="1519" w:type="dxa"/>
            <w:tcBorders>
              <w:top w:val="single" w:sz="4" w:space="0" w:color="auto"/>
              <w:left w:val="single" w:sz="4" w:space="0" w:color="auto"/>
              <w:bottom w:val="single" w:sz="4" w:space="0" w:color="auto"/>
              <w:right w:val="single" w:sz="4" w:space="0" w:color="auto"/>
            </w:tcBorders>
          </w:tcPr>
          <w:p w:rsidR="00326492" w:rsidRPr="00FF412B" w:rsidRDefault="00964EF6" w:rsidP="00BE76A9">
            <w:pPr>
              <w:jc w:val="center"/>
              <w:rPr>
                <w:rFonts w:asciiTheme="minorHAnsi" w:hAnsiTheme="minorHAnsi" w:cstheme="minorHAnsi"/>
                <w:b/>
                <w:sz w:val="20"/>
                <w:szCs w:val="20"/>
              </w:rPr>
            </w:pPr>
            <w:r>
              <w:rPr>
                <w:rFonts w:asciiTheme="minorHAnsi" w:hAnsiTheme="minorHAnsi" w:cstheme="minorHAnsi"/>
                <w:b/>
                <w:sz w:val="20"/>
                <w:szCs w:val="20"/>
              </w:rPr>
              <w:t>10.0</w:t>
            </w:r>
          </w:p>
        </w:tc>
        <w:tc>
          <w:tcPr>
            <w:tcW w:w="1221" w:type="dxa"/>
            <w:tcBorders>
              <w:top w:val="single" w:sz="4" w:space="0" w:color="auto"/>
              <w:left w:val="single" w:sz="4" w:space="0" w:color="auto"/>
              <w:bottom w:val="single" w:sz="4" w:space="0" w:color="auto"/>
              <w:right w:val="single" w:sz="4" w:space="0" w:color="auto"/>
            </w:tcBorders>
          </w:tcPr>
          <w:p w:rsidR="00326492" w:rsidRPr="00FF412B" w:rsidRDefault="00964EF6" w:rsidP="00BE76A9">
            <w:pPr>
              <w:jc w:val="center"/>
              <w:rPr>
                <w:rFonts w:asciiTheme="minorHAnsi" w:hAnsiTheme="minorHAnsi" w:cstheme="minorHAnsi"/>
                <w:b/>
                <w:sz w:val="20"/>
                <w:szCs w:val="20"/>
              </w:rPr>
            </w:pPr>
            <w:r>
              <w:rPr>
                <w:rFonts w:asciiTheme="minorHAnsi" w:hAnsiTheme="minorHAnsi" w:cstheme="minorHAnsi"/>
                <w:b/>
                <w:sz w:val="20"/>
                <w:szCs w:val="20"/>
              </w:rPr>
              <w:t>6.0</w:t>
            </w:r>
          </w:p>
        </w:tc>
      </w:tr>
      <w:tr w:rsidR="00326492" w:rsidRPr="0057403C" w:rsidTr="00BE76A9">
        <w:tc>
          <w:tcPr>
            <w:tcW w:w="2211" w:type="dxa"/>
            <w:tcBorders>
              <w:top w:val="single" w:sz="4" w:space="0" w:color="auto"/>
              <w:bottom w:val="single" w:sz="4" w:space="0" w:color="auto"/>
              <w:right w:val="single" w:sz="4" w:space="0" w:color="auto"/>
            </w:tcBorders>
          </w:tcPr>
          <w:p w:rsidR="00326492" w:rsidRPr="00FF412B" w:rsidRDefault="00326492" w:rsidP="00BE76A9">
            <w:pPr>
              <w:rPr>
                <w:rFonts w:ascii="Calibri" w:hAnsi="Calibri" w:cs="Calibri"/>
                <w:sz w:val="20"/>
                <w:szCs w:val="20"/>
              </w:rPr>
            </w:pPr>
            <w:r>
              <w:rPr>
                <w:rFonts w:ascii="Calibri" w:hAnsi="Calibri" w:cs="Calibri"/>
                <w:sz w:val="20"/>
                <w:szCs w:val="20"/>
              </w:rPr>
              <w:t>Standard Deviation</w:t>
            </w:r>
          </w:p>
        </w:tc>
        <w:tc>
          <w:tcPr>
            <w:tcW w:w="1252" w:type="dxa"/>
            <w:tcBorders>
              <w:top w:val="single" w:sz="4" w:space="0" w:color="auto"/>
              <w:left w:val="single" w:sz="4" w:space="0" w:color="auto"/>
              <w:bottom w:val="single" w:sz="4" w:space="0" w:color="auto"/>
              <w:right w:val="single" w:sz="4" w:space="0" w:color="auto"/>
            </w:tcBorders>
          </w:tcPr>
          <w:p w:rsidR="00326492" w:rsidRPr="00812445" w:rsidRDefault="00326492" w:rsidP="00BE76A9">
            <w:pPr>
              <w:jc w:val="center"/>
              <w:rPr>
                <w:rFonts w:asciiTheme="minorHAnsi" w:hAnsiTheme="minorHAnsi" w:cstheme="minorHAnsi"/>
                <w:sz w:val="20"/>
                <w:szCs w:val="20"/>
              </w:rPr>
            </w:pPr>
          </w:p>
        </w:tc>
        <w:tc>
          <w:tcPr>
            <w:tcW w:w="1304" w:type="dxa"/>
            <w:tcBorders>
              <w:top w:val="single" w:sz="4" w:space="0" w:color="auto"/>
              <w:left w:val="single" w:sz="4" w:space="0" w:color="auto"/>
              <w:bottom w:val="single" w:sz="4" w:space="0" w:color="auto"/>
              <w:right w:val="single" w:sz="4" w:space="0" w:color="auto"/>
            </w:tcBorders>
          </w:tcPr>
          <w:p w:rsidR="00326492" w:rsidRPr="00FF412B" w:rsidRDefault="00326492" w:rsidP="00BE76A9">
            <w:pPr>
              <w:jc w:val="center"/>
              <w:rPr>
                <w:rFonts w:asciiTheme="minorHAnsi" w:hAnsiTheme="minorHAnsi" w:cstheme="minorHAnsi"/>
                <w:sz w:val="20"/>
                <w:szCs w:val="20"/>
              </w:rPr>
            </w:pPr>
            <w:r>
              <w:rPr>
                <w:rFonts w:asciiTheme="minorHAnsi" w:hAnsiTheme="minorHAnsi" w:cstheme="minorHAnsi"/>
                <w:sz w:val="20"/>
                <w:szCs w:val="20"/>
              </w:rPr>
              <w:t>4.</w:t>
            </w:r>
            <w:r w:rsidR="00964EF6">
              <w:rPr>
                <w:rFonts w:asciiTheme="minorHAnsi" w:hAnsiTheme="minorHAnsi" w:cstheme="minorHAnsi"/>
                <w:sz w:val="20"/>
                <w:szCs w:val="20"/>
              </w:rPr>
              <w:t>1</w:t>
            </w:r>
          </w:p>
        </w:tc>
        <w:tc>
          <w:tcPr>
            <w:tcW w:w="1519" w:type="dxa"/>
            <w:tcBorders>
              <w:top w:val="single" w:sz="4" w:space="0" w:color="auto"/>
              <w:left w:val="single" w:sz="4" w:space="0" w:color="auto"/>
              <w:bottom w:val="single" w:sz="4" w:space="0" w:color="auto"/>
              <w:right w:val="single" w:sz="4" w:space="0" w:color="auto"/>
            </w:tcBorders>
          </w:tcPr>
          <w:p w:rsidR="00326492" w:rsidRPr="00FF412B" w:rsidRDefault="00964EF6" w:rsidP="00BE76A9">
            <w:pPr>
              <w:jc w:val="center"/>
              <w:rPr>
                <w:rFonts w:asciiTheme="minorHAnsi" w:hAnsiTheme="minorHAnsi" w:cstheme="minorHAnsi"/>
                <w:sz w:val="20"/>
                <w:szCs w:val="20"/>
              </w:rPr>
            </w:pPr>
            <w:r>
              <w:rPr>
                <w:rFonts w:asciiTheme="minorHAnsi" w:hAnsiTheme="minorHAnsi" w:cstheme="minorHAnsi"/>
                <w:sz w:val="20"/>
                <w:szCs w:val="20"/>
              </w:rPr>
              <w:t>0.0</w:t>
            </w:r>
          </w:p>
        </w:tc>
        <w:tc>
          <w:tcPr>
            <w:tcW w:w="1221" w:type="dxa"/>
            <w:tcBorders>
              <w:top w:val="single" w:sz="4" w:space="0" w:color="auto"/>
              <w:left w:val="single" w:sz="4" w:space="0" w:color="auto"/>
              <w:bottom w:val="single" w:sz="4" w:space="0" w:color="auto"/>
              <w:right w:val="single" w:sz="4" w:space="0" w:color="auto"/>
            </w:tcBorders>
          </w:tcPr>
          <w:p w:rsidR="00326492" w:rsidRPr="00FF412B" w:rsidRDefault="00964EF6" w:rsidP="00BE76A9">
            <w:pPr>
              <w:jc w:val="center"/>
              <w:rPr>
                <w:rFonts w:asciiTheme="minorHAnsi" w:hAnsiTheme="minorHAnsi" w:cstheme="minorHAnsi"/>
                <w:sz w:val="20"/>
                <w:szCs w:val="20"/>
              </w:rPr>
            </w:pPr>
            <w:r>
              <w:rPr>
                <w:rFonts w:asciiTheme="minorHAnsi" w:hAnsiTheme="minorHAnsi" w:cstheme="minorHAnsi"/>
                <w:sz w:val="20"/>
                <w:szCs w:val="20"/>
              </w:rPr>
              <w:t>3.0</w:t>
            </w:r>
          </w:p>
        </w:tc>
      </w:tr>
    </w:tbl>
    <w:p w:rsidR="00326492" w:rsidRPr="0057403C" w:rsidRDefault="00326492" w:rsidP="00326492">
      <w:pPr>
        <w:rPr>
          <w:rFonts w:asciiTheme="minorHAnsi" w:hAnsiTheme="minorHAnsi" w:cstheme="minorHAnsi"/>
          <w:sz w:val="20"/>
          <w:szCs w:val="20"/>
        </w:rPr>
      </w:pPr>
      <w:r w:rsidRPr="0057403C">
        <w:rPr>
          <w:rFonts w:asciiTheme="minorHAnsi" w:hAnsiTheme="minorHAnsi" w:cstheme="minorHAnsi"/>
          <w:sz w:val="20"/>
          <w:szCs w:val="20"/>
        </w:rPr>
        <w:t xml:space="preserve">Notes: </w:t>
      </w:r>
      <w:r>
        <w:rPr>
          <w:rFonts w:asciiTheme="minorHAnsi" w:hAnsiTheme="minorHAnsi" w:cstheme="minorHAnsi"/>
          <w:sz w:val="20"/>
          <w:szCs w:val="20"/>
        </w:rPr>
        <w:t xml:space="preserve">The sample period for this analysis was </w:t>
      </w:r>
      <w:r w:rsidR="00964EF6">
        <w:rPr>
          <w:rFonts w:asciiTheme="minorHAnsi" w:hAnsiTheme="minorHAnsi" w:cstheme="minorHAnsi"/>
          <w:sz w:val="20"/>
          <w:szCs w:val="20"/>
        </w:rPr>
        <w:t>February 2011</w:t>
      </w:r>
      <w:r w:rsidRPr="0057403C">
        <w:rPr>
          <w:rFonts w:asciiTheme="minorHAnsi" w:hAnsiTheme="minorHAnsi" w:cstheme="minorHAnsi"/>
          <w:sz w:val="20"/>
          <w:szCs w:val="20"/>
        </w:rPr>
        <w:t xml:space="preserve"> through </w:t>
      </w:r>
      <w:r w:rsidR="00964EF6">
        <w:rPr>
          <w:rFonts w:asciiTheme="minorHAnsi" w:hAnsiTheme="minorHAnsi" w:cstheme="minorHAnsi"/>
          <w:sz w:val="20"/>
          <w:szCs w:val="20"/>
        </w:rPr>
        <w:t>November</w:t>
      </w:r>
      <w:r>
        <w:rPr>
          <w:rFonts w:asciiTheme="minorHAnsi" w:hAnsiTheme="minorHAnsi" w:cstheme="minorHAnsi"/>
          <w:sz w:val="20"/>
          <w:szCs w:val="20"/>
        </w:rPr>
        <w:t xml:space="preserve"> 201</w:t>
      </w:r>
      <w:r w:rsidR="00964EF6">
        <w:rPr>
          <w:rFonts w:asciiTheme="minorHAnsi" w:hAnsiTheme="minorHAnsi" w:cstheme="minorHAnsi"/>
          <w:sz w:val="20"/>
          <w:szCs w:val="20"/>
        </w:rPr>
        <w:t>4</w:t>
      </w:r>
      <w:r>
        <w:rPr>
          <w:rFonts w:asciiTheme="minorHAnsi" w:hAnsiTheme="minorHAnsi" w:cstheme="minorHAnsi"/>
          <w:sz w:val="20"/>
          <w:szCs w:val="20"/>
        </w:rPr>
        <w:t xml:space="preserve"> and the derivation and calculation of the Indicators are explained elsewhere in this paper. </w:t>
      </w:r>
    </w:p>
    <w:p w:rsidR="00326492" w:rsidRDefault="00326492">
      <w:pPr>
        <w:rPr>
          <w:rFonts w:asciiTheme="minorHAnsi" w:hAnsiTheme="minorHAnsi" w:cstheme="minorHAnsi"/>
        </w:rPr>
      </w:pPr>
    </w:p>
    <w:p w:rsidR="00FF412B" w:rsidRDefault="00FF412B">
      <w:pPr>
        <w:rPr>
          <w:rFonts w:asciiTheme="minorHAnsi" w:hAnsiTheme="minorHAnsi" w:cstheme="minorHAnsi"/>
        </w:rPr>
      </w:pPr>
      <w:r>
        <w:rPr>
          <w:rFonts w:asciiTheme="minorHAnsi" w:hAnsiTheme="minorHAnsi" w:cstheme="minorHAnsi"/>
        </w:rPr>
        <w:t xml:space="preserve">The outcome of this quantitative assessment is clear, but slightly surprising. Despite its simplicity, the </w:t>
      </w:r>
      <w:r w:rsidRPr="00FF412B">
        <w:rPr>
          <w:rFonts w:asciiTheme="minorHAnsi" w:hAnsiTheme="minorHAnsi" w:cstheme="minorHAnsi"/>
        </w:rPr>
        <w:t>Five-Variable Equally Weighted Indicator</w:t>
      </w:r>
      <w:r>
        <w:rPr>
          <w:rFonts w:asciiTheme="minorHAnsi" w:hAnsiTheme="minorHAnsi" w:cstheme="minorHAnsi"/>
        </w:rPr>
        <w:t xml:space="preserve"> outperforms both the current Indicator and the more sophisticated econometrically estimated Indicator. In terms of the key criterion of average lead times, the </w:t>
      </w:r>
      <w:r w:rsidRPr="00FF412B">
        <w:rPr>
          <w:rFonts w:asciiTheme="minorHAnsi" w:hAnsiTheme="minorHAnsi" w:cstheme="minorHAnsi"/>
        </w:rPr>
        <w:t>Five-Variable Equally Weighted Indicator</w:t>
      </w:r>
      <w:r>
        <w:rPr>
          <w:rFonts w:asciiTheme="minorHAnsi" w:hAnsiTheme="minorHAnsi" w:cstheme="minorHAnsi"/>
        </w:rPr>
        <w:t xml:space="preserve"> performs very well, with an average lead time of over a year</w:t>
      </w:r>
      <w:r w:rsidR="007B3E45">
        <w:rPr>
          <w:rFonts w:asciiTheme="minorHAnsi" w:hAnsiTheme="minorHAnsi" w:cstheme="minorHAnsi"/>
        </w:rPr>
        <w:t xml:space="preserve"> in the estimation period and almost a year in the out-of-sample forecasting period</w:t>
      </w:r>
      <w:r>
        <w:rPr>
          <w:rFonts w:asciiTheme="minorHAnsi" w:hAnsiTheme="minorHAnsi" w:cstheme="minorHAnsi"/>
        </w:rPr>
        <w:t xml:space="preserve">, but both the current Indicator and the econometrically estimated Indicator are barely suitable to be used (or retained) as an Indicator, </w:t>
      </w:r>
      <w:r w:rsidR="002277E6">
        <w:rPr>
          <w:rFonts w:asciiTheme="minorHAnsi" w:hAnsiTheme="minorHAnsi" w:cstheme="minorHAnsi"/>
        </w:rPr>
        <w:t>because th</w:t>
      </w:r>
      <w:r w:rsidR="00571108">
        <w:rPr>
          <w:rFonts w:asciiTheme="minorHAnsi" w:hAnsiTheme="minorHAnsi" w:cstheme="minorHAnsi"/>
        </w:rPr>
        <w:t xml:space="preserve">e average lead times are </w:t>
      </w:r>
      <w:r w:rsidR="007B3E45">
        <w:rPr>
          <w:rFonts w:asciiTheme="minorHAnsi" w:hAnsiTheme="minorHAnsi" w:cstheme="minorHAnsi"/>
        </w:rPr>
        <w:t xml:space="preserve">generally </w:t>
      </w:r>
      <w:r w:rsidR="00571108">
        <w:rPr>
          <w:rFonts w:asciiTheme="minorHAnsi" w:hAnsiTheme="minorHAnsi" w:cstheme="minorHAnsi"/>
        </w:rPr>
        <w:t>around</w:t>
      </w:r>
      <w:r w:rsidR="002277E6">
        <w:rPr>
          <w:rFonts w:asciiTheme="minorHAnsi" w:hAnsiTheme="minorHAnsi" w:cstheme="minorHAnsi"/>
        </w:rPr>
        <w:t xml:space="preserve"> or under six months</w:t>
      </w:r>
      <w:r w:rsidR="007B3E45">
        <w:rPr>
          <w:rStyle w:val="FootnoteReference"/>
          <w:rFonts w:asciiTheme="minorHAnsi" w:hAnsiTheme="minorHAnsi" w:cstheme="minorHAnsi"/>
        </w:rPr>
        <w:footnoteReference w:id="13"/>
      </w:r>
      <w:r w:rsidR="002277E6">
        <w:rPr>
          <w:rFonts w:asciiTheme="minorHAnsi" w:hAnsiTheme="minorHAnsi" w:cstheme="minorHAnsi"/>
        </w:rPr>
        <w:t xml:space="preserve">, but six consecutive monthly moves in a different direction are needed before a turning point signal can be confirmed. </w:t>
      </w:r>
      <w:r>
        <w:rPr>
          <w:rFonts w:asciiTheme="minorHAnsi" w:hAnsiTheme="minorHAnsi" w:cstheme="minorHAnsi"/>
        </w:rPr>
        <w:t xml:space="preserve"> </w:t>
      </w:r>
    </w:p>
    <w:p w:rsidR="003039ED" w:rsidRDefault="003039ED">
      <w:pPr>
        <w:rPr>
          <w:rFonts w:asciiTheme="minorHAnsi" w:hAnsiTheme="minorHAnsi" w:cstheme="minorHAnsi"/>
        </w:rPr>
      </w:pPr>
    </w:p>
    <w:p w:rsidR="00FF412B" w:rsidRDefault="002277E6">
      <w:pPr>
        <w:rPr>
          <w:rFonts w:asciiTheme="minorHAnsi" w:hAnsiTheme="minorHAnsi" w:cstheme="minorHAnsi"/>
        </w:rPr>
      </w:pPr>
      <w:r>
        <w:rPr>
          <w:rFonts w:asciiTheme="minorHAnsi" w:hAnsiTheme="minorHAnsi" w:cstheme="minorHAnsi"/>
        </w:rPr>
        <w:t xml:space="preserve">The average lead times of both the current Indicator and the econometrically estimated Indicator were reduced </w:t>
      </w:r>
      <w:r w:rsidR="00571108">
        <w:rPr>
          <w:rFonts w:asciiTheme="minorHAnsi" w:hAnsiTheme="minorHAnsi" w:cstheme="minorHAnsi"/>
        </w:rPr>
        <w:t>w</w:t>
      </w:r>
      <w:r>
        <w:rPr>
          <w:rFonts w:asciiTheme="minorHAnsi" w:hAnsiTheme="minorHAnsi" w:cstheme="minorHAnsi"/>
        </w:rPr>
        <w:t>hen they were lagging Indicators</w:t>
      </w:r>
      <w:r w:rsidR="00571108">
        <w:rPr>
          <w:rFonts w:asciiTheme="minorHAnsi" w:hAnsiTheme="minorHAnsi" w:cstheme="minorHAnsi"/>
        </w:rPr>
        <w:t xml:space="preserve"> (twice for the current Indicator and once for the econometrically estimated indicator</w:t>
      </w:r>
      <w:r w:rsidR="007B3E45">
        <w:rPr>
          <w:rFonts w:asciiTheme="minorHAnsi" w:hAnsiTheme="minorHAnsi" w:cstheme="minorHAnsi"/>
        </w:rPr>
        <w:t xml:space="preserve"> during the estimation period</w:t>
      </w:r>
      <w:r w:rsidR="00571108">
        <w:rPr>
          <w:rFonts w:asciiTheme="minorHAnsi" w:hAnsiTheme="minorHAnsi" w:cstheme="minorHAnsi"/>
        </w:rPr>
        <w:t xml:space="preserve">), not leading Indicators. </w:t>
      </w:r>
      <w:r w:rsidR="007B3E45">
        <w:rPr>
          <w:rFonts w:asciiTheme="minorHAnsi" w:hAnsiTheme="minorHAnsi" w:cstheme="minorHAnsi"/>
        </w:rPr>
        <w:t>During the estimation period, t</w:t>
      </w:r>
      <w:r w:rsidR="00571108">
        <w:rPr>
          <w:rFonts w:asciiTheme="minorHAnsi" w:hAnsiTheme="minorHAnsi" w:cstheme="minorHAnsi"/>
        </w:rPr>
        <w:t>hese two alternative indicators also missed detecting two</w:t>
      </w:r>
      <w:r>
        <w:rPr>
          <w:rFonts w:asciiTheme="minorHAnsi" w:hAnsiTheme="minorHAnsi" w:cstheme="minorHAnsi"/>
        </w:rPr>
        <w:t xml:space="preserve"> turning point signals </w:t>
      </w:r>
      <w:r w:rsidR="00571108">
        <w:rPr>
          <w:rFonts w:asciiTheme="minorHAnsi" w:hAnsiTheme="minorHAnsi" w:cstheme="minorHAnsi"/>
        </w:rPr>
        <w:t xml:space="preserve">each </w:t>
      </w:r>
      <w:r>
        <w:rPr>
          <w:rFonts w:asciiTheme="minorHAnsi" w:hAnsiTheme="minorHAnsi" w:cstheme="minorHAnsi"/>
        </w:rPr>
        <w:t xml:space="preserve">for cyclical employment, whereas the </w:t>
      </w:r>
      <w:r w:rsidRPr="00FF412B">
        <w:rPr>
          <w:rFonts w:asciiTheme="minorHAnsi" w:hAnsiTheme="minorHAnsi" w:cstheme="minorHAnsi"/>
        </w:rPr>
        <w:t>Five-Variable Equally Weighted Indicator</w:t>
      </w:r>
      <w:r>
        <w:rPr>
          <w:rFonts w:asciiTheme="minorHAnsi" w:hAnsiTheme="minorHAnsi" w:cstheme="minorHAnsi"/>
        </w:rPr>
        <w:t xml:space="preserve"> missed none of </w:t>
      </w:r>
      <w:r>
        <w:rPr>
          <w:rFonts w:asciiTheme="minorHAnsi" w:hAnsiTheme="minorHAnsi" w:cstheme="minorHAnsi"/>
        </w:rPr>
        <w:lastRenderedPageBreak/>
        <w:t>the turning point signals for cyclical employment</w:t>
      </w:r>
      <w:r w:rsidR="004B4BA7">
        <w:rPr>
          <w:rFonts w:asciiTheme="minorHAnsi" w:hAnsiTheme="minorHAnsi" w:cstheme="minorHAnsi"/>
        </w:rPr>
        <w:t xml:space="preserve">, and was only less than six months lead time (3 months) for the January </w:t>
      </w:r>
      <w:r w:rsidR="00410F04">
        <w:rPr>
          <w:rFonts w:asciiTheme="minorHAnsi" w:hAnsiTheme="minorHAnsi" w:cstheme="minorHAnsi"/>
        </w:rPr>
        <w:t>2006</w:t>
      </w:r>
      <w:r w:rsidR="004B4BA7">
        <w:rPr>
          <w:rFonts w:asciiTheme="minorHAnsi" w:hAnsiTheme="minorHAnsi" w:cstheme="minorHAnsi"/>
        </w:rPr>
        <w:t xml:space="preserve"> trough</w:t>
      </w:r>
      <w:r>
        <w:rPr>
          <w:rFonts w:asciiTheme="minorHAnsi" w:hAnsiTheme="minorHAnsi" w:cstheme="minorHAnsi"/>
        </w:rPr>
        <w:t xml:space="preserve">.  </w:t>
      </w:r>
    </w:p>
    <w:p w:rsidR="002277E6" w:rsidRDefault="002277E6">
      <w:pPr>
        <w:rPr>
          <w:rFonts w:asciiTheme="minorHAnsi" w:hAnsiTheme="minorHAnsi" w:cstheme="minorHAnsi"/>
        </w:rPr>
      </w:pPr>
    </w:p>
    <w:p w:rsidR="00381335" w:rsidRDefault="00381335">
      <w:pPr>
        <w:rPr>
          <w:rFonts w:asciiTheme="minorHAnsi" w:hAnsiTheme="minorHAnsi" w:cstheme="minorHAnsi"/>
        </w:rPr>
      </w:pPr>
      <w:r>
        <w:rPr>
          <w:rFonts w:asciiTheme="minorHAnsi" w:hAnsiTheme="minorHAnsi" w:cstheme="minorHAnsi"/>
        </w:rPr>
        <w:t xml:space="preserve">The </w:t>
      </w:r>
      <w:r w:rsidRPr="00FF412B">
        <w:rPr>
          <w:rFonts w:asciiTheme="minorHAnsi" w:hAnsiTheme="minorHAnsi" w:cstheme="minorHAnsi"/>
        </w:rPr>
        <w:t>Five-Variable Equally Weighted Indicator</w:t>
      </w:r>
      <w:r>
        <w:rPr>
          <w:rFonts w:asciiTheme="minorHAnsi" w:hAnsiTheme="minorHAnsi" w:cstheme="minorHAnsi"/>
        </w:rPr>
        <w:t xml:space="preserve"> did have an extra peak (in </w:t>
      </w:r>
      <w:r w:rsidRPr="00381335">
        <w:rPr>
          <w:rFonts w:asciiTheme="minorHAnsi" w:hAnsiTheme="minorHAnsi" w:cstheme="minorHAnsi"/>
        </w:rPr>
        <w:t>December 1997</w:t>
      </w:r>
      <w:r w:rsidR="00326492">
        <w:rPr>
          <w:rFonts w:asciiTheme="minorHAnsi" w:hAnsiTheme="minorHAnsi" w:cstheme="minorHAnsi"/>
        </w:rPr>
        <w:t>) and an extra trough (in August</w:t>
      </w:r>
      <w:r>
        <w:rPr>
          <w:rFonts w:asciiTheme="minorHAnsi" w:hAnsiTheme="minorHAnsi" w:cstheme="minorHAnsi"/>
        </w:rPr>
        <w:t xml:space="preserve"> 1998) that weren’t present in cyclical employment. However, both this peak and trough were followed by </w:t>
      </w:r>
      <w:r w:rsidR="00EC761D">
        <w:rPr>
          <w:rFonts w:asciiTheme="minorHAnsi" w:hAnsiTheme="minorHAnsi" w:cstheme="minorHAnsi"/>
        </w:rPr>
        <w:t xml:space="preserve">weakly confirmed peaks and troughs </w:t>
      </w:r>
      <w:r w:rsidR="00326492">
        <w:rPr>
          <w:rFonts w:asciiTheme="minorHAnsi" w:hAnsiTheme="minorHAnsi" w:cstheme="minorHAnsi"/>
        </w:rPr>
        <w:t>in cyclical employment, 10 and 6</w:t>
      </w:r>
      <w:r w:rsidR="00EC761D">
        <w:rPr>
          <w:rFonts w:asciiTheme="minorHAnsi" w:hAnsiTheme="minorHAnsi" w:cstheme="minorHAnsi"/>
        </w:rPr>
        <w:t xml:space="preserve"> months later respectively. Visual evidence for this can be seen in Figure 5. What is also evident from Figure 5 is that neither the extra peak nor the extra trough, nor the corresponding movements in cyclical employment around three quarters of a year later, had much amplitude (i.e., all were in the range of + or – one standard deviation from trend). In other words, the extra turning points were not signalling major peaks or troughs in employment which did not subsequently occur. </w:t>
      </w:r>
    </w:p>
    <w:p w:rsidR="00381335" w:rsidRDefault="00381335">
      <w:pPr>
        <w:rPr>
          <w:rFonts w:asciiTheme="minorHAnsi" w:hAnsiTheme="minorHAnsi" w:cstheme="minorHAnsi"/>
        </w:rPr>
      </w:pPr>
    </w:p>
    <w:p w:rsidR="00381335" w:rsidRDefault="00381335" w:rsidP="00381335">
      <w:pPr>
        <w:rPr>
          <w:rFonts w:asciiTheme="minorHAnsi" w:hAnsiTheme="minorHAnsi" w:cstheme="minorHAnsi"/>
        </w:rPr>
      </w:pPr>
      <w:r>
        <w:rPr>
          <w:rFonts w:ascii="Calibri" w:hAnsi="Calibri" w:cs="Calibri"/>
          <w:color w:val="000000" w:themeColor="text1"/>
        </w:rPr>
        <w:t xml:space="preserve">Figure 5: </w:t>
      </w:r>
      <w:r>
        <w:rPr>
          <w:rFonts w:ascii="Calibri" w:hAnsi="Calibri" w:cs="Calibri"/>
          <w:b/>
          <w:color w:val="000000" w:themeColor="text1"/>
        </w:rPr>
        <w:t xml:space="preserve">Cyclical Employment and the </w:t>
      </w:r>
      <w:r w:rsidRPr="00381335">
        <w:rPr>
          <w:rFonts w:asciiTheme="minorHAnsi" w:hAnsiTheme="minorHAnsi" w:cstheme="minorHAnsi"/>
          <w:b/>
        </w:rPr>
        <w:t>Five-Variable Equally Weighted Indicator</w:t>
      </w:r>
    </w:p>
    <w:p w:rsidR="002277E6" w:rsidRDefault="002277E6">
      <w:pPr>
        <w:rPr>
          <w:rFonts w:asciiTheme="minorHAnsi" w:hAnsiTheme="minorHAnsi" w:cstheme="minorHAnsi"/>
        </w:rPr>
      </w:pPr>
    </w:p>
    <w:p w:rsidR="002277E6" w:rsidRDefault="003D7992">
      <w:pPr>
        <w:rPr>
          <w:rFonts w:asciiTheme="minorHAnsi" w:hAnsiTheme="minorHAnsi" w:cstheme="minorHAnsi"/>
        </w:rPr>
      </w:pPr>
      <w:r w:rsidRPr="003D7992">
        <w:rPr>
          <w:noProof/>
        </w:rPr>
        <w:drawing>
          <wp:inline distT="0" distB="0" distL="0" distR="0" wp14:anchorId="4386BEDB" wp14:editId="2354B825">
            <wp:extent cx="5274310" cy="3469372"/>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3469372"/>
                    </a:xfrm>
                    <a:prstGeom prst="rect">
                      <a:avLst/>
                    </a:prstGeom>
                    <a:noFill/>
                    <a:ln>
                      <a:noFill/>
                    </a:ln>
                  </pic:spPr>
                </pic:pic>
              </a:graphicData>
            </a:graphic>
          </wp:inline>
        </w:drawing>
      </w:r>
    </w:p>
    <w:p w:rsidR="00445C1B" w:rsidRPr="0002758A" w:rsidRDefault="00445C1B" w:rsidP="00445C1B">
      <w:pPr>
        <w:rPr>
          <w:rFonts w:asciiTheme="minorHAnsi" w:hAnsiTheme="minorHAnsi" w:cstheme="minorHAnsi"/>
          <w:sz w:val="20"/>
          <w:szCs w:val="20"/>
        </w:rPr>
      </w:pPr>
      <w:r w:rsidRPr="0002758A">
        <w:rPr>
          <w:rFonts w:asciiTheme="minorHAnsi" w:hAnsiTheme="minorHAnsi" w:cstheme="minorHAnsi"/>
          <w:sz w:val="20"/>
          <w:szCs w:val="20"/>
        </w:rPr>
        <w:t xml:space="preserve">Source: constructed </w:t>
      </w:r>
      <w:r>
        <w:rPr>
          <w:rFonts w:asciiTheme="minorHAnsi" w:hAnsiTheme="minorHAnsi" w:cstheme="minorHAnsi"/>
          <w:sz w:val="20"/>
          <w:szCs w:val="20"/>
        </w:rPr>
        <w:t xml:space="preserve">by the authors </w:t>
      </w:r>
      <w:r w:rsidRPr="0002758A">
        <w:rPr>
          <w:rFonts w:asciiTheme="minorHAnsi" w:hAnsiTheme="minorHAnsi" w:cstheme="minorHAnsi"/>
          <w:sz w:val="20"/>
          <w:szCs w:val="20"/>
        </w:rPr>
        <w:t xml:space="preserve">using the methods explained in this paper from various data sources. </w:t>
      </w:r>
    </w:p>
    <w:p w:rsidR="002277E6" w:rsidRDefault="002277E6">
      <w:pPr>
        <w:rPr>
          <w:rFonts w:asciiTheme="minorHAnsi" w:hAnsiTheme="minorHAnsi" w:cstheme="minorHAnsi"/>
        </w:rPr>
      </w:pPr>
    </w:p>
    <w:p w:rsidR="00EC761D" w:rsidRDefault="00EC761D">
      <w:pPr>
        <w:rPr>
          <w:rFonts w:asciiTheme="minorHAnsi" w:hAnsiTheme="minorHAnsi" w:cstheme="minorHAnsi"/>
        </w:rPr>
      </w:pPr>
      <w:r>
        <w:rPr>
          <w:rFonts w:asciiTheme="minorHAnsi" w:hAnsiTheme="minorHAnsi" w:cstheme="minorHAnsi"/>
        </w:rPr>
        <w:t xml:space="preserve">Figure 5 also shows that there is reasonably good conformance between the shape of the two series. </w:t>
      </w:r>
      <w:r w:rsidR="00F5120B">
        <w:rPr>
          <w:rFonts w:asciiTheme="minorHAnsi" w:hAnsiTheme="minorHAnsi" w:cstheme="minorHAnsi"/>
        </w:rPr>
        <w:t xml:space="preserve">While the amplitude of the trough in this Indicator immediately after the Global Recession was substantially larger than the subsequent trough in cyclical employment, this is not necessarily a bad occurrence as it gives a strong signal of the potential effects that the Global Recession could have had on Australian employment. A probable explanation for the lower-amplitude trough in cyclical employment is that the Australian labour market was well placed to withstand the effects of the Global Recession (both directly through the flexibility of our labour market and indirectly through other protective mechanisms such as strong trade links with China and India and good prudential regulation of the Australian financial </w:t>
      </w:r>
      <w:r w:rsidR="00F5120B">
        <w:rPr>
          <w:rFonts w:asciiTheme="minorHAnsi" w:hAnsiTheme="minorHAnsi" w:cstheme="minorHAnsi"/>
        </w:rPr>
        <w:lastRenderedPageBreak/>
        <w:t>system) and that substantial and effective action (fiscal and monetary stimulus</w:t>
      </w:r>
      <w:r w:rsidR="00445C1B">
        <w:rPr>
          <w:rFonts w:asciiTheme="minorHAnsi" w:hAnsiTheme="minorHAnsi" w:cstheme="minorHAnsi"/>
        </w:rPr>
        <w:t xml:space="preserve">, banks deposit guarantees, etc) was taken to reduce the effects of the Global Recession on the Australian labour market. </w:t>
      </w:r>
    </w:p>
    <w:p w:rsidR="00EC761D" w:rsidRDefault="00EC761D">
      <w:pPr>
        <w:rPr>
          <w:rFonts w:asciiTheme="minorHAnsi" w:hAnsiTheme="minorHAnsi" w:cstheme="minorHAnsi"/>
        </w:rPr>
      </w:pPr>
    </w:p>
    <w:p w:rsidR="00445C1B" w:rsidRDefault="00445C1B">
      <w:pPr>
        <w:rPr>
          <w:rFonts w:asciiTheme="minorHAnsi" w:hAnsiTheme="minorHAnsi" w:cstheme="minorHAnsi"/>
        </w:rPr>
      </w:pPr>
      <w:r>
        <w:rPr>
          <w:rFonts w:asciiTheme="minorHAnsi" w:hAnsiTheme="minorHAnsi" w:cstheme="minorHAnsi"/>
        </w:rPr>
        <w:t xml:space="preserve">In addition to the econometrically estimated Indicator not performing as well in the quantitative assessment as the </w:t>
      </w:r>
      <w:r w:rsidRPr="00FF412B">
        <w:rPr>
          <w:rFonts w:asciiTheme="minorHAnsi" w:hAnsiTheme="minorHAnsi" w:cstheme="minorHAnsi"/>
        </w:rPr>
        <w:t>Five-Variable Equally Weighted Indicator</w:t>
      </w:r>
      <w:r>
        <w:rPr>
          <w:rFonts w:asciiTheme="minorHAnsi" w:hAnsiTheme="minorHAnsi" w:cstheme="minorHAnsi"/>
        </w:rPr>
        <w:t>, it doesn’t look as suitable on visual inspection</w:t>
      </w:r>
      <w:r w:rsidR="004E5E41">
        <w:rPr>
          <w:rFonts w:asciiTheme="minorHAnsi" w:hAnsiTheme="minorHAnsi" w:cstheme="minorHAnsi"/>
        </w:rPr>
        <w:t xml:space="preserve"> as this alternative Indicator</w:t>
      </w:r>
      <w:r>
        <w:rPr>
          <w:rFonts w:asciiTheme="minorHAnsi" w:hAnsiTheme="minorHAnsi" w:cstheme="minorHAnsi"/>
        </w:rPr>
        <w:t xml:space="preserve">, as can be seen in Figure 6. </w:t>
      </w:r>
    </w:p>
    <w:p w:rsidR="00445C1B" w:rsidRDefault="00445C1B">
      <w:pPr>
        <w:rPr>
          <w:rFonts w:asciiTheme="minorHAnsi" w:hAnsiTheme="minorHAnsi" w:cstheme="minorHAnsi"/>
        </w:rPr>
      </w:pPr>
    </w:p>
    <w:p w:rsidR="00445C1B" w:rsidRDefault="00445C1B" w:rsidP="00445C1B">
      <w:pPr>
        <w:rPr>
          <w:rFonts w:asciiTheme="minorHAnsi" w:hAnsiTheme="minorHAnsi" w:cstheme="minorHAnsi"/>
        </w:rPr>
      </w:pPr>
      <w:r>
        <w:rPr>
          <w:rFonts w:ascii="Calibri" w:hAnsi="Calibri" w:cs="Calibri"/>
          <w:color w:val="000000" w:themeColor="text1"/>
        </w:rPr>
        <w:t xml:space="preserve">Figure 6: </w:t>
      </w:r>
      <w:r>
        <w:rPr>
          <w:rFonts w:ascii="Calibri" w:hAnsi="Calibri" w:cs="Calibri"/>
          <w:b/>
          <w:color w:val="000000" w:themeColor="text1"/>
        </w:rPr>
        <w:t>Cyclical Employment and the Econometrically Estimated</w:t>
      </w:r>
      <w:r w:rsidRPr="00381335">
        <w:rPr>
          <w:rFonts w:asciiTheme="minorHAnsi" w:hAnsiTheme="minorHAnsi" w:cstheme="minorHAnsi"/>
          <w:b/>
        </w:rPr>
        <w:t xml:space="preserve"> Indicator</w:t>
      </w:r>
    </w:p>
    <w:p w:rsidR="00445C1B" w:rsidRDefault="00445C1B" w:rsidP="00445C1B">
      <w:pPr>
        <w:rPr>
          <w:rFonts w:asciiTheme="minorHAnsi" w:hAnsiTheme="minorHAnsi" w:cstheme="minorHAnsi"/>
        </w:rPr>
      </w:pPr>
    </w:p>
    <w:p w:rsidR="00445C1B" w:rsidRDefault="006710B7" w:rsidP="00445C1B">
      <w:pPr>
        <w:rPr>
          <w:rFonts w:asciiTheme="minorHAnsi" w:hAnsiTheme="minorHAnsi" w:cstheme="minorHAnsi"/>
        </w:rPr>
      </w:pPr>
      <w:r w:rsidRPr="006710B7">
        <w:rPr>
          <w:noProof/>
        </w:rPr>
        <w:drawing>
          <wp:inline distT="0" distB="0" distL="0" distR="0" wp14:anchorId="2DCE0F35" wp14:editId="552A3E2B">
            <wp:extent cx="5274310" cy="3465821"/>
            <wp:effectExtent l="0" t="0" r="254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4310" cy="3465821"/>
                    </a:xfrm>
                    <a:prstGeom prst="rect">
                      <a:avLst/>
                    </a:prstGeom>
                    <a:noFill/>
                    <a:ln>
                      <a:noFill/>
                    </a:ln>
                  </pic:spPr>
                </pic:pic>
              </a:graphicData>
            </a:graphic>
          </wp:inline>
        </w:drawing>
      </w:r>
    </w:p>
    <w:p w:rsidR="00445C1B" w:rsidRPr="0002758A" w:rsidRDefault="00445C1B" w:rsidP="00445C1B">
      <w:pPr>
        <w:rPr>
          <w:rFonts w:asciiTheme="minorHAnsi" w:hAnsiTheme="minorHAnsi" w:cstheme="minorHAnsi"/>
          <w:sz w:val="20"/>
          <w:szCs w:val="20"/>
        </w:rPr>
      </w:pPr>
      <w:r w:rsidRPr="0002758A">
        <w:rPr>
          <w:rFonts w:asciiTheme="minorHAnsi" w:hAnsiTheme="minorHAnsi" w:cstheme="minorHAnsi"/>
          <w:sz w:val="20"/>
          <w:szCs w:val="20"/>
        </w:rPr>
        <w:t xml:space="preserve">Source: constructed </w:t>
      </w:r>
      <w:r>
        <w:rPr>
          <w:rFonts w:asciiTheme="minorHAnsi" w:hAnsiTheme="minorHAnsi" w:cstheme="minorHAnsi"/>
          <w:sz w:val="20"/>
          <w:szCs w:val="20"/>
        </w:rPr>
        <w:t xml:space="preserve">by the authors </w:t>
      </w:r>
      <w:r w:rsidRPr="0002758A">
        <w:rPr>
          <w:rFonts w:asciiTheme="minorHAnsi" w:hAnsiTheme="minorHAnsi" w:cstheme="minorHAnsi"/>
          <w:sz w:val="20"/>
          <w:szCs w:val="20"/>
        </w:rPr>
        <w:t xml:space="preserve">using the methods explained in this paper from various data sources. </w:t>
      </w:r>
    </w:p>
    <w:p w:rsidR="00445C1B" w:rsidRDefault="00445C1B">
      <w:pPr>
        <w:rPr>
          <w:rFonts w:asciiTheme="minorHAnsi" w:hAnsiTheme="minorHAnsi" w:cstheme="minorHAnsi"/>
        </w:rPr>
      </w:pPr>
    </w:p>
    <w:p w:rsidR="00445C1B" w:rsidRDefault="004E5E41">
      <w:pPr>
        <w:rPr>
          <w:rFonts w:asciiTheme="minorHAnsi" w:hAnsiTheme="minorHAnsi" w:cstheme="minorHAnsi"/>
        </w:rPr>
      </w:pPr>
      <w:r>
        <w:rPr>
          <w:rFonts w:asciiTheme="minorHAnsi" w:hAnsiTheme="minorHAnsi" w:cstheme="minorHAnsi"/>
        </w:rPr>
        <w:t xml:space="preserve">While the econometrically estimated Indicator performed well in predicting the peak just before, and the trough immediately after, the Global Recession, it performed relatively poorly at many other times during the sample period. </w:t>
      </w:r>
    </w:p>
    <w:p w:rsidR="00EC761D" w:rsidRDefault="00EC761D">
      <w:pPr>
        <w:rPr>
          <w:rFonts w:asciiTheme="minorHAnsi" w:hAnsiTheme="minorHAnsi" w:cstheme="minorHAnsi"/>
        </w:rPr>
      </w:pPr>
    </w:p>
    <w:p w:rsidR="00FC4E79" w:rsidRDefault="00FC4E79" w:rsidP="00FC4E79">
      <w:pPr>
        <w:rPr>
          <w:rFonts w:asciiTheme="minorHAnsi" w:hAnsiTheme="minorHAnsi" w:cstheme="minorHAnsi"/>
        </w:rPr>
      </w:pPr>
      <w:r>
        <w:rPr>
          <w:rFonts w:asciiTheme="minorHAnsi" w:hAnsiTheme="minorHAnsi" w:cstheme="minorHAnsi"/>
        </w:rPr>
        <w:t xml:space="preserve">As shown in Figure 7, the current Leading Indicator did not perform particularly well in the out-of sample forecasting period on visual inspection. Since it was a lagging indicator of the initial peak in cyclical employment after the Global Recession and since this period was used as the boundary between the estimation and out-of-sample forecast periods, this made it somewhat hard to assess its performance quantitatively in the analysis shown in Table 4. </w:t>
      </w:r>
    </w:p>
    <w:p w:rsidR="00FC4E79" w:rsidRDefault="00FC4E79">
      <w:pPr>
        <w:rPr>
          <w:rFonts w:asciiTheme="minorHAnsi" w:hAnsiTheme="minorHAnsi" w:cstheme="minorHAnsi"/>
        </w:rPr>
      </w:pPr>
    </w:p>
    <w:p w:rsidR="00686812" w:rsidRDefault="00686812">
      <w:pPr>
        <w:rPr>
          <w:rFonts w:asciiTheme="minorHAnsi" w:hAnsiTheme="minorHAnsi" w:cstheme="minorHAnsi"/>
          <w:b/>
        </w:rPr>
      </w:pPr>
      <w:r>
        <w:rPr>
          <w:rFonts w:asciiTheme="minorHAnsi" w:hAnsiTheme="minorHAnsi" w:cstheme="minorHAnsi"/>
          <w:b/>
        </w:rPr>
        <w:br w:type="page"/>
      </w:r>
    </w:p>
    <w:p w:rsidR="00FC4E79" w:rsidRDefault="00FC4E79" w:rsidP="00FC4E79">
      <w:pPr>
        <w:rPr>
          <w:rFonts w:asciiTheme="minorHAnsi" w:hAnsiTheme="minorHAnsi" w:cstheme="minorHAnsi"/>
        </w:rPr>
      </w:pPr>
    </w:p>
    <w:p w:rsidR="00FC4E79" w:rsidRDefault="00FC4E79" w:rsidP="00FC4E79">
      <w:pPr>
        <w:rPr>
          <w:rFonts w:asciiTheme="minorHAnsi" w:hAnsiTheme="minorHAnsi" w:cstheme="minorHAnsi"/>
        </w:rPr>
      </w:pPr>
      <w:r>
        <w:rPr>
          <w:rFonts w:ascii="Calibri" w:hAnsi="Calibri" w:cs="Calibri"/>
          <w:color w:val="000000" w:themeColor="text1"/>
        </w:rPr>
        <w:t xml:space="preserve">Figure 7: </w:t>
      </w:r>
      <w:r>
        <w:rPr>
          <w:rFonts w:ascii="Calibri" w:hAnsi="Calibri" w:cs="Calibri"/>
          <w:b/>
          <w:color w:val="000000" w:themeColor="text1"/>
        </w:rPr>
        <w:t>Cyclical Employment and the Current Leading</w:t>
      </w:r>
      <w:r w:rsidRPr="00381335">
        <w:rPr>
          <w:rFonts w:asciiTheme="minorHAnsi" w:hAnsiTheme="minorHAnsi" w:cstheme="minorHAnsi"/>
          <w:b/>
        </w:rPr>
        <w:t xml:space="preserve"> Indicator</w:t>
      </w:r>
    </w:p>
    <w:p w:rsidR="00FC4E79" w:rsidRPr="00FC4E79" w:rsidRDefault="00FC4E79">
      <w:pPr>
        <w:rPr>
          <w:rFonts w:asciiTheme="minorHAnsi" w:hAnsiTheme="minorHAnsi" w:cstheme="minorHAnsi"/>
        </w:rPr>
      </w:pPr>
    </w:p>
    <w:p w:rsidR="00FC4E79" w:rsidRPr="00FC4E79" w:rsidRDefault="006710B7">
      <w:pPr>
        <w:rPr>
          <w:rFonts w:asciiTheme="minorHAnsi" w:hAnsiTheme="minorHAnsi" w:cstheme="minorHAnsi"/>
        </w:rPr>
      </w:pPr>
      <w:r w:rsidRPr="006710B7">
        <w:rPr>
          <w:noProof/>
        </w:rPr>
        <w:drawing>
          <wp:inline distT="0" distB="0" distL="0" distR="0" wp14:anchorId="61D187A5" wp14:editId="3E4DAAB2">
            <wp:extent cx="5274310" cy="3465821"/>
            <wp:effectExtent l="0" t="0" r="254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74310" cy="3465821"/>
                    </a:xfrm>
                    <a:prstGeom prst="rect">
                      <a:avLst/>
                    </a:prstGeom>
                    <a:noFill/>
                    <a:ln>
                      <a:noFill/>
                    </a:ln>
                  </pic:spPr>
                </pic:pic>
              </a:graphicData>
            </a:graphic>
          </wp:inline>
        </w:drawing>
      </w:r>
    </w:p>
    <w:p w:rsidR="00FC4E79" w:rsidRPr="0002758A" w:rsidRDefault="00FC4E79" w:rsidP="00FC4E79">
      <w:pPr>
        <w:rPr>
          <w:rFonts w:asciiTheme="minorHAnsi" w:hAnsiTheme="minorHAnsi" w:cstheme="minorHAnsi"/>
          <w:sz w:val="20"/>
          <w:szCs w:val="20"/>
        </w:rPr>
      </w:pPr>
      <w:r w:rsidRPr="0002758A">
        <w:rPr>
          <w:rFonts w:asciiTheme="minorHAnsi" w:hAnsiTheme="minorHAnsi" w:cstheme="minorHAnsi"/>
          <w:sz w:val="20"/>
          <w:szCs w:val="20"/>
        </w:rPr>
        <w:t xml:space="preserve">Source: constructed </w:t>
      </w:r>
      <w:r>
        <w:rPr>
          <w:rFonts w:asciiTheme="minorHAnsi" w:hAnsiTheme="minorHAnsi" w:cstheme="minorHAnsi"/>
          <w:sz w:val="20"/>
          <w:szCs w:val="20"/>
        </w:rPr>
        <w:t xml:space="preserve">by the authors </w:t>
      </w:r>
      <w:r w:rsidRPr="0002758A">
        <w:rPr>
          <w:rFonts w:asciiTheme="minorHAnsi" w:hAnsiTheme="minorHAnsi" w:cstheme="minorHAnsi"/>
          <w:sz w:val="20"/>
          <w:szCs w:val="20"/>
        </w:rPr>
        <w:t xml:space="preserve">using the methods explained in this paper from various data sources. </w:t>
      </w:r>
    </w:p>
    <w:p w:rsidR="00FC4E79" w:rsidRPr="00FC4E79" w:rsidRDefault="00FC4E79">
      <w:pPr>
        <w:rPr>
          <w:rFonts w:asciiTheme="minorHAnsi" w:hAnsiTheme="minorHAnsi" w:cstheme="minorHAnsi"/>
        </w:rPr>
      </w:pPr>
    </w:p>
    <w:p w:rsidR="00FC4E79" w:rsidRPr="00FC4E79" w:rsidRDefault="00FC4E79">
      <w:pPr>
        <w:rPr>
          <w:rFonts w:asciiTheme="minorHAnsi" w:hAnsiTheme="minorHAnsi" w:cstheme="minorHAnsi"/>
        </w:rPr>
      </w:pPr>
    </w:p>
    <w:p w:rsidR="004E5E41" w:rsidRPr="004E5E41" w:rsidRDefault="004E5E41">
      <w:pPr>
        <w:rPr>
          <w:rFonts w:asciiTheme="minorHAnsi" w:hAnsiTheme="minorHAnsi" w:cstheme="minorHAnsi"/>
          <w:b/>
        </w:rPr>
      </w:pPr>
      <w:r w:rsidRPr="004E5E41">
        <w:rPr>
          <w:rFonts w:asciiTheme="minorHAnsi" w:hAnsiTheme="minorHAnsi" w:cstheme="minorHAnsi"/>
          <w:b/>
        </w:rPr>
        <w:t>Conclusion</w:t>
      </w:r>
    </w:p>
    <w:p w:rsidR="004E5E41" w:rsidRDefault="004E5E41">
      <w:pPr>
        <w:rPr>
          <w:rFonts w:asciiTheme="minorHAnsi" w:hAnsiTheme="minorHAnsi" w:cstheme="minorHAnsi"/>
        </w:rPr>
      </w:pPr>
    </w:p>
    <w:p w:rsidR="004E5E41" w:rsidRDefault="004E5E41">
      <w:pPr>
        <w:rPr>
          <w:rFonts w:asciiTheme="minorHAnsi" w:hAnsiTheme="minorHAnsi" w:cstheme="minorHAnsi"/>
        </w:rPr>
      </w:pPr>
      <w:r>
        <w:rPr>
          <w:rFonts w:asciiTheme="minorHAnsi" w:hAnsiTheme="minorHAnsi" w:cstheme="minorHAnsi"/>
        </w:rPr>
        <w:t xml:space="preserve">The results of the final stage of the Review are clear-cut: the current Indicator should be replaced with </w:t>
      </w:r>
      <w:r w:rsidRPr="001F5C0D">
        <w:rPr>
          <w:rFonts w:asciiTheme="minorHAnsi" w:hAnsiTheme="minorHAnsi" w:cstheme="minorHAnsi"/>
        </w:rPr>
        <w:t>the Equally Weighted Five Variable Indicator</w:t>
      </w:r>
      <w:r w:rsidR="00686812">
        <w:rPr>
          <w:rFonts w:asciiTheme="minorHAnsi" w:hAnsiTheme="minorHAnsi" w:cstheme="minorHAnsi"/>
        </w:rPr>
        <w:t>, consisting of equal weights (i.e., 20 per cent each) of the following components:</w:t>
      </w:r>
      <w:r>
        <w:rPr>
          <w:rFonts w:asciiTheme="minorHAnsi" w:hAnsiTheme="minorHAnsi" w:cstheme="minorHAnsi"/>
        </w:rPr>
        <w:t xml:space="preserve"> </w:t>
      </w:r>
    </w:p>
    <w:p w:rsidR="004E5E41" w:rsidRDefault="004E5E41">
      <w:pPr>
        <w:rPr>
          <w:rFonts w:asciiTheme="minorHAnsi" w:hAnsiTheme="minorHAnsi" w:cstheme="minorHAnsi"/>
        </w:rPr>
      </w:pPr>
    </w:p>
    <w:p w:rsidR="004E5E41" w:rsidRPr="00562465" w:rsidRDefault="004E5E41" w:rsidP="00686812">
      <w:pPr>
        <w:pStyle w:val="ListParagraph"/>
        <w:numPr>
          <w:ilvl w:val="0"/>
          <w:numId w:val="7"/>
        </w:numPr>
        <w:rPr>
          <w:rFonts w:cstheme="minorHAnsi"/>
          <w:sz w:val="24"/>
          <w:szCs w:val="24"/>
        </w:rPr>
      </w:pPr>
      <w:r w:rsidRPr="00562465">
        <w:rPr>
          <w:rFonts w:cstheme="minorHAnsi"/>
          <w:sz w:val="24"/>
          <w:szCs w:val="24"/>
        </w:rPr>
        <w:t xml:space="preserve">the official (NBSC) Purchasing Managers’ Index for Manufacturing Output in China     </w:t>
      </w:r>
    </w:p>
    <w:p w:rsidR="004E5E41" w:rsidRPr="00562465" w:rsidRDefault="004E5E41" w:rsidP="00686812">
      <w:pPr>
        <w:pStyle w:val="ListParagraph"/>
        <w:numPr>
          <w:ilvl w:val="0"/>
          <w:numId w:val="7"/>
        </w:numPr>
        <w:rPr>
          <w:rFonts w:cstheme="minorHAnsi"/>
          <w:sz w:val="24"/>
          <w:szCs w:val="24"/>
        </w:rPr>
      </w:pPr>
      <w:r w:rsidRPr="00562465">
        <w:rPr>
          <w:rFonts w:cstheme="minorHAnsi"/>
          <w:sz w:val="24"/>
          <w:szCs w:val="24"/>
        </w:rPr>
        <w:t xml:space="preserve">the US Yield Difference      </w:t>
      </w:r>
    </w:p>
    <w:p w:rsidR="004E5E41" w:rsidRPr="00562465" w:rsidRDefault="004E5E41" w:rsidP="00686812">
      <w:pPr>
        <w:pStyle w:val="ListParagraph"/>
        <w:numPr>
          <w:ilvl w:val="0"/>
          <w:numId w:val="7"/>
        </w:numPr>
        <w:rPr>
          <w:rFonts w:cstheme="minorHAnsi"/>
          <w:sz w:val="24"/>
          <w:szCs w:val="24"/>
        </w:rPr>
      </w:pPr>
      <w:r w:rsidRPr="00562465">
        <w:rPr>
          <w:rFonts w:cstheme="minorHAnsi"/>
          <w:sz w:val="24"/>
          <w:szCs w:val="24"/>
        </w:rPr>
        <w:t xml:space="preserve">the </w:t>
      </w:r>
      <w:r w:rsidRPr="00562465">
        <w:rPr>
          <w:rFonts w:ascii="Calibri" w:hAnsi="Calibri" w:cs="Calibri"/>
          <w:color w:val="000000" w:themeColor="text1"/>
          <w:sz w:val="24"/>
          <w:szCs w:val="24"/>
        </w:rPr>
        <w:t>Westpac-Melbourne Institute Consumer Sentiment Index</w:t>
      </w:r>
      <w:r w:rsidRPr="00562465">
        <w:rPr>
          <w:rFonts w:cstheme="minorHAnsi"/>
          <w:sz w:val="24"/>
          <w:szCs w:val="24"/>
        </w:rPr>
        <w:t xml:space="preserve">     </w:t>
      </w:r>
    </w:p>
    <w:p w:rsidR="004E5E41" w:rsidRPr="00562465" w:rsidRDefault="004E5E41" w:rsidP="00686812">
      <w:pPr>
        <w:pStyle w:val="ListParagraph"/>
        <w:numPr>
          <w:ilvl w:val="0"/>
          <w:numId w:val="7"/>
        </w:numPr>
        <w:rPr>
          <w:rFonts w:cstheme="minorHAnsi"/>
          <w:sz w:val="24"/>
          <w:szCs w:val="24"/>
        </w:rPr>
      </w:pPr>
      <w:r w:rsidRPr="00562465">
        <w:rPr>
          <w:rFonts w:cstheme="minorHAnsi"/>
          <w:sz w:val="24"/>
          <w:szCs w:val="24"/>
        </w:rPr>
        <w:t xml:space="preserve">the </w:t>
      </w:r>
      <w:r w:rsidRPr="00562465">
        <w:rPr>
          <w:rFonts w:ascii="Calibri" w:hAnsi="Calibri" w:cs="Calibri"/>
          <w:color w:val="000000" w:themeColor="text1"/>
          <w:sz w:val="24"/>
          <w:szCs w:val="24"/>
        </w:rPr>
        <w:t xml:space="preserve">Westpac-Melbourne Institute Leading Index of </w:t>
      </w:r>
      <w:r w:rsidRPr="00562465">
        <w:rPr>
          <w:rFonts w:cstheme="minorHAnsi"/>
          <w:sz w:val="24"/>
          <w:szCs w:val="24"/>
        </w:rPr>
        <w:t xml:space="preserve">Economic Activity         </w:t>
      </w:r>
    </w:p>
    <w:p w:rsidR="004E5E41" w:rsidRPr="004E5E41" w:rsidRDefault="004E5E41" w:rsidP="00686812">
      <w:pPr>
        <w:pStyle w:val="ListParagraph"/>
        <w:numPr>
          <w:ilvl w:val="0"/>
          <w:numId w:val="7"/>
        </w:numPr>
        <w:rPr>
          <w:rFonts w:cstheme="minorHAnsi"/>
          <w:sz w:val="24"/>
          <w:szCs w:val="24"/>
        </w:rPr>
      </w:pPr>
      <w:r w:rsidRPr="004E5E41">
        <w:rPr>
          <w:rFonts w:cstheme="minorHAnsi"/>
          <w:sz w:val="24"/>
          <w:szCs w:val="24"/>
        </w:rPr>
        <w:t xml:space="preserve">the NAB Forward Orders Index.         </w:t>
      </w:r>
    </w:p>
    <w:p w:rsidR="00686812" w:rsidRDefault="00686812" w:rsidP="004E5E41">
      <w:pPr>
        <w:rPr>
          <w:rFonts w:asciiTheme="minorHAnsi" w:hAnsiTheme="minorHAnsi" w:cstheme="minorHAnsi"/>
        </w:rPr>
      </w:pPr>
      <w:r>
        <w:rPr>
          <w:rFonts w:asciiTheme="minorHAnsi" w:hAnsiTheme="minorHAnsi" w:cstheme="minorHAnsi"/>
        </w:rPr>
        <w:t xml:space="preserve">This </w:t>
      </w:r>
      <w:r w:rsidR="004B4BA7">
        <w:rPr>
          <w:rFonts w:asciiTheme="minorHAnsi" w:hAnsiTheme="minorHAnsi" w:cstheme="minorHAnsi"/>
        </w:rPr>
        <w:t>sh</w:t>
      </w:r>
      <w:r>
        <w:rPr>
          <w:rFonts w:asciiTheme="minorHAnsi" w:hAnsiTheme="minorHAnsi" w:cstheme="minorHAnsi"/>
        </w:rPr>
        <w:t>ould enable a major improvement of the predictive performance of the Leading Indicator. The average lead time of the current Indicator has fallen to around six months</w:t>
      </w:r>
      <w:r>
        <w:rPr>
          <w:rStyle w:val="FootnoteReference"/>
          <w:rFonts w:asciiTheme="minorHAnsi" w:hAnsiTheme="minorHAnsi" w:cstheme="minorHAnsi"/>
        </w:rPr>
        <w:footnoteReference w:id="14"/>
      </w:r>
      <w:r>
        <w:rPr>
          <w:rFonts w:asciiTheme="minorHAnsi" w:hAnsiTheme="minorHAnsi" w:cstheme="minorHAnsi"/>
        </w:rPr>
        <w:t xml:space="preserve"> which is barely adequate, given that </w:t>
      </w:r>
      <w:r w:rsidR="00267C0D">
        <w:rPr>
          <w:rFonts w:asciiTheme="minorHAnsi" w:hAnsiTheme="minorHAnsi" w:cstheme="minorHAnsi"/>
        </w:rPr>
        <w:t xml:space="preserve">six consecutive monthly moves in a different direction are needed before a turning point signal can be confirmed. In other words, with an average lead time of six months, one has just finished </w:t>
      </w:r>
      <w:r w:rsidR="00267C0D">
        <w:rPr>
          <w:rFonts w:asciiTheme="minorHAnsi" w:hAnsiTheme="minorHAnsi" w:cstheme="minorHAnsi"/>
        </w:rPr>
        <w:lastRenderedPageBreak/>
        <w:t xml:space="preserve">confirming a turning point signal when there is likely to be a change of direction, which doesn’t allow any time for policy and programme responses to be put in place and have sufficient time to act. </w:t>
      </w:r>
    </w:p>
    <w:p w:rsidR="00267C0D" w:rsidRDefault="00267C0D" w:rsidP="004E5E41">
      <w:pPr>
        <w:rPr>
          <w:rFonts w:asciiTheme="minorHAnsi" w:hAnsiTheme="minorHAnsi" w:cstheme="minorHAnsi"/>
        </w:rPr>
      </w:pPr>
    </w:p>
    <w:p w:rsidR="00267C0D" w:rsidRDefault="00267C0D" w:rsidP="004E5E41">
      <w:pPr>
        <w:rPr>
          <w:rFonts w:asciiTheme="minorHAnsi" w:hAnsiTheme="minorHAnsi" w:cstheme="minorHAnsi"/>
        </w:rPr>
      </w:pPr>
      <w:r>
        <w:rPr>
          <w:rFonts w:asciiTheme="minorHAnsi" w:hAnsiTheme="minorHAnsi" w:cstheme="minorHAnsi"/>
        </w:rPr>
        <w:t xml:space="preserve">In contrast, the average lead time for the proposed replacement Indicator is over a year, which would allow time for the change in direction to be confirmed and for responses to be put in place and have time to act. </w:t>
      </w:r>
    </w:p>
    <w:p w:rsidR="00686812" w:rsidRDefault="00686812" w:rsidP="004E5E41">
      <w:pPr>
        <w:rPr>
          <w:rFonts w:asciiTheme="minorHAnsi" w:hAnsiTheme="minorHAnsi" w:cstheme="minorHAnsi"/>
        </w:rPr>
      </w:pPr>
    </w:p>
    <w:p w:rsidR="00686812" w:rsidRDefault="00267C0D" w:rsidP="004E5E41">
      <w:pPr>
        <w:rPr>
          <w:rFonts w:asciiTheme="minorHAnsi" w:hAnsiTheme="minorHAnsi" w:cstheme="minorHAnsi"/>
        </w:rPr>
      </w:pPr>
      <w:r>
        <w:rPr>
          <w:rFonts w:asciiTheme="minorHAnsi" w:hAnsiTheme="minorHAnsi" w:cstheme="minorHAnsi"/>
        </w:rPr>
        <w:t xml:space="preserve">The proposed new Indicator has a reasonable degree of continuity with the current Indicator, since two of the four components of the current Indicator are also included in the proposed new Indicator. While the component (ANZ Newspaper Job Advertisements) that currently has the largest weight in the current Indicator is not included in the proposed new Indicator, the performance of this component has been falling since the Global Recession and its reliability is likely to continue to fall with the continuing shift of job advertising from newspaper to the internet. </w:t>
      </w:r>
    </w:p>
    <w:p w:rsidR="00267C0D" w:rsidRDefault="00267C0D" w:rsidP="004E5E41">
      <w:pPr>
        <w:rPr>
          <w:rFonts w:asciiTheme="minorHAnsi" w:hAnsiTheme="minorHAnsi" w:cstheme="minorHAnsi"/>
        </w:rPr>
      </w:pPr>
    </w:p>
    <w:p w:rsidR="00267C0D" w:rsidRDefault="00267C0D" w:rsidP="004E5E41">
      <w:pPr>
        <w:rPr>
          <w:rFonts w:asciiTheme="minorHAnsi" w:hAnsiTheme="minorHAnsi" w:cstheme="minorHAnsi"/>
        </w:rPr>
      </w:pPr>
      <w:r>
        <w:rPr>
          <w:rFonts w:asciiTheme="minorHAnsi" w:hAnsiTheme="minorHAnsi" w:cstheme="minorHAnsi"/>
        </w:rPr>
        <w:t xml:space="preserve">The other component of the current Indicator that is not included in the proposed new Indicator is the </w:t>
      </w:r>
      <w:r w:rsidRPr="00267C0D">
        <w:rPr>
          <w:rFonts w:ascii="Calibri" w:hAnsi="Calibri" w:cs="Calibri"/>
        </w:rPr>
        <w:t>Dun and Bradstreet Employment Expectations Index</w:t>
      </w:r>
      <w:r>
        <w:rPr>
          <w:rFonts w:ascii="Calibri" w:hAnsi="Calibri" w:cs="Calibri"/>
        </w:rPr>
        <w:t>. While this still performs w</w:t>
      </w:r>
      <w:r w:rsidR="00384569">
        <w:rPr>
          <w:rFonts w:ascii="Calibri" w:hAnsi="Calibri" w:cs="Calibri"/>
        </w:rPr>
        <w:t xml:space="preserve">ell as an individual leading indicator of employment, as shown in Table 1, it is dominated by other components when it is combined with them to form a composite leading indicator. </w:t>
      </w:r>
    </w:p>
    <w:p w:rsidR="00267C0D" w:rsidRDefault="00267C0D" w:rsidP="004E5E41">
      <w:pPr>
        <w:rPr>
          <w:rFonts w:asciiTheme="minorHAnsi" w:hAnsiTheme="minorHAnsi" w:cstheme="minorHAnsi"/>
        </w:rPr>
      </w:pPr>
    </w:p>
    <w:p w:rsidR="00267C0D" w:rsidRDefault="00267C0D" w:rsidP="004E5E41">
      <w:pPr>
        <w:rPr>
          <w:rFonts w:asciiTheme="minorHAnsi" w:hAnsiTheme="minorHAnsi" w:cstheme="minorHAnsi"/>
        </w:rPr>
      </w:pPr>
      <w:r>
        <w:rPr>
          <w:rFonts w:asciiTheme="minorHAnsi" w:hAnsiTheme="minorHAnsi" w:cstheme="minorHAnsi"/>
        </w:rPr>
        <w:t xml:space="preserve">The proposed new Indicator </w:t>
      </w:r>
      <w:r w:rsidR="00384569">
        <w:rPr>
          <w:rFonts w:asciiTheme="minorHAnsi" w:hAnsiTheme="minorHAnsi" w:cstheme="minorHAnsi"/>
        </w:rPr>
        <w:t>includes two international variables: one relating to Australia’s largest export destination, China, and the other relating to the world’s largest economy, the USA, and that country’s effect on other countries. The inclusion of these two variables supports the expectations of Connolly and Lee (2008) that a likely effect of the Global Recession is that international series would become more important as leading indicators of Australian employment.</w:t>
      </w:r>
    </w:p>
    <w:p w:rsidR="00686812" w:rsidRDefault="00686812" w:rsidP="004E5E41">
      <w:pPr>
        <w:rPr>
          <w:rFonts w:asciiTheme="minorHAnsi" w:hAnsiTheme="minorHAnsi" w:cstheme="minorHAnsi"/>
        </w:rPr>
      </w:pPr>
    </w:p>
    <w:p w:rsidR="004E5E41" w:rsidRDefault="00384569" w:rsidP="004E5E41">
      <w:pPr>
        <w:rPr>
          <w:rFonts w:asciiTheme="minorHAnsi" w:hAnsiTheme="minorHAnsi" w:cstheme="minorHAnsi"/>
        </w:rPr>
      </w:pPr>
      <w:r>
        <w:rPr>
          <w:rFonts w:asciiTheme="minorHAnsi" w:hAnsiTheme="minorHAnsi" w:cstheme="minorHAnsi"/>
        </w:rPr>
        <w:t>I</w:t>
      </w:r>
      <w:r w:rsidR="00686812">
        <w:rPr>
          <w:rFonts w:asciiTheme="minorHAnsi" w:hAnsiTheme="minorHAnsi" w:cstheme="minorHAnsi"/>
        </w:rPr>
        <w:t xml:space="preserve">t </w:t>
      </w:r>
      <w:r w:rsidR="004B4BA7">
        <w:rPr>
          <w:rFonts w:asciiTheme="minorHAnsi" w:hAnsiTheme="minorHAnsi" w:cstheme="minorHAnsi"/>
        </w:rPr>
        <w:t>wa</w:t>
      </w:r>
      <w:r w:rsidR="00686812">
        <w:rPr>
          <w:rFonts w:asciiTheme="minorHAnsi" w:hAnsiTheme="minorHAnsi" w:cstheme="minorHAnsi"/>
        </w:rPr>
        <w:t>s</w:t>
      </w:r>
      <w:r w:rsidR="004B4BA7">
        <w:rPr>
          <w:rFonts w:asciiTheme="minorHAnsi" w:hAnsiTheme="minorHAnsi" w:cstheme="minorHAnsi"/>
        </w:rPr>
        <w:t xml:space="preserve"> initially</w:t>
      </w:r>
      <w:r w:rsidR="00686812">
        <w:rPr>
          <w:rFonts w:asciiTheme="minorHAnsi" w:hAnsiTheme="minorHAnsi" w:cstheme="minorHAnsi"/>
        </w:rPr>
        <w:t xml:space="preserve"> somewhat </w:t>
      </w:r>
      <w:r>
        <w:rPr>
          <w:rFonts w:asciiTheme="minorHAnsi" w:hAnsiTheme="minorHAnsi" w:cstheme="minorHAnsi"/>
        </w:rPr>
        <w:t xml:space="preserve">surprising that the indicator that performed the best and became the proposed new Indicator was one of the simplest of the alternatives considered, especially when quite sophisticated methods such as estimating time-varying parameters using a Kalman Filter were employed. On reflection, </w:t>
      </w:r>
      <w:r w:rsidR="004B4BA7">
        <w:rPr>
          <w:rFonts w:asciiTheme="minorHAnsi" w:hAnsiTheme="minorHAnsi" w:cstheme="minorHAnsi"/>
        </w:rPr>
        <w:t xml:space="preserve">however, </w:t>
      </w:r>
      <w:r>
        <w:rPr>
          <w:rFonts w:asciiTheme="minorHAnsi" w:hAnsiTheme="minorHAnsi" w:cstheme="minorHAnsi"/>
        </w:rPr>
        <w:t>it is not t</w:t>
      </w:r>
      <w:r w:rsidR="004B4BA7">
        <w:rPr>
          <w:rFonts w:asciiTheme="minorHAnsi" w:hAnsiTheme="minorHAnsi" w:cstheme="minorHAnsi"/>
        </w:rPr>
        <w:t>hat</w:t>
      </w:r>
      <w:r>
        <w:rPr>
          <w:rFonts w:asciiTheme="minorHAnsi" w:hAnsiTheme="minorHAnsi" w:cstheme="minorHAnsi"/>
        </w:rPr>
        <w:t xml:space="preserve"> surprising. The latter is optimised for </w:t>
      </w:r>
      <w:r w:rsidR="001E709C">
        <w:rPr>
          <w:rFonts w:asciiTheme="minorHAnsi" w:hAnsiTheme="minorHAnsi" w:cstheme="minorHAnsi"/>
        </w:rPr>
        <w:t xml:space="preserve">“explaining” the level of cyclical employment nine months into the future, but this does not necessarily mean that it is the optimal Indicator for predicting turning points in cyclical employment. In another way, it is encouraging that such a simple Indicator made it through to be the proposed new Indicator.  </w:t>
      </w:r>
    </w:p>
    <w:p w:rsidR="004E5E41" w:rsidRDefault="004E5E41">
      <w:pPr>
        <w:rPr>
          <w:rFonts w:asciiTheme="minorHAnsi" w:hAnsiTheme="minorHAnsi" w:cstheme="minorHAnsi"/>
        </w:rPr>
      </w:pPr>
    </w:p>
    <w:p w:rsidR="001E709C" w:rsidRDefault="001E709C">
      <w:pPr>
        <w:rPr>
          <w:rFonts w:asciiTheme="minorHAnsi" w:hAnsiTheme="minorHAnsi" w:cstheme="minorHAnsi"/>
        </w:rPr>
      </w:pPr>
      <w:r>
        <w:rPr>
          <w:rFonts w:asciiTheme="minorHAnsi" w:hAnsiTheme="minorHAnsi" w:cstheme="minorHAnsi"/>
        </w:rPr>
        <w:t xml:space="preserve">There is a potential advantage in having five components in the proposed new Indicator, compared with the four components in the current Indicator. That is, if the performance of one of the components deteriorates, such as has happened in recent years with the ANZ Newspaper Job Advertisements series, there is an additional component to balance out this effect and help to maintain the overall performance of the proposed new Indicator. </w:t>
      </w:r>
    </w:p>
    <w:p w:rsidR="001E709C" w:rsidRDefault="001E709C">
      <w:pPr>
        <w:rPr>
          <w:rFonts w:asciiTheme="minorHAnsi" w:hAnsiTheme="minorHAnsi" w:cstheme="minorHAnsi"/>
        </w:rPr>
      </w:pPr>
    </w:p>
    <w:p w:rsidR="00B45062" w:rsidRDefault="00B45062">
      <w:pPr>
        <w:rPr>
          <w:rFonts w:asciiTheme="minorHAnsi" w:hAnsiTheme="minorHAnsi" w:cstheme="minorHAnsi"/>
        </w:rPr>
      </w:pPr>
      <w:r>
        <w:rPr>
          <w:rFonts w:asciiTheme="minorHAnsi" w:hAnsiTheme="minorHAnsi" w:cstheme="minorHAnsi"/>
        </w:rPr>
        <w:br w:type="page"/>
      </w:r>
    </w:p>
    <w:p w:rsidR="00B45062" w:rsidRPr="00DE70D8" w:rsidRDefault="00B45062">
      <w:pPr>
        <w:rPr>
          <w:rFonts w:asciiTheme="minorHAnsi" w:hAnsiTheme="minorHAnsi" w:cstheme="minorHAnsi"/>
        </w:rPr>
      </w:pPr>
    </w:p>
    <w:p w:rsidR="005E3E82" w:rsidRDefault="000D497E" w:rsidP="000D497E">
      <w:pPr>
        <w:jc w:val="right"/>
        <w:rPr>
          <w:rFonts w:asciiTheme="minorHAnsi" w:hAnsiTheme="minorHAnsi" w:cstheme="minorHAnsi"/>
          <w:b/>
        </w:rPr>
      </w:pPr>
      <w:r>
        <w:rPr>
          <w:rFonts w:asciiTheme="minorHAnsi" w:hAnsiTheme="minorHAnsi" w:cstheme="minorHAnsi"/>
          <w:b/>
        </w:rPr>
        <w:t xml:space="preserve">Appendix A: </w:t>
      </w:r>
    </w:p>
    <w:p w:rsidR="000D497E" w:rsidRDefault="000D497E">
      <w:pPr>
        <w:rPr>
          <w:rFonts w:asciiTheme="minorHAnsi" w:hAnsiTheme="minorHAnsi" w:cstheme="minorHAnsi"/>
          <w:b/>
        </w:rPr>
      </w:pPr>
    </w:p>
    <w:p w:rsidR="00A25726" w:rsidRPr="000D497E" w:rsidRDefault="00A25726" w:rsidP="000D497E">
      <w:pPr>
        <w:jc w:val="center"/>
        <w:rPr>
          <w:rFonts w:asciiTheme="minorHAnsi" w:hAnsiTheme="minorHAnsi" w:cstheme="minorHAnsi"/>
          <w:b/>
        </w:rPr>
      </w:pPr>
      <w:r w:rsidRPr="000D497E">
        <w:rPr>
          <w:rFonts w:asciiTheme="minorHAnsi" w:hAnsiTheme="minorHAnsi" w:cstheme="minorHAnsi"/>
          <w:b/>
        </w:rPr>
        <w:t>Series eliminated after individual assessment</w:t>
      </w:r>
      <w:r w:rsidR="0055448E" w:rsidRPr="000D497E">
        <w:rPr>
          <w:rFonts w:asciiTheme="minorHAnsi" w:hAnsiTheme="minorHAnsi" w:cstheme="minorHAnsi"/>
          <w:b/>
        </w:rPr>
        <w:t xml:space="preserve"> in </w:t>
      </w:r>
      <w:r w:rsidR="00404085">
        <w:rPr>
          <w:rFonts w:asciiTheme="minorHAnsi" w:hAnsiTheme="minorHAnsi" w:cstheme="minorHAnsi"/>
          <w:b/>
        </w:rPr>
        <w:t>the current Review of the LIoE</w:t>
      </w:r>
    </w:p>
    <w:p w:rsidR="00A25726" w:rsidRDefault="00A25726">
      <w:pPr>
        <w:rPr>
          <w:rFonts w:asciiTheme="minorHAnsi" w:hAnsiTheme="minorHAnsi" w:cstheme="minorHAnsi"/>
        </w:rPr>
      </w:pPr>
    </w:p>
    <w:p w:rsidR="000D497E" w:rsidRDefault="000D497E">
      <w:pPr>
        <w:rPr>
          <w:rFonts w:asciiTheme="minorHAnsi" w:hAnsiTheme="minorHAnsi" w:cstheme="minorHAnsi"/>
        </w:rPr>
      </w:pPr>
      <w:r>
        <w:rPr>
          <w:rFonts w:asciiTheme="minorHAnsi" w:hAnsiTheme="minorHAnsi" w:cstheme="minorHAnsi"/>
        </w:rPr>
        <w:t xml:space="preserve">The following series were </w:t>
      </w:r>
      <w:r w:rsidR="00404085">
        <w:rPr>
          <w:rFonts w:asciiTheme="minorHAnsi" w:hAnsiTheme="minorHAnsi" w:cstheme="minorHAnsi"/>
        </w:rPr>
        <w:t xml:space="preserve">not considered for the testing of combinations of series, because they were </w:t>
      </w:r>
      <w:r w:rsidR="00404085" w:rsidRPr="00404085">
        <w:rPr>
          <w:rFonts w:asciiTheme="minorHAnsi" w:hAnsiTheme="minorHAnsi" w:cstheme="minorHAnsi"/>
        </w:rPr>
        <w:t>eliminated after individual assessment in the current Review of the LIoE</w:t>
      </w:r>
      <w:r w:rsidR="00404085">
        <w:rPr>
          <w:rFonts w:asciiTheme="minorHAnsi" w:hAnsiTheme="minorHAnsi" w:cstheme="minorHAnsi"/>
        </w:rPr>
        <w:t xml:space="preserve">. See Labour Economics Section (2014) if you require more information on the reasons for their elimination. </w:t>
      </w:r>
    </w:p>
    <w:p w:rsidR="000D497E" w:rsidRPr="00DE70D8" w:rsidRDefault="000D497E">
      <w:pPr>
        <w:rPr>
          <w:rFonts w:asciiTheme="minorHAnsi" w:hAnsiTheme="minorHAnsi" w:cstheme="minorHAnsi"/>
        </w:rPr>
      </w:pPr>
    </w:p>
    <w:p w:rsidR="00A25726" w:rsidRPr="00DE70D8" w:rsidRDefault="00A25726" w:rsidP="00A25726">
      <w:pPr>
        <w:rPr>
          <w:rFonts w:asciiTheme="minorHAnsi" w:hAnsiTheme="minorHAnsi" w:cstheme="minorHAnsi"/>
          <w:u w:val="single"/>
        </w:rPr>
      </w:pPr>
      <w:r w:rsidRPr="00DE70D8">
        <w:rPr>
          <w:rFonts w:asciiTheme="minorHAnsi" w:hAnsiTheme="minorHAnsi" w:cstheme="minorHAnsi"/>
          <w:u w:val="single"/>
        </w:rPr>
        <w:t>International Series</w:t>
      </w:r>
    </w:p>
    <w:p w:rsidR="00A25726" w:rsidRDefault="00A25726" w:rsidP="00A25726"/>
    <w:p w:rsidR="00260B54" w:rsidRPr="00CB36B1" w:rsidRDefault="00260B54" w:rsidP="00CB36B1">
      <w:pPr>
        <w:pStyle w:val="ListParagraph"/>
        <w:numPr>
          <w:ilvl w:val="0"/>
          <w:numId w:val="1"/>
        </w:numPr>
        <w:spacing w:line="240" w:lineRule="auto"/>
        <w:jc w:val="both"/>
        <w:rPr>
          <w:sz w:val="24"/>
          <w:szCs w:val="24"/>
        </w:rPr>
      </w:pPr>
      <w:r w:rsidRPr="00CB36B1">
        <w:rPr>
          <w:sz w:val="24"/>
          <w:szCs w:val="24"/>
        </w:rPr>
        <w:t>Housing Starts in USA</w:t>
      </w:r>
    </w:p>
    <w:p w:rsidR="00260B54" w:rsidRPr="00CB36B1" w:rsidRDefault="00260B54" w:rsidP="00CB36B1">
      <w:pPr>
        <w:pStyle w:val="ListParagraph"/>
        <w:numPr>
          <w:ilvl w:val="0"/>
          <w:numId w:val="1"/>
        </w:numPr>
        <w:spacing w:line="240" w:lineRule="auto"/>
        <w:jc w:val="both"/>
        <w:rPr>
          <w:sz w:val="24"/>
          <w:szCs w:val="24"/>
        </w:rPr>
      </w:pPr>
      <w:r w:rsidRPr="00CB36B1">
        <w:rPr>
          <w:sz w:val="24"/>
          <w:szCs w:val="24"/>
        </w:rPr>
        <w:t>Industrial Production in USA</w:t>
      </w:r>
    </w:p>
    <w:p w:rsidR="00260B54" w:rsidRPr="00CB36B1" w:rsidRDefault="00260B54" w:rsidP="00CB36B1">
      <w:pPr>
        <w:pStyle w:val="ListParagraph"/>
        <w:numPr>
          <w:ilvl w:val="0"/>
          <w:numId w:val="1"/>
        </w:numPr>
        <w:spacing w:line="240" w:lineRule="auto"/>
        <w:jc w:val="both"/>
        <w:rPr>
          <w:sz w:val="24"/>
          <w:szCs w:val="24"/>
        </w:rPr>
      </w:pPr>
      <w:r w:rsidRPr="00CB36B1">
        <w:rPr>
          <w:sz w:val="24"/>
          <w:szCs w:val="24"/>
        </w:rPr>
        <w:t>Industrial Production in China</w:t>
      </w:r>
    </w:p>
    <w:p w:rsidR="00260B54" w:rsidRPr="00CB36B1" w:rsidRDefault="00260B54" w:rsidP="00CB36B1">
      <w:pPr>
        <w:pStyle w:val="ListParagraph"/>
        <w:numPr>
          <w:ilvl w:val="0"/>
          <w:numId w:val="1"/>
        </w:numPr>
        <w:spacing w:line="240" w:lineRule="auto"/>
        <w:jc w:val="both"/>
        <w:rPr>
          <w:sz w:val="24"/>
          <w:szCs w:val="24"/>
        </w:rPr>
      </w:pPr>
      <w:r w:rsidRPr="00CB36B1">
        <w:rPr>
          <w:sz w:val="24"/>
          <w:szCs w:val="24"/>
        </w:rPr>
        <w:t>Exports from China (in both nominal and real terms)</w:t>
      </w:r>
    </w:p>
    <w:p w:rsidR="00260B54" w:rsidRPr="00CB36B1" w:rsidRDefault="00260B54" w:rsidP="00CB36B1">
      <w:pPr>
        <w:pStyle w:val="ListParagraph"/>
        <w:numPr>
          <w:ilvl w:val="0"/>
          <w:numId w:val="1"/>
        </w:numPr>
        <w:spacing w:line="240" w:lineRule="auto"/>
        <w:jc w:val="both"/>
        <w:rPr>
          <w:sz w:val="24"/>
          <w:szCs w:val="24"/>
        </w:rPr>
      </w:pPr>
      <w:r w:rsidRPr="00CB36B1">
        <w:rPr>
          <w:sz w:val="24"/>
          <w:szCs w:val="24"/>
        </w:rPr>
        <w:t>Imports to China (in both nominal and real terms)</w:t>
      </w:r>
    </w:p>
    <w:p w:rsidR="00260B54" w:rsidRPr="00CB36B1" w:rsidRDefault="008B1E71" w:rsidP="00CB36B1">
      <w:pPr>
        <w:pStyle w:val="ListParagraph"/>
        <w:numPr>
          <w:ilvl w:val="0"/>
          <w:numId w:val="1"/>
        </w:numPr>
        <w:spacing w:line="240" w:lineRule="auto"/>
        <w:jc w:val="both"/>
        <w:rPr>
          <w:sz w:val="24"/>
          <w:szCs w:val="24"/>
        </w:rPr>
      </w:pPr>
      <w:r>
        <w:rPr>
          <w:sz w:val="24"/>
          <w:szCs w:val="24"/>
        </w:rPr>
        <w:t xml:space="preserve">Official </w:t>
      </w:r>
      <w:r w:rsidR="00260B54" w:rsidRPr="00CB36B1">
        <w:rPr>
          <w:sz w:val="24"/>
          <w:szCs w:val="24"/>
        </w:rPr>
        <w:t>Purchasing Managers’ Index of Forward Orders for Manufacturing in China</w:t>
      </w:r>
      <w:r>
        <w:rPr>
          <w:sz w:val="24"/>
          <w:szCs w:val="24"/>
        </w:rPr>
        <w:t xml:space="preserve"> (National Bureau of Statistics of China)</w:t>
      </w:r>
    </w:p>
    <w:p w:rsidR="00260B54" w:rsidRPr="00CB36B1" w:rsidRDefault="00260B54" w:rsidP="00CB36B1">
      <w:pPr>
        <w:pStyle w:val="ListParagraph"/>
        <w:numPr>
          <w:ilvl w:val="0"/>
          <w:numId w:val="1"/>
        </w:numPr>
        <w:spacing w:line="240" w:lineRule="auto"/>
        <w:jc w:val="both"/>
        <w:rPr>
          <w:sz w:val="24"/>
          <w:szCs w:val="24"/>
        </w:rPr>
      </w:pPr>
      <w:r w:rsidRPr="00CB36B1">
        <w:rPr>
          <w:sz w:val="24"/>
          <w:szCs w:val="24"/>
        </w:rPr>
        <w:t>HSBC Purchasing Managers’ Index of Manufacturing Output in China</w:t>
      </w:r>
    </w:p>
    <w:p w:rsidR="00260B54" w:rsidRPr="00CB36B1" w:rsidRDefault="00260B54" w:rsidP="00CB36B1">
      <w:pPr>
        <w:pStyle w:val="ListParagraph"/>
        <w:numPr>
          <w:ilvl w:val="0"/>
          <w:numId w:val="1"/>
        </w:numPr>
        <w:spacing w:line="240" w:lineRule="auto"/>
        <w:jc w:val="both"/>
        <w:rPr>
          <w:sz w:val="24"/>
          <w:szCs w:val="24"/>
        </w:rPr>
      </w:pPr>
      <w:r w:rsidRPr="00CB36B1">
        <w:rPr>
          <w:sz w:val="24"/>
          <w:szCs w:val="24"/>
        </w:rPr>
        <w:t>Exports from 3 Dynamic Asian Economies (Singapore, Taiwan and Hong Kong</w:t>
      </w:r>
      <w:r w:rsidR="008B1E71">
        <w:rPr>
          <w:sz w:val="24"/>
          <w:szCs w:val="24"/>
        </w:rPr>
        <w:t>, in both nominal and real terms</w:t>
      </w:r>
      <w:r w:rsidRPr="00CB36B1">
        <w:rPr>
          <w:sz w:val="24"/>
          <w:szCs w:val="24"/>
        </w:rPr>
        <w:t>)</w:t>
      </w:r>
    </w:p>
    <w:p w:rsidR="00A25726" w:rsidRPr="00696A93" w:rsidRDefault="00A25726" w:rsidP="00A25726">
      <w:pPr>
        <w:rPr>
          <w:rFonts w:ascii="Calibri" w:hAnsi="Calibri" w:cs="Calibri"/>
        </w:rPr>
      </w:pPr>
    </w:p>
    <w:p w:rsidR="00A25726" w:rsidRPr="00696A93" w:rsidRDefault="00A25726" w:rsidP="00A25726">
      <w:pPr>
        <w:rPr>
          <w:rFonts w:ascii="Calibri" w:hAnsi="Calibri" w:cs="Calibri"/>
          <w:u w:val="single"/>
        </w:rPr>
      </w:pPr>
      <w:r w:rsidRPr="00696A93">
        <w:rPr>
          <w:rFonts w:ascii="Calibri" w:hAnsi="Calibri" w:cs="Calibri"/>
          <w:u w:val="single"/>
        </w:rPr>
        <w:t>Domestic Series</w:t>
      </w:r>
    </w:p>
    <w:p w:rsidR="00A25726" w:rsidRDefault="00A25726">
      <w:pPr>
        <w:rPr>
          <w:rFonts w:ascii="Calibri" w:hAnsi="Calibri" w:cs="Calibri"/>
        </w:rPr>
      </w:pPr>
    </w:p>
    <w:p w:rsidR="00037B53" w:rsidRPr="00037B53" w:rsidRDefault="00037B53">
      <w:pPr>
        <w:rPr>
          <w:rFonts w:ascii="Calibri" w:hAnsi="Calibri" w:cs="Calibri"/>
          <w:i/>
        </w:rPr>
      </w:pPr>
      <w:r w:rsidRPr="00037B53">
        <w:rPr>
          <w:rFonts w:ascii="Calibri" w:hAnsi="Calibri" w:cs="Calibri"/>
          <w:i/>
        </w:rPr>
        <w:t>Employment-related series</w:t>
      </w:r>
    </w:p>
    <w:p w:rsidR="00037B53" w:rsidRPr="00696A93" w:rsidRDefault="00037B53">
      <w:pPr>
        <w:rPr>
          <w:rFonts w:ascii="Calibri" w:hAnsi="Calibri" w:cs="Calibri"/>
        </w:rPr>
      </w:pPr>
    </w:p>
    <w:p w:rsidR="00CB36B1" w:rsidRPr="002D5FD3" w:rsidRDefault="00CB36B1" w:rsidP="00CB36B1">
      <w:pPr>
        <w:pStyle w:val="ListParagraph"/>
        <w:numPr>
          <w:ilvl w:val="0"/>
          <w:numId w:val="1"/>
        </w:numPr>
        <w:spacing w:line="240" w:lineRule="auto"/>
        <w:jc w:val="both"/>
        <w:rPr>
          <w:sz w:val="24"/>
          <w:szCs w:val="24"/>
        </w:rPr>
      </w:pPr>
      <w:r w:rsidRPr="002D5FD3">
        <w:rPr>
          <w:sz w:val="24"/>
          <w:szCs w:val="24"/>
        </w:rPr>
        <w:t>The gross flow to employment</w:t>
      </w:r>
      <w:r>
        <w:rPr>
          <w:sz w:val="24"/>
          <w:szCs w:val="24"/>
        </w:rPr>
        <w:t xml:space="preserve"> </w:t>
      </w:r>
      <w:r w:rsidR="00DE70D8">
        <w:rPr>
          <w:sz w:val="24"/>
          <w:szCs w:val="24"/>
        </w:rPr>
        <w:t>(ABS)</w:t>
      </w:r>
    </w:p>
    <w:p w:rsidR="00CB36B1" w:rsidRPr="002D5FD3" w:rsidRDefault="00CB36B1" w:rsidP="00CB36B1">
      <w:pPr>
        <w:pStyle w:val="ListParagraph"/>
        <w:numPr>
          <w:ilvl w:val="0"/>
          <w:numId w:val="1"/>
        </w:numPr>
        <w:spacing w:line="240" w:lineRule="auto"/>
        <w:jc w:val="both"/>
        <w:rPr>
          <w:sz w:val="24"/>
          <w:szCs w:val="24"/>
        </w:rPr>
      </w:pPr>
      <w:r w:rsidRPr="002D5FD3">
        <w:rPr>
          <w:sz w:val="24"/>
          <w:szCs w:val="24"/>
        </w:rPr>
        <w:t>The gross flow from employment</w:t>
      </w:r>
      <w:r w:rsidR="00DE70D8">
        <w:rPr>
          <w:sz w:val="24"/>
          <w:szCs w:val="24"/>
        </w:rPr>
        <w:t xml:space="preserve"> (ABS)</w:t>
      </w:r>
    </w:p>
    <w:p w:rsidR="00CB36B1" w:rsidRDefault="00CB36B1" w:rsidP="00CB36B1">
      <w:pPr>
        <w:pStyle w:val="ListParagraph"/>
        <w:numPr>
          <w:ilvl w:val="0"/>
          <w:numId w:val="1"/>
        </w:numPr>
        <w:spacing w:line="240" w:lineRule="auto"/>
        <w:jc w:val="both"/>
        <w:rPr>
          <w:sz w:val="24"/>
          <w:szCs w:val="24"/>
        </w:rPr>
      </w:pPr>
      <w:r w:rsidRPr="002D5FD3">
        <w:rPr>
          <w:sz w:val="24"/>
          <w:szCs w:val="24"/>
        </w:rPr>
        <w:t>The net flow to employment; i.e., the gross flow to employment minus</w:t>
      </w:r>
      <w:r>
        <w:rPr>
          <w:sz w:val="24"/>
          <w:szCs w:val="24"/>
        </w:rPr>
        <w:t xml:space="preserve"> the gross flow from employment</w:t>
      </w:r>
      <w:r w:rsidR="00DE70D8">
        <w:rPr>
          <w:sz w:val="24"/>
          <w:szCs w:val="24"/>
        </w:rPr>
        <w:t xml:space="preserve"> (ABS)</w:t>
      </w:r>
    </w:p>
    <w:p w:rsidR="00CB36B1" w:rsidRDefault="00CB36B1" w:rsidP="00CB36B1">
      <w:pPr>
        <w:pStyle w:val="ListParagraph"/>
        <w:numPr>
          <w:ilvl w:val="0"/>
          <w:numId w:val="1"/>
        </w:numPr>
        <w:spacing w:line="240" w:lineRule="auto"/>
        <w:jc w:val="both"/>
        <w:rPr>
          <w:sz w:val="24"/>
          <w:szCs w:val="24"/>
        </w:rPr>
      </w:pPr>
      <w:r>
        <w:rPr>
          <w:sz w:val="24"/>
          <w:szCs w:val="24"/>
        </w:rPr>
        <w:t>The proportion of people remaining in employment from month to month (from ABS LFS gross flows data)</w:t>
      </w:r>
      <w:r w:rsidR="00DE70D8">
        <w:rPr>
          <w:sz w:val="24"/>
          <w:szCs w:val="24"/>
        </w:rPr>
        <w:t xml:space="preserve"> </w:t>
      </w:r>
    </w:p>
    <w:p w:rsidR="00037B53" w:rsidRPr="00037B53" w:rsidRDefault="006D3AF9" w:rsidP="00037B53">
      <w:pPr>
        <w:pStyle w:val="ListParagraph"/>
        <w:numPr>
          <w:ilvl w:val="0"/>
          <w:numId w:val="1"/>
        </w:numPr>
        <w:spacing w:line="240" w:lineRule="auto"/>
        <w:jc w:val="both"/>
        <w:rPr>
          <w:sz w:val="24"/>
          <w:szCs w:val="24"/>
        </w:rPr>
      </w:pPr>
      <w:r>
        <w:rPr>
          <w:sz w:val="24"/>
          <w:szCs w:val="24"/>
        </w:rPr>
        <w:t>Number of Full-time Workers W</w:t>
      </w:r>
      <w:r w:rsidR="00037B53" w:rsidRPr="00037B53">
        <w:rPr>
          <w:sz w:val="24"/>
          <w:szCs w:val="24"/>
        </w:rPr>
        <w:t xml:space="preserve">orking Short Hours </w:t>
      </w:r>
      <w:r w:rsidR="00037B53">
        <w:rPr>
          <w:sz w:val="24"/>
          <w:szCs w:val="24"/>
        </w:rPr>
        <w:t>for Economic Reasons (ABS)</w:t>
      </w:r>
    </w:p>
    <w:p w:rsidR="00037B53" w:rsidRDefault="00037B53" w:rsidP="00CB36B1">
      <w:pPr>
        <w:pStyle w:val="ListParagraph"/>
        <w:numPr>
          <w:ilvl w:val="0"/>
          <w:numId w:val="1"/>
        </w:numPr>
        <w:spacing w:line="240" w:lineRule="auto"/>
        <w:jc w:val="both"/>
        <w:rPr>
          <w:sz w:val="24"/>
          <w:szCs w:val="24"/>
        </w:rPr>
      </w:pPr>
      <w:r>
        <w:rPr>
          <w:sz w:val="24"/>
          <w:szCs w:val="24"/>
        </w:rPr>
        <w:t>Aggregate Hours Worked (ABS)</w:t>
      </w:r>
    </w:p>
    <w:p w:rsidR="00037B53" w:rsidRDefault="00037B53" w:rsidP="00037B53">
      <w:pPr>
        <w:pStyle w:val="ListParagraph"/>
        <w:numPr>
          <w:ilvl w:val="0"/>
          <w:numId w:val="1"/>
        </w:numPr>
        <w:spacing w:line="240" w:lineRule="auto"/>
        <w:jc w:val="both"/>
        <w:rPr>
          <w:sz w:val="24"/>
          <w:szCs w:val="24"/>
        </w:rPr>
      </w:pPr>
      <w:r>
        <w:rPr>
          <w:sz w:val="24"/>
          <w:szCs w:val="24"/>
        </w:rPr>
        <w:t>Aggregate Hours Worked</w:t>
      </w:r>
      <w:r w:rsidR="006D3AF9">
        <w:rPr>
          <w:sz w:val="24"/>
          <w:szCs w:val="24"/>
        </w:rPr>
        <w:t xml:space="preserve"> per Employed P</w:t>
      </w:r>
      <w:r>
        <w:rPr>
          <w:sz w:val="24"/>
          <w:szCs w:val="24"/>
        </w:rPr>
        <w:t>erson (ABS)</w:t>
      </w:r>
    </w:p>
    <w:p w:rsidR="00CB36B1" w:rsidRDefault="00CB36B1" w:rsidP="00CB36B1">
      <w:pPr>
        <w:pStyle w:val="ListParagraph"/>
        <w:numPr>
          <w:ilvl w:val="0"/>
          <w:numId w:val="1"/>
        </w:numPr>
        <w:spacing w:line="240" w:lineRule="auto"/>
        <w:jc w:val="both"/>
        <w:rPr>
          <w:sz w:val="24"/>
          <w:szCs w:val="24"/>
        </w:rPr>
      </w:pPr>
      <w:r>
        <w:rPr>
          <w:sz w:val="24"/>
          <w:szCs w:val="24"/>
        </w:rPr>
        <w:t>Lodgements of Applications for subclass 457 Business Temporary Entry Visas (from offshore, from onshore, and total)</w:t>
      </w:r>
      <w:r w:rsidR="00DE70D8">
        <w:rPr>
          <w:sz w:val="24"/>
          <w:szCs w:val="24"/>
        </w:rPr>
        <w:t xml:space="preserve"> (DIBP)</w:t>
      </w:r>
    </w:p>
    <w:p w:rsidR="0055448E" w:rsidRPr="0055448E" w:rsidRDefault="0055448E" w:rsidP="0055448E">
      <w:pPr>
        <w:pStyle w:val="ListParagraph"/>
        <w:numPr>
          <w:ilvl w:val="0"/>
          <w:numId w:val="1"/>
        </w:numPr>
        <w:spacing w:line="240" w:lineRule="auto"/>
        <w:jc w:val="both"/>
        <w:rPr>
          <w:sz w:val="24"/>
          <w:szCs w:val="24"/>
        </w:rPr>
      </w:pPr>
      <w:r>
        <w:rPr>
          <w:sz w:val="24"/>
          <w:szCs w:val="24"/>
        </w:rPr>
        <w:t>Short-term A</w:t>
      </w:r>
      <w:r w:rsidRPr="0055448E">
        <w:rPr>
          <w:sz w:val="24"/>
          <w:szCs w:val="24"/>
        </w:rPr>
        <w:t>rrivals</w:t>
      </w:r>
      <w:r>
        <w:rPr>
          <w:sz w:val="24"/>
          <w:szCs w:val="24"/>
        </w:rPr>
        <w:t xml:space="preserve"> from Overseas</w:t>
      </w:r>
      <w:r w:rsidRPr="0055448E">
        <w:rPr>
          <w:sz w:val="24"/>
          <w:szCs w:val="24"/>
        </w:rPr>
        <w:t xml:space="preserve"> - total for employment purpose</w:t>
      </w:r>
      <w:r>
        <w:rPr>
          <w:sz w:val="24"/>
          <w:szCs w:val="24"/>
        </w:rPr>
        <w:t>s (ABS)</w:t>
      </w:r>
    </w:p>
    <w:p w:rsidR="00CB36B1" w:rsidRPr="00EB390B" w:rsidRDefault="00CB36B1" w:rsidP="00CB36B1">
      <w:pPr>
        <w:pStyle w:val="ListParagraph"/>
        <w:numPr>
          <w:ilvl w:val="0"/>
          <w:numId w:val="1"/>
        </w:numPr>
        <w:spacing w:line="240" w:lineRule="auto"/>
        <w:jc w:val="both"/>
        <w:rPr>
          <w:color w:val="000000" w:themeColor="text1"/>
          <w:sz w:val="24"/>
          <w:szCs w:val="24"/>
        </w:rPr>
      </w:pPr>
      <w:r w:rsidRPr="00EB390B">
        <w:rPr>
          <w:color w:val="000000" w:themeColor="text1"/>
          <w:sz w:val="24"/>
          <w:szCs w:val="24"/>
        </w:rPr>
        <w:t>ANZ Newspaper Job Ad</w:t>
      </w:r>
      <w:r w:rsidR="00696A93" w:rsidRPr="00EB390B">
        <w:rPr>
          <w:color w:val="000000" w:themeColor="text1"/>
          <w:sz w:val="24"/>
          <w:szCs w:val="24"/>
        </w:rPr>
        <w:t>vertisement</w:t>
      </w:r>
      <w:r w:rsidRPr="00EB390B">
        <w:rPr>
          <w:color w:val="000000" w:themeColor="text1"/>
          <w:sz w:val="24"/>
          <w:szCs w:val="24"/>
        </w:rPr>
        <w:t>s Series</w:t>
      </w:r>
      <w:r w:rsidR="00EB390B">
        <w:rPr>
          <w:rStyle w:val="FootnoteReference"/>
          <w:color w:val="000000" w:themeColor="text1"/>
          <w:sz w:val="24"/>
          <w:szCs w:val="24"/>
        </w:rPr>
        <w:footnoteReference w:id="15"/>
      </w:r>
    </w:p>
    <w:p w:rsidR="00CB36B1" w:rsidRDefault="00CB36B1" w:rsidP="00CB36B1">
      <w:pPr>
        <w:pStyle w:val="ListParagraph"/>
        <w:numPr>
          <w:ilvl w:val="0"/>
          <w:numId w:val="1"/>
        </w:numPr>
        <w:spacing w:line="240" w:lineRule="auto"/>
        <w:jc w:val="both"/>
        <w:rPr>
          <w:sz w:val="24"/>
          <w:szCs w:val="24"/>
        </w:rPr>
      </w:pPr>
      <w:r>
        <w:rPr>
          <w:sz w:val="24"/>
          <w:szCs w:val="24"/>
        </w:rPr>
        <w:t>ANZ Internet</w:t>
      </w:r>
      <w:r w:rsidRPr="00CB36B1">
        <w:rPr>
          <w:sz w:val="24"/>
          <w:szCs w:val="24"/>
        </w:rPr>
        <w:t xml:space="preserve"> Job </w:t>
      </w:r>
      <w:r w:rsidR="00696A93" w:rsidRPr="00CB36B1">
        <w:rPr>
          <w:sz w:val="24"/>
          <w:szCs w:val="24"/>
        </w:rPr>
        <w:t>Ad</w:t>
      </w:r>
      <w:r w:rsidR="00696A93">
        <w:rPr>
          <w:sz w:val="24"/>
          <w:szCs w:val="24"/>
        </w:rPr>
        <w:t>vertisement</w:t>
      </w:r>
      <w:r w:rsidR="00696A93" w:rsidRPr="00CB36B1">
        <w:rPr>
          <w:sz w:val="24"/>
          <w:szCs w:val="24"/>
        </w:rPr>
        <w:t>s</w:t>
      </w:r>
      <w:r w:rsidRPr="00CB36B1">
        <w:rPr>
          <w:sz w:val="24"/>
          <w:szCs w:val="24"/>
        </w:rPr>
        <w:t xml:space="preserve"> Series</w:t>
      </w:r>
    </w:p>
    <w:p w:rsidR="00DE70D8" w:rsidRPr="00696A93" w:rsidRDefault="00DE70D8" w:rsidP="00DE70D8">
      <w:pPr>
        <w:pStyle w:val="ListParagraph"/>
        <w:numPr>
          <w:ilvl w:val="0"/>
          <w:numId w:val="1"/>
        </w:numPr>
        <w:spacing w:line="240" w:lineRule="auto"/>
        <w:jc w:val="both"/>
        <w:rPr>
          <w:sz w:val="24"/>
          <w:szCs w:val="24"/>
        </w:rPr>
      </w:pPr>
      <w:r w:rsidRPr="00696A93">
        <w:rPr>
          <w:bCs/>
          <w:sz w:val="24"/>
          <w:szCs w:val="24"/>
        </w:rPr>
        <w:t xml:space="preserve">SEEK </w:t>
      </w:r>
      <w:r w:rsidR="00696A93" w:rsidRPr="00696A93">
        <w:rPr>
          <w:bCs/>
          <w:sz w:val="24"/>
          <w:szCs w:val="24"/>
        </w:rPr>
        <w:t xml:space="preserve">[internet] </w:t>
      </w:r>
      <w:r w:rsidRPr="00696A93">
        <w:rPr>
          <w:bCs/>
          <w:sz w:val="24"/>
          <w:szCs w:val="24"/>
        </w:rPr>
        <w:t xml:space="preserve">New Job </w:t>
      </w:r>
      <w:r w:rsidR="00696A93" w:rsidRPr="00CB36B1">
        <w:rPr>
          <w:sz w:val="24"/>
          <w:szCs w:val="24"/>
        </w:rPr>
        <w:t>Ad</w:t>
      </w:r>
      <w:r w:rsidR="00696A93">
        <w:rPr>
          <w:sz w:val="24"/>
          <w:szCs w:val="24"/>
        </w:rPr>
        <w:t>vertisement</w:t>
      </w:r>
      <w:r w:rsidR="00696A93" w:rsidRPr="00CB36B1">
        <w:rPr>
          <w:sz w:val="24"/>
          <w:szCs w:val="24"/>
        </w:rPr>
        <w:t>s</w:t>
      </w:r>
      <w:r w:rsidR="00696A93">
        <w:rPr>
          <w:sz w:val="24"/>
          <w:szCs w:val="24"/>
        </w:rPr>
        <w:t xml:space="preserve"> Series</w:t>
      </w:r>
    </w:p>
    <w:p w:rsidR="00696A93" w:rsidRPr="00696A93" w:rsidRDefault="00696A93" w:rsidP="00696A93">
      <w:pPr>
        <w:pStyle w:val="ListParagraph"/>
        <w:numPr>
          <w:ilvl w:val="0"/>
          <w:numId w:val="1"/>
        </w:numPr>
        <w:spacing w:line="240" w:lineRule="auto"/>
        <w:jc w:val="both"/>
        <w:rPr>
          <w:bCs/>
          <w:sz w:val="24"/>
          <w:szCs w:val="24"/>
        </w:rPr>
      </w:pPr>
      <w:r w:rsidRPr="00696A93">
        <w:rPr>
          <w:bCs/>
          <w:sz w:val="24"/>
          <w:szCs w:val="24"/>
        </w:rPr>
        <w:t xml:space="preserve">SEEK [internet] Employment Index (New Job </w:t>
      </w:r>
      <w:r w:rsidRPr="00CB36B1">
        <w:rPr>
          <w:sz w:val="24"/>
          <w:szCs w:val="24"/>
        </w:rPr>
        <w:t>Ad</w:t>
      </w:r>
      <w:r>
        <w:rPr>
          <w:sz w:val="24"/>
          <w:szCs w:val="24"/>
        </w:rPr>
        <w:t>vertisement</w:t>
      </w:r>
      <w:r w:rsidRPr="00CB36B1">
        <w:rPr>
          <w:sz w:val="24"/>
          <w:szCs w:val="24"/>
        </w:rPr>
        <w:t>s</w:t>
      </w:r>
      <w:r w:rsidRPr="00696A93">
        <w:rPr>
          <w:bCs/>
          <w:sz w:val="24"/>
          <w:szCs w:val="24"/>
        </w:rPr>
        <w:t xml:space="preserve"> per Applicant)</w:t>
      </w:r>
    </w:p>
    <w:p w:rsidR="00CB36B1" w:rsidRPr="00037B53" w:rsidRDefault="00037B53" w:rsidP="00037B53">
      <w:pPr>
        <w:jc w:val="both"/>
        <w:rPr>
          <w:rFonts w:ascii="Calibri" w:hAnsi="Calibri" w:cs="Calibri"/>
          <w:i/>
        </w:rPr>
      </w:pPr>
      <w:r w:rsidRPr="00037B53">
        <w:rPr>
          <w:rFonts w:ascii="Calibri" w:hAnsi="Calibri" w:cs="Calibri"/>
          <w:i/>
        </w:rPr>
        <w:lastRenderedPageBreak/>
        <w:t>Financial Series</w:t>
      </w:r>
    </w:p>
    <w:p w:rsidR="00037B53" w:rsidRPr="00037B53" w:rsidRDefault="00037B53" w:rsidP="00037B53">
      <w:pPr>
        <w:jc w:val="both"/>
        <w:rPr>
          <w:rFonts w:ascii="Calibri" w:hAnsi="Calibri" w:cs="Calibri"/>
        </w:rPr>
      </w:pPr>
    </w:p>
    <w:p w:rsidR="00CB36B1" w:rsidRPr="00CB36B1" w:rsidRDefault="00CB36B1" w:rsidP="00CB36B1">
      <w:pPr>
        <w:pStyle w:val="ListParagraph"/>
        <w:numPr>
          <w:ilvl w:val="0"/>
          <w:numId w:val="1"/>
        </w:numPr>
        <w:spacing w:line="240" w:lineRule="auto"/>
        <w:jc w:val="both"/>
        <w:rPr>
          <w:sz w:val="24"/>
          <w:szCs w:val="24"/>
        </w:rPr>
      </w:pPr>
      <w:r w:rsidRPr="00CB36B1">
        <w:rPr>
          <w:sz w:val="24"/>
          <w:szCs w:val="24"/>
        </w:rPr>
        <w:t>ASX200 Australian Share Price Index</w:t>
      </w:r>
    </w:p>
    <w:p w:rsidR="00CB36B1" w:rsidRDefault="00DE70D8" w:rsidP="00CB36B1">
      <w:pPr>
        <w:pStyle w:val="ListParagraph"/>
        <w:numPr>
          <w:ilvl w:val="0"/>
          <w:numId w:val="1"/>
        </w:numPr>
        <w:spacing w:line="240" w:lineRule="auto"/>
        <w:jc w:val="both"/>
        <w:rPr>
          <w:sz w:val="24"/>
          <w:szCs w:val="24"/>
        </w:rPr>
      </w:pPr>
      <w:r>
        <w:rPr>
          <w:sz w:val="24"/>
          <w:szCs w:val="24"/>
        </w:rPr>
        <w:t xml:space="preserve">Price/Earnings Ratio for the </w:t>
      </w:r>
      <w:r w:rsidRPr="00CB36B1">
        <w:rPr>
          <w:sz w:val="24"/>
          <w:szCs w:val="24"/>
        </w:rPr>
        <w:t xml:space="preserve">ASX200 </w:t>
      </w:r>
      <w:r>
        <w:rPr>
          <w:sz w:val="24"/>
          <w:szCs w:val="24"/>
        </w:rPr>
        <w:t xml:space="preserve">component of the </w:t>
      </w:r>
      <w:r w:rsidRPr="00CB36B1">
        <w:rPr>
          <w:sz w:val="24"/>
          <w:szCs w:val="24"/>
        </w:rPr>
        <w:t xml:space="preserve">Australian Share </w:t>
      </w:r>
      <w:r>
        <w:rPr>
          <w:sz w:val="24"/>
          <w:szCs w:val="24"/>
        </w:rPr>
        <w:t>Market</w:t>
      </w:r>
    </w:p>
    <w:p w:rsidR="00DE70D8" w:rsidRDefault="00DE70D8" w:rsidP="00CB36B1">
      <w:pPr>
        <w:pStyle w:val="ListParagraph"/>
        <w:numPr>
          <w:ilvl w:val="0"/>
          <w:numId w:val="1"/>
        </w:numPr>
        <w:spacing w:line="240" w:lineRule="auto"/>
        <w:jc w:val="both"/>
        <w:rPr>
          <w:sz w:val="24"/>
          <w:szCs w:val="24"/>
        </w:rPr>
      </w:pPr>
      <w:r>
        <w:rPr>
          <w:sz w:val="24"/>
          <w:szCs w:val="24"/>
        </w:rPr>
        <w:t>RBA Commodity Price Index (in both real and nominal terms)</w:t>
      </w:r>
    </w:p>
    <w:p w:rsidR="00DE70D8" w:rsidRPr="00DE70D8" w:rsidRDefault="00DE70D8" w:rsidP="00DE70D8">
      <w:pPr>
        <w:pStyle w:val="ListParagraph"/>
        <w:numPr>
          <w:ilvl w:val="0"/>
          <w:numId w:val="1"/>
        </w:numPr>
        <w:rPr>
          <w:sz w:val="24"/>
          <w:szCs w:val="24"/>
        </w:rPr>
      </w:pPr>
      <w:r w:rsidRPr="00DE70D8">
        <w:rPr>
          <w:sz w:val="24"/>
          <w:szCs w:val="24"/>
        </w:rPr>
        <w:t>Australian Yield Curve (10-year bond yield – 90-day bank bill interest rate)</w:t>
      </w:r>
    </w:p>
    <w:p w:rsidR="00DE70D8" w:rsidRDefault="00DE70D8" w:rsidP="00CB36B1">
      <w:pPr>
        <w:pStyle w:val="ListParagraph"/>
        <w:numPr>
          <w:ilvl w:val="0"/>
          <w:numId w:val="1"/>
        </w:numPr>
        <w:spacing w:line="240" w:lineRule="auto"/>
        <w:jc w:val="both"/>
        <w:rPr>
          <w:sz w:val="24"/>
          <w:szCs w:val="24"/>
        </w:rPr>
      </w:pPr>
      <w:r>
        <w:rPr>
          <w:sz w:val="24"/>
          <w:szCs w:val="24"/>
        </w:rPr>
        <w:t>ABS Retail Sales (in both real and nominal terms)</w:t>
      </w:r>
    </w:p>
    <w:p w:rsidR="00DE70D8" w:rsidRDefault="00696A93" w:rsidP="00CB36B1">
      <w:pPr>
        <w:pStyle w:val="ListParagraph"/>
        <w:numPr>
          <w:ilvl w:val="0"/>
          <w:numId w:val="1"/>
        </w:numPr>
        <w:spacing w:line="240" w:lineRule="auto"/>
        <w:jc w:val="both"/>
        <w:rPr>
          <w:sz w:val="24"/>
          <w:szCs w:val="24"/>
        </w:rPr>
      </w:pPr>
      <w:r>
        <w:rPr>
          <w:sz w:val="24"/>
          <w:szCs w:val="24"/>
        </w:rPr>
        <w:t>Business Credit (RBA)</w:t>
      </w:r>
    </w:p>
    <w:p w:rsidR="008B1E71" w:rsidRPr="008B1E71" w:rsidRDefault="008B1E71" w:rsidP="008B1E71">
      <w:pPr>
        <w:pStyle w:val="ListParagraph"/>
        <w:numPr>
          <w:ilvl w:val="0"/>
          <w:numId w:val="1"/>
        </w:numPr>
        <w:jc w:val="both"/>
        <w:rPr>
          <w:sz w:val="24"/>
          <w:szCs w:val="24"/>
        </w:rPr>
      </w:pPr>
      <w:r>
        <w:rPr>
          <w:sz w:val="24"/>
          <w:szCs w:val="24"/>
        </w:rPr>
        <w:t>Number</w:t>
      </w:r>
      <w:r w:rsidRPr="008B1E71">
        <w:rPr>
          <w:sz w:val="24"/>
          <w:szCs w:val="24"/>
        </w:rPr>
        <w:t xml:space="preserve"> of Insolvencies (ASI</w:t>
      </w:r>
      <w:r>
        <w:rPr>
          <w:sz w:val="24"/>
          <w:szCs w:val="24"/>
        </w:rPr>
        <w:t>C)</w:t>
      </w:r>
    </w:p>
    <w:p w:rsidR="008B1E71" w:rsidRDefault="008B1E71" w:rsidP="008B1E71">
      <w:pPr>
        <w:pStyle w:val="ListParagraph"/>
        <w:numPr>
          <w:ilvl w:val="0"/>
          <w:numId w:val="1"/>
        </w:numPr>
        <w:spacing w:line="240" w:lineRule="auto"/>
        <w:jc w:val="both"/>
        <w:rPr>
          <w:sz w:val="24"/>
          <w:szCs w:val="24"/>
        </w:rPr>
      </w:pPr>
      <w:r>
        <w:rPr>
          <w:sz w:val="24"/>
          <w:szCs w:val="24"/>
        </w:rPr>
        <w:t>Number</w:t>
      </w:r>
      <w:r w:rsidRPr="008B1E71">
        <w:rPr>
          <w:sz w:val="24"/>
          <w:szCs w:val="24"/>
        </w:rPr>
        <w:t xml:space="preserve"> of New Company Registrations (AS</w:t>
      </w:r>
      <w:r>
        <w:rPr>
          <w:sz w:val="24"/>
          <w:szCs w:val="24"/>
        </w:rPr>
        <w:t>IC), monthly</w:t>
      </w:r>
    </w:p>
    <w:p w:rsidR="008B1E71" w:rsidRPr="00146A55" w:rsidRDefault="008B1E71" w:rsidP="008B1E71">
      <w:pPr>
        <w:jc w:val="both"/>
        <w:rPr>
          <w:rFonts w:ascii="Calibri" w:hAnsi="Calibri" w:cs="Calibri"/>
        </w:rPr>
      </w:pPr>
    </w:p>
    <w:p w:rsidR="00696A93" w:rsidRPr="00037B53" w:rsidRDefault="00037B53" w:rsidP="00037B53">
      <w:pPr>
        <w:jc w:val="both"/>
        <w:rPr>
          <w:rFonts w:asciiTheme="minorHAnsi" w:hAnsiTheme="minorHAnsi" w:cstheme="minorHAnsi"/>
          <w:i/>
        </w:rPr>
      </w:pPr>
      <w:r w:rsidRPr="00037B53">
        <w:rPr>
          <w:rFonts w:asciiTheme="minorHAnsi" w:hAnsiTheme="minorHAnsi" w:cstheme="minorHAnsi"/>
          <w:i/>
        </w:rPr>
        <w:t>Other Series</w:t>
      </w:r>
    </w:p>
    <w:p w:rsidR="00037B53" w:rsidRPr="00037B53" w:rsidRDefault="00037B53" w:rsidP="00037B53">
      <w:pPr>
        <w:jc w:val="both"/>
        <w:rPr>
          <w:rFonts w:ascii="Calibri" w:hAnsi="Calibri" w:cs="Calibri"/>
        </w:rPr>
      </w:pPr>
    </w:p>
    <w:p w:rsidR="00037B53" w:rsidRDefault="00037B53" w:rsidP="00037B53">
      <w:pPr>
        <w:pStyle w:val="ListParagraph"/>
        <w:numPr>
          <w:ilvl w:val="0"/>
          <w:numId w:val="1"/>
        </w:numPr>
        <w:spacing w:line="240" w:lineRule="auto"/>
        <w:jc w:val="both"/>
        <w:rPr>
          <w:sz w:val="24"/>
          <w:szCs w:val="24"/>
        </w:rPr>
      </w:pPr>
      <w:r w:rsidRPr="00037B53">
        <w:rPr>
          <w:sz w:val="24"/>
          <w:szCs w:val="24"/>
        </w:rPr>
        <w:t>New Motor Vehicle Sales</w:t>
      </w:r>
      <w:r>
        <w:rPr>
          <w:sz w:val="24"/>
          <w:szCs w:val="24"/>
        </w:rPr>
        <w:t xml:space="preserve"> (ABS)</w:t>
      </w:r>
    </w:p>
    <w:p w:rsidR="006D3AF9" w:rsidRDefault="006D3AF9" w:rsidP="00037B53">
      <w:pPr>
        <w:pStyle w:val="ListParagraph"/>
        <w:numPr>
          <w:ilvl w:val="0"/>
          <w:numId w:val="1"/>
        </w:numPr>
        <w:spacing w:line="240" w:lineRule="auto"/>
        <w:jc w:val="both"/>
        <w:rPr>
          <w:sz w:val="24"/>
          <w:szCs w:val="24"/>
        </w:rPr>
      </w:pPr>
      <w:r>
        <w:rPr>
          <w:sz w:val="24"/>
          <w:szCs w:val="24"/>
        </w:rPr>
        <w:t>Private House Approvals (ABS)</w:t>
      </w:r>
    </w:p>
    <w:p w:rsidR="006D3AF9" w:rsidRPr="006D3AF9" w:rsidRDefault="006D3AF9" w:rsidP="006D3AF9">
      <w:pPr>
        <w:pStyle w:val="ListParagraph"/>
        <w:numPr>
          <w:ilvl w:val="0"/>
          <w:numId w:val="1"/>
        </w:numPr>
        <w:spacing w:line="240" w:lineRule="auto"/>
        <w:jc w:val="both"/>
        <w:rPr>
          <w:sz w:val="24"/>
          <w:szCs w:val="24"/>
        </w:rPr>
      </w:pPr>
      <w:r w:rsidRPr="006D3AF9">
        <w:rPr>
          <w:sz w:val="24"/>
          <w:szCs w:val="24"/>
        </w:rPr>
        <w:t>Pre-mix Concrete Production</w:t>
      </w:r>
      <w:r>
        <w:rPr>
          <w:sz w:val="24"/>
          <w:szCs w:val="24"/>
        </w:rPr>
        <w:t xml:space="preserve"> (ABS)</w:t>
      </w:r>
    </w:p>
    <w:p w:rsidR="006D3AF9" w:rsidRPr="006D3AF9" w:rsidRDefault="006D3AF9" w:rsidP="006D3AF9">
      <w:pPr>
        <w:pStyle w:val="ListParagraph"/>
        <w:numPr>
          <w:ilvl w:val="0"/>
          <w:numId w:val="1"/>
        </w:numPr>
        <w:spacing w:line="240" w:lineRule="auto"/>
        <w:jc w:val="both"/>
        <w:rPr>
          <w:sz w:val="24"/>
          <w:szCs w:val="24"/>
        </w:rPr>
      </w:pPr>
      <w:r>
        <w:rPr>
          <w:sz w:val="24"/>
          <w:szCs w:val="24"/>
        </w:rPr>
        <w:t xml:space="preserve">Short-term Visitor Arrivals </w:t>
      </w:r>
      <w:r w:rsidRPr="006D3AF9">
        <w:rPr>
          <w:sz w:val="24"/>
          <w:szCs w:val="24"/>
        </w:rPr>
        <w:t xml:space="preserve">from </w:t>
      </w:r>
      <w:r>
        <w:rPr>
          <w:sz w:val="24"/>
          <w:szCs w:val="24"/>
        </w:rPr>
        <w:t>O</w:t>
      </w:r>
      <w:r w:rsidRPr="006D3AF9">
        <w:rPr>
          <w:sz w:val="24"/>
          <w:szCs w:val="24"/>
        </w:rPr>
        <w:t>verseas</w:t>
      </w:r>
      <w:r>
        <w:rPr>
          <w:sz w:val="24"/>
          <w:szCs w:val="24"/>
        </w:rPr>
        <w:t xml:space="preserve"> (ABS</w:t>
      </w:r>
      <w:r w:rsidRPr="006D3AF9">
        <w:rPr>
          <w:sz w:val="24"/>
          <w:szCs w:val="24"/>
        </w:rPr>
        <w:t>)</w:t>
      </w:r>
    </w:p>
    <w:p w:rsidR="006D3AF9" w:rsidRDefault="006D3AF9" w:rsidP="00037B53">
      <w:pPr>
        <w:pStyle w:val="ListParagraph"/>
        <w:numPr>
          <w:ilvl w:val="0"/>
          <w:numId w:val="1"/>
        </w:numPr>
        <w:spacing w:line="240" w:lineRule="auto"/>
        <w:jc w:val="both"/>
        <w:rPr>
          <w:sz w:val="24"/>
          <w:szCs w:val="24"/>
        </w:rPr>
      </w:pPr>
      <w:r w:rsidRPr="006D3AF9">
        <w:rPr>
          <w:sz w:val="24"/>
          <w:szCs w:val="24"/>
        </w:rPr>
        <w:t>Short-term Resident Departures to Overseas</w:t>
      </w:r>
      <w:r>
        <w:rPr>
          <w:sz w:val="24"/>
          <w:szCs w:val="24"/>
        </w:rPr>
        <w:t xml:space="preserve"> (ABS)</w:t>
      </w:r>
    </w:p>
    <w:p w:rsidR="006D3AF9" w:rsidRPr="006D3AF9" w:rsidRDefault="006D3AF9" w:rsidP="006D3AF9">
      <w:pPr>
        <w:pStyle w:val="ListParagraph"/>
        <w:numPr>
          <w:ilvl w:val="0"/>
          <w:numId w:val="1"/>
        </w:numPr>
        <w:spacing w:line="240" w:lineRule="auto"/>
        <w:jc w:val="both"/>
        <w:rPr>
          <w:sz w:val="24"/>
          <w:szCs w:val="24"/>
        </w:rPr>
      </w:pPr>
      <w:r w:rsidRPr="006D3AF9">
        <w:rPr>
          <w:sz w:val="24"/>
          <w:szCs w:val="24"/>
        </w:rPr>
        <w:t>Short-term Net Visitor Arrivals</w:t>
      </w:r>
      <w:r>
        <w:rPr>
          <w:sz w:val="24"/>
          <w:szCs w:val="24"/>
        </w:rPr>
        <w:t xml:space="preserve"> from Overseas</w:t>
      </w:r>
      <w:r w:rsidRPr="006D3AF9">
        <w:rPr>
          <w:sz w:val="24"/>
          <w:szCs w:val="24"/>
        </w:rPr>
        <w:t xml:space="preserve"> (Visitor Arrivals - Resident Departures</w:t>
      </w:r>
      <w:r>
        <w:rPr>
          <w:sz w:val="24"/>
          <w:szCs w:val="24"/>
        </w:rPr>
        <w:t>, ABS</w:t>
      </w:r>
      <w:r w:rsidRPr="006D3AF9">
        <w:rPr>
          <w:sz w:val="24"/>
          <w:szCs w:val="24"/>
        </w:rPr>
        <w:t>)</w:t>
      </w:r>
    </w:p>
    <w:p w:rsidR="00037B53" w:rsidRDefault="00037B53" w:rsidP="00037B53">
      <w:pPr>
        <w:pStyle w:val="ListParagraph"/>
        <w:numPr>
          <w:ilvl w:val="0"/>
          <w:numId w:val="1"/>
        </w:numPr>
        <w:spacing w:line="240" w:lineRule="auto"/>
        <w:jc w:val="both"/>
        <w:rPr>
          <w:sz w:val="24"/>
          <w:szCs w:val="24"/>
        </w:rPr>
      </w:pPr>
      <w:r>
        <w:rPr>
          <w:sz w:val="24"/>
          <w:szCs w:val="24"/>
        </w:rPr>
        <w:t>NAB Business Confidence Index</w:t>
      </w:r>
    </w:p>
    <w:p w:rsidR="00CB36B1" w:rsidRPr="0055448E" w:rsidRDefault="00CB36B1" w:rsidP="00CB36B1">
      <w:pPr>
        <w:jc w:val="both"/>
        <w:rPr>
          <w:rFonts w:asciiTheme="minorHAnsi" w:hAnsiTheme="minorHAnsi" w:cstheme="minorHAnsi"/>
        </w:rPr>
      </w:pPr>
    </w:p>
    <w:p w:rsidR="0055448E" w:rsidRPr="00DE70D8" w:rsidRDefault="0055448E" w:rsidP="0055448E">
      <w:pPr>
        <w:rPr>
          <w:rFonts w:asciiTheme="minorHAnsi" w:hAnsiTheme="minorHAnsi" w:cstheme="minorHAnsi"/>
          <w:b/>
        </w:rPr>
      </w:pPr>
      <w:r w:rsidRPr="00DE70D8">
        <w:rPr>
          <w:rFonts w:asciiTheme="minorHAnsi" w:hAnsiTheme="minorHAnsi" w:cstheme="minorHAnsi"/>
          <w:b/>
        </w:rPr>
        <w:t>Series eliminated after individual assessment</w:t>
      </w:r>
      <w:r>
        <w:rPr>
          <w:rFonts w:asciiTheme="minorHAnsi" w:hAnsiTheme="minorHAnsi" w:cstheme="minorHAnsi"/>
          <w:b/>
        </w:rPr>
        <w:t xml:space="preserve"> in </w:t>
      </w:r>
      <w:r w:rsidR="005E3E82">
        <w:rPr>
          <w:rFonts w:asciiTheme="minorHAnsi" w:hAnsiTheme="minorHAnsi" w:cstheme="minorHAnsi"/>
          <w:b/>
        </w:rPr>
        <w:t>previous</w:t>
      </w:r>
      <w:r>
        <w:rPr>
          <w:rFonts w:asciiTheme="minorHAnsi" w:hAnsiTheme="minorHAnsi" w:cstheme="minorHAnsi"/>
          <w:b/>
        </w:rPr>
        <w:t xml:space="preserve"> round of testing</w:t>
      </w:r>
      <w:r w:rsidR="005E3E82">
        <w:rPr>
          <w:rFonts w:asciiTheme="minorHAnsi" w:hAnsiTheme="minorHAnsi" w:cstheme="minorHAnsi"/>
          <w:b/>
        </w:rPr>
        <w:t xml:space="preserve"> and not retested</w:t>
      </w:r>
    </w:p>
    <w:p w:rsidR="00CB36B1" w:rsidRPr="0055448E" w:rsidRDefault="00CB36B1" w:rsidP="00CB36B1">
      <w:pPr>
        <w:jc w:val="both"/>
        <w:rPr>
          <w:rFonts w:asciiTheme="minorHAnsi" w:hAnsiTheme="minorHAnsi" w:cstheme="minorHAnsi"/>
        </w:rPr>
      </w:pPr>
    </w:p>
    <w:p w:rsidR="0055448E" w:rsidRPr="00DE70D8" w:rsidRDefault="0055448E" w:rsidP="0055448E">
      <w:pPr>
        <w:rPr>
          <w:rFonts w:asciiTheme="minorHAnsi" w:hAnsiTheme="minorHAnsi" w:cstheme="minorHAnsi"/>
          <w:u w:val="single"/>
        </w:rPr>
      </w:pPr>
      <w:r w:rsidRPr="00DE70D8">
        <w:rPr>
          <w:rFonts w:asciiTheme="minorHAnsi" w:hAnsiTheme="minorHAnsi" w:cstheme="minorHAnsi"/>
          <w:u w:val="single"/>
        </w:rPr>
        <w:t>International Series</w:t>
      </w:r>
    </w:p>
    <w:p w:rsidR="0055448E" w:rsidRPr="0055448E" w:rsidRDefault="0055448E" w:rsidP="0055448E">
      <w:pPr>
        <w:rPr>
          <w:rFonts w:ascii="Calibri" w:hAnsi="Calibri" w:cs="Calibri"/>
        </w:rPr>
      </w:pPr>
    </w:p>
    <w:p w:rsidR="0055448E" w:rsidRDefault="0055448E" w:rsidP="0055448E">
      <w:pPr>
        <w:pStyle w:val="ListParagraph"/>
        <w:numPr>
          <w:ilvl w:val="0"/>
          <w:numId w:val="1"/>
        </w:numPr>
        <w:spacing w:line="240" w:lineRule="auto"/>
        <w:jc w:val="both"/>
        <w:rPr>
          <w:sz w:val="24"/>
          <w:szCs w:val="24"/>
        </w:rPr>
      </w:pPr>
      <w:r w:rsidRPr="00CB36B1">
        <w:rPr>
          <w:sz w:val="24"/>
          <w:szCs w:val="24"/>
        </w:rPr>
        <w:t>Baltic Dry Index (of shipping freight rates</w:t>
      </w:r>
      <w:r>
        <w:rPr>
          <w:sz w:val="24"/>
          <w:szCs w:val="24"/>
        </w:rPr>
        <w:t>, Thomson Reuters</w:t>
      </w:r>
      <w:r w:rsidRPr="00CB36B1">
        <w:rPr>
          <w:sz w:val="24"/>
          <w:szCs w:val="24"/>
        </w:rPr>
        <w:t>)</w:t>
      </w:r>
    </w:p>
    <w:p w:rsidR="009F0F46" w:rsidRDefault="009F0F46" w:rsidP="0055448E">
      <w:pPr>
        <w:pStyle w:val="ListParagraph"/>
        <w:numPr>
          <w:ilvl w:val="0"/>
          <w:numId w:val="1"/>
        </w:numPr>
        <w:spacing w:line="240" w:lineRule="auto"/>
        <w:jc w:val="both"/>
        <w:rPr>
          <w:sz w:val="24"/>
          <w:szCs w:val="24"/>
        </w:rPr>
      </w:pPr>
      <w:r>
        <w:rPr>
          <w:sz w:val="24"/>
          <w:szCs w:val="24"/>
        </w:rPr>
        <w:t>US Share Price Indices (Dow-Jones Industrial Average and Standard &amp; Poors 500)</w:t>
      </w:r>
    </w:p>
    <w:p w:rsidR="009F0F46" w:rsidRDefault="009F0F46" w:rsidP="0055448E">
      <w:pPr>
        <w:pStyle w:val="ListParagraph"/>
        <w:numPr>
          <w:ilvl w:val="0"/>
          <w:numId w:val="1"/>
        </w:numPr>
        <w:spacing w:line="240" w:lineRule="auto"/>
        <w:jc w:val="both"/>
        <w:rPr>
          <w:sz w:val="24"/>
          <w:szCs w:val="24"/>
        </w:rPr>
      </w:pPr>
      <w:r>
        <w:rPr>
          <w:sz w:val="24"/>
          <w:szCs w:val="24"/>
        </w:rPr>
        <w:t xml:space="preserve">US </w:t>
      </w:r>
      <w:r w:rsidR="005E3E82" w:rsidRPr="009F0F46">
        <w:rPr>
          <w:sz w:val="24"/>
          <w:szCs w:val="24"/>
        </w:rPr>
        <w:t>Sales</w:t>
      </w:r>
      <w:r w:rsidR="005E3E82">
        <w:rPr>
          <w:sz w:val="24"/>
          <w:szCs w:val="24"/>
        </w:rPr>
        <w:t xml:space="preserve"> of </w:t>
      </w:r>
      <w:r>
        <w:rPr>
          <w:sz w:val="24"/>
          <w:szCs w:val="24"/>
        </w:rPr>
        <w:t>Existing One-f</w:t>
      </w:r>
      <w:r w:rsidRPr="009F0F46">
        <w:rPr>
          <w:sz w:val="24"/>
          <w:szCs w:val="24"/>
        </w:rPr>
        <w:t>amily Home</w:t>
      </w:r>
      <w:r w:rsidR="005E3E82">
        <w:rPr>
          <w:sz w:val="24"/>
          <w:szCs w:val="24"/>
        </w:rPr>
        <w:t>s</w:t>
      </w:r>
    </w:p>
    <w:p w:rsidR="005E3E82" w:rsidRPr="00CB36B1" w:rsidRDefault="00C02F5A" w:rsidP="00C02F5A">
      <w:pPr>
        <w:pStyle w:val="ListParagraph"/>
        <w:numPr>
          <w:ilvl w:val="0"/>
          <w:numId w:val="1"/>
        </w:numPr>
        <w:spacing w:line="240" w:lineRule="auto"/>
        <w:jc w:val="both"/>
        <w:rPr>
          <w:sz w:val="24"/>
          <w:szCs w:val="24"/>
        </w:rPr>
      </w:pPr>
      <w:r w:rsidRPr="00C02F5A">
        <w:rPr>
          <w:sz w:val="24"/>
          <w:szCs w:val="24"/>
        </w:rPr>
        <w:t xml:space="preserve">Chicago Board Options Exchange Market Volatility Index </w:t>
      </w:r>
      <w:r w:rsidR="005E3E82">
        <w:rPr>
          <w:sz w:val="24"/>
          <w:szCs w:val="24"/>
        </w:rPr>
        <w:t>(VIX) of US Share Prices</w:t>
      </w:r>
      <w:r>
        <w:rPr>
          <w:sz w:val="24"/>
          <w:szCs w:val="24"/>
        </w:rPr>
        <w:t xml:space="preserve"> (Standard &amp; Poors 500)</w:t>
      </w:r>
    </w:p>
    <w:p w:rsidR="0055448E" w:rsidRDefault="0055448E">
      <w:pPr>
        <w:rPr>
          <w:rFonts w:asciiTheme="minorHAnsi" w:hAnsiTheme="minorHAnsi" w:cstheme="minorHAnsi"/>
        </w:rPr>
      </w:pPr>
    </w:p>
    <w:p w:rsidR="0055448E" w:rsidRPr="00696A93" w:rsidRDefault="0055448E" w:rsidP="0055448E">
      <w:pPr>
        <w:rPr>
          <w:rFonts w:ascii="Calibri" w:hAnsi="Calibri" w:cs="Calibri"/>
          <w:u w:val="single"/>
        </w:rPr>
      </w:pPr>
      <w:r w:rsidRPr="00696A93">
        <w:rPr>
          <w:rFonts w:ascii="Calibri" w:hAnsi="Calibri" w:cs="Calibri"/>
          <w:u w:val="single"/>
        </w:rPr>
        <w:t>Domestic Series</w:t>
      </w:r>
    </w:p>
    <w:p w:rsidR="0055448E" w:rsidRDefault="0055448E">
      <w:pPr>
        <w:rPr>
          <w:rFonts w:asciiTheme="minorHAnsi" w:hAnsiTheme="minorHAnsi" w:cstheme="minorHAnsi"/>
        </w:rPr>
      </w:pPr>
    </w:p>
    <w:p w:rsidR="0055448E" w:rsidRDefault="0055448E" w:rsidP="0055448E">
      <w:pPr>
        <w:pStyle w:val="ListParagraph"/>
        <w:numPr>
          <w:ilvl w:val="0"/>
          <w:numId w:val="1"/>
        </w:numPr>
        <w:spacing w:line="240" w:lineRule="auto"/>
        <w:jc w:val="both"/>
        <w:rPr>
          <w:sz w:val="24"/>
          <w:szCs w:val="24"/>
        </w:rPr>
      </w:pPr>
      <w:r>
        <w:rPr>
          <w:sz w:val="24"/>
          <w:szCs w:val="24"/>
        </w:rPr>
        <w:t>Trade-w</w:t>
      </w:r>
      <w:r w:rsidRPr="0055448E">
        <w:rPr>
          <w:sz w:val="24"/>
          <w:szCs w:val="24"/>
        </w:rPr>
        <w:t xml:space="preserve">eighted </w:t>
      </w:r>
      <w:r w:rsidR="00D971CB">
        <w:rPr>
          <w:sz w:val="24"/>
          <w:szCs w:val="24"/>
        </w:rPr>
        <w:t xml:space="preserve">Exchange-rate </w:t>
      </w:r>
      <w:r w:rsidRPr="0055448E">
        <w:rPr>
          <w:sz w:val="24"/>
          <w:szCs w:val="24"/>
        </w:rPr>
        <w:t xml:space="preserve">Index of </w:t>
      </w:r>
      <w:r>
        <w:rPr>
          <w:sz w:val="24"/>
          <w:szCs w:val="24"/>
        </w:rPr>
        <w:t>$A (RBA)</w:t>
      </w:r>
    </w:p>
    <w:p w:rsidR="009F0F46" w:rsidRPr="009F0F46" w:rsidRDefault="009F0F46" w:rsidP="009F0F46">
      <w:pPr>
        <w:pStyle w:val="ListParagraph"/>
        <w:numPr>
          <w:ilvl w:val="0"/>
          <w:numId w:val="1"/>
        </w:numPr>
        <w:spacing w:line="240" w:lineRule="auto"/>
        <w:jc w:val="both"/>
        <w:rPr>
          <w:sz w:val="24"/>
          <w:szCs w:val="24"/>
        </w:rPr>
      </w:pPr>
      <w:r w:rsidRPr="009F0F46">
        <w:rPr>
          <w:bCs/>
          <w:sz w:val="24"/>
          <w:szCs w:val="24"/>
        </w:rPr>
        <w:t xml:space="preserve">Money Supply </w:t>
      </w:r>
      <w:r>
        <w:rPr>
          <w:bCs/>
          <w:sz w:val="24"/>
          <w:szCs w:val="24"/>
        </w:rPr>
        <w:t>(</w:t>
      </w:r>
      <w:r w:rsidRPr="009F0F46">
        <w:rPr>
          <w:bCs/>
          <w:sz w:val="24"/>
          <w:szCs w:val="24"/>
        </w:rPr>
        <w:t>M3</w:t>
      </w:r>
      <w:r>
        <w:rPr>
          <w:bCs/>
          <w:sz w:val="24"/>
          <w:szCs w:val="24"/>
        </w:rPr>
        <w:t xml:space="preserve"> measure, in both real and nominal terms, RBA/ABS/Westpac-TD Securities/Thomson Reuters)</w:t>
      </w:r>
    </w:p>
    <w:p w:rsidR="0055448E" w:rsidRDefault="0055448E">
      <w:pPr>
        <w:rPr>
          <w:rFonts w:asciiTheme="minorHAnsi" w:hAnsiTheme="minorHAnsi" w:cstheme="minorHAnsi"/>
        </w:rPr>
      </w:pPr>
    </w:p>
    <w:p w:rsidR="009C2CB6" w:rsidRDefault="009C2CB6">
      <w:pPr>
        <w:rPr>
          <w:rFonts w:asciiTheme="minorHAnsi" w:hAnsiTheme="minorHAnsi" w:cstheme="minorHAnsi"/>
        </w:rPr>
      </w:pPr>
      <w:r>
        <w:rPr>
          <w:rFonts w:asciiTheme="minorHAnsi" w:hAnsiTheme="minorHAnsi" w:cstheme="minorHAnsi"/>
        </w:rPr>
        <w:br w:type="page"/>
      </w:r>
    </w:p>
    <w:p w:rsidR="009C2CB6" w:rsidRPr="00DE70D8" w:rsidRDefault="009C2CB6" w:rsidP="009C2CB6">
      <w:pPr>
        <w:rPr>
          <w:rFonts w:asciiTheme="minorHAnsi" w:hAnsiTheme="minorHAnsi" w:cstheme="minorHAnsi"/>
        </w:rPr>
      </w:pPr>
    </w:p>
    <w:p w:rsidR="009C2CB6" w:rsidRDefault="009C2CB6" w:rsidP="009C2CB6">
      <w:pPr>
        <w:jc w:val="right"/>
        <w:rPr>
          <w:rFonts w:asciiTheme="minorHAnsi" w:hAnsiTheme="minorHAnsi" w:cstheme="minorHAnsi"/>
          <w:b/>
        </w:rPr>
      </w:pPr>
      <w:r>
        <w:rPr>
          <w:rFonts w:asciiTheme="minorHAnsi" w:hAnsiTheme="minorHAnsi" w:cstheme="minorHAnsi"/>
          <w:b/>
        </w:rPr>
        <w:t xml:space="preserve">Appendix B: </w:t>
      </w:r>
    </w:p>
    <w:p w:rsidR="009C2CB6" w:rsidRDefault="009C2CB6" w:rsidP="009C2CB6">
      <w:pPr>
        <w:rPr>
          <w:rFonts w:asciiTheme="minorHAnsi" w:hAnsiTheme="minorHAnsi" w:cstheme="minorHAnsi"/>
          <w:b/>
        </w:rPr>
      </w:pPr>
    </w:p>
    <w:p w:rsidR="009C2CB6" w:rsidRPr="009C2CB6" w:rsidRDefault="009C2CB6" w:rsidP="009C2CB6">
      <w:pPr>
        <w:jc w:val="center"/>
        <w:rPr>
          <w:rFonts w:asciiTheme="minorHAnsi" w:hAnsiTheme="minorHAnsi" w:cstheme="minorHAnsi"/>
          <w:b/>
        </w:rPr>
      </w:pPr>
      <w:r>
        <w:rPr>
          <w:rFonts w:asciiTheme="minorHAnsi" w:hAnsiTheme="minorHAnsi" w:cstheme="minorHAnsi"/>
          <w:b/>
        </w:rPr>
        <w:t xml:space="preserve">Improving the Specification of the Cyclical Component of the </w:t>
      </w:r>
      <w:r w:rsidRPr="009C2CB6">
        <w:rPr>
          <w:rFonts w:ascii="Calibri" w:hAnsi="Calibri" w:cs="Calibri"/>
          <w:b/>
          <w:color w:val="000000" w:themeColor="text1"/>
        </w:rPr>
        <w:t>Official Purchasing Managers’ Index of Manufacturing Output in China</w:t>
      </w:r>
    </w:p>
    <w:p w:rsidR="009C2CB6" w:rsidRDefault="009C2CB6" w:rsidP="009C2CB6">
      <w:pPr>
        <w:rPr>
          <w:rFonts w:asciiTheme="minorHAnsi" w:hAnsiTheme="minorHAnsi" w:cstheme="minorHAnsi"/>
        </w:rPr>
      </w:pPr>
    </w:p>
    <w:p w:rsidR="00B87642" w:rsidRDefault="00B87642" w:rsidP="00B87642">
      <w:pPr>
        <w:rPr>
          <w:rFonts w:ascii="Calibri" w:hAnsi="Calibri" w:cs="Calibri"/>
          <w:color w:val="000000" w:themeColor="text1"/>
        </w:rPr>
      </w:pPr>
      <w:r>
        <w:rPr>
          <w:rFonts w:asciiTheme="minorHAnsi" w:hAnsiTheme="minorHAnsi" w:cstheme="minorHAnsi"/>
          <w:color w:val="000000" w:themeColor="text1"/>
        </w:rPr>
        <w:t>T</w:t>
      </w:r>
      <w:r w:rsidRPr="00BD1087">
        <w:rPr>
          <w:rFonts w:asciiTheme="minorHAnsi" w:hAnsiTheme="minorHAnsi" w:cstheme="minorHAnsi"/>
          <w:color w:val="000000" w:themeColor="text1"/>
        </w:rPr>
        <w:t xml:space="preserve">he </w:t>
      </w:r>
      <w:r w:rsidRPr="00BD1087">
        <w:rPr>
          <w:rFonts w:ascii="Calibri" w:hAnsi="Calibri" w:cs="Calibri"/>
          <w:color w:val="000000" w:themeColor="text1"/>
        </w:rPr>
        <w:t>Official</w:t>
      </w:r>
      <w:r>
        <w:rPr>
          <w:rStyle w:val="FootnoteReference"/>
          <w:rFonts w:ascii="Calibri" w:hAnsi="Calibri" w:cs="Calibri"/>
          <w:color w:val="000000" w:themeColor="text1"/>
        </w:rPr>
        <w:footnoteReference w:id="16"/>
      </w:r>
      <w:r w:rsidRPr="00BD1087">
        <w:rPr>
          <w:rFonts w:ascii="Calibri" w:hAnsi="Calibri" w:cs="Calibri"/>
          <w:color w:val="000000" w:themeColor="text1"/>
        </w:rPr>
        <w:t xml:space="preserve"> Purchasing Managers’ Index of Manufacturing Output in China </w:t>
      </w:r>
      <w:r>
        <w:rPr>
          <w:rFonts w:ascii="Calibri" w:hAnsi="Calibri" w:cs="Calibri"/>
          <w:color w:val="000000" w:themeColor="text1"/>
        </w:rPr>
        <w:t xml:space="preserve">is </w:t>
      </w:r>
      <w:r w:rsidRPr="00BD1087">
        <w:rPr>
          <w:rFonts w:ascii="Calibri" w:hAnsi="Calibri" w:cs="Calibri"/>
          <w:color w:val="000000" w:themeColor="text1"/>
        </w:rPr>
        <w:t>only available electronically from January 2005, and in terms of a centred six-year trend, is only fully accurate from January 2008.</w:t>
      </w:r>
      <w:r>
        <w:rPr>
          <w:rFonts w:ascii="Calibri" w:hAnsi="Calibri" w:cs="Calibri"/>
          <w:color w:val="000000" w:themeColor="text1"/>
        </w:rPr>
        <w:t xml:space="preserve"> This creates problems in attempting to use the series in a longer time series analysis such as sample period used for this stage of the Review, which starts in July 1994. </w:t>
      </w:r>
    </w:p>
    <w:p w:rsidR="00B87642" w:rsidRDefault="00B87642" w:rsidP="00B87642">
      <w:pPr>
        <w:rPr>
          <w:rFonts w:ascii="Calibri" w:hAnsi="Calibri" w:cs="Calibri"/>
          <w:color w:val="000000" w:themeColor="text1"/>
        </w:rPr>
      </w:pPr>
    </w:p>
    <w:p w:rsidR="00B87642" w:rsidRDefault="00B87642" w:rsidP="00B87642">
      <w:pPr>
        <w:rPr>
          <w:rFonts w:ascii="Calibri" w:hAnsi="Calibri" w:cs="Calibri"/>
          <w:color w:val="000000" w:themeColor="text1"/>
        </w:rPr>
      </w:pPr>
      <w:r>
        <w:rPr>
          <w:rFonts w:ascii="Calibri" w:hAnsi="Calibri" w:cs="Calibri"/>
          <w:color w:val="000000" w:themeColor="text1"/>
        </w:rPr>
        <w:t>An initial attempt to extend the series back in time was made by setting the values of the raw variable to their baseline or neutral value of 50 percentage points (implying 50 per cent of the respondents to the survey expect an improvement in manufacturing output, while the other half expect a deterioration in manufacturing output). However, when the cyclical component of this extended series was calculated, it had the artefact of generating inaccurate negative values for the three years before the actual series began to be available (i.e., from the start of 2002 to the end of 2004), as shown in Figure 3. Also, the calculated cyclical component was also inaccurate for the first three years of actual data (i.e., from January 2005 to the end of 2007). To overcome these problems, an improved specification was constructed using the following three steps:</w:t>
      </w:r>
    </w:p>
    <w:p w:rsidR="00B87642" w:rsidRDefault="00B87642" w:rsidP="00B87642">
      <w:pPr>
        <w:rPr>
          <w:rFonts w:ascii="Calibri" w:hAnsi="Calibri" w:cs="Calibri"/>
          <w:color w:val="000000" w:themeColor="text1"/>
        </w:rPr>
      </w:pPr>
    </w:p>
    <w:p w:rsidR="00B87642" w:rsidRDefault="00B87642" w:rsidP="00B87642">
      <w:pPr>
        <w:pStyle w:val="ListParagraph"/>
        <w:numPr>
          <w:ilvl w:val="0"/>
          <w:numId w:val="4"/>
        </w:numPr>
        <w:spacing w:after="240"/>
        <w:rPr>
          <w:rFonts w:ascii="Calibri" w:hAnsi="Calibri" w:cs="Calibri"/>
          <w:color w:val="000000" w:themeColor="text1"/>
          <w:sz w:val="24"/>
          <w:szCs w:val="24"/>
        </w:rPr>
      </w:pPr>
      <w:r w:rsidRPr="00E17737">
        <w:rPr>
          <w:rFonts w:ascii="Calibri" w:hAnsi="Calibri" w:cs="Calibri"/>
          <w:color w:val="000000" w:themeColor="text1"/>
          <w:sz w:val="24"/>
          <w:szCs w:val="24"/>
        </w:rPr>
        <w:t>Setting the values of the cyclical compon</w:t>
      </w:r>
      <w:r>
        <w:rPr>
          <w:rFonts w:ascii="Calibri" w:hAnsi="Calibri" w:cs="Calibri"/>
          <w:color w:val="000000" w:themeColor="text1"/>
          <w:sz w:val="24"/>
          <w:szCs w:val="24"/>
        </w:rPr>
        <w:t>ent to zero before January 2005.</w:t>
      </w:r>
    </w:p>
    <w:p w:rsidR="00B87642" w:rsidRDefault="00B87642" w:rsidP="00B87642">
      <w:pPr>
        <w:pStyle w:val="ListParagraph"/>
        <w:numPr>
          <w:ilvl w:val="0"/>
          <w:numId w:val="4"/>
        </w:numPr>
        <w:rPr>
          <w:rFonts w:ascii="Calibri" w:hAnsi="Calibri" w:cs="Calibri"/>
          <w:color w:val="000000" w:themeColor="text1"/>
          <w:sz w:val="24"/>
          <w:szCs w:val="24"/>
        </w:rPr>
      </w:pPr>
      <w:r w:rsidRPr="00E17737">
        <w:rPr>
          <w:rFonts w:ascii="Calibri" w:hAnsi="Calibri" w:cs="Calibri"/>
          <w:color w:val="000000" w:themeColor="text1"/>
          <w:sz w:val="24"/>
          <w:szCs w:val="24"/>
        </w:rPr>
        <w:t>Progressively ramping up the values from zero to their calculated values over the next three years (i.e., by 1/36</w:t>
      </w:r>
      <w:r w:rsidRPr="00E17737">
        <w:rPr>
          <w:rFonts w:ascii="Calibri" w:hAnsi="Calibri" w:cs="Calibri"/>
          <w:color w:val="000000" w:themeColor="text1"/>
          <w:sz w:val="24"/>
          <w:szCs w:val="24"/>
          <w:vertAlign w:val="superscript"/>
        </w:rPr>
        <w:t>th</w:t>
      </w:r>
      <w:r w:rsidRPr="00E17737">
        <w:rPr>
          <w:rFonts w:ascii="Calibri" w:hAnsi="Calibri" w:cs="Calibri"/>
          <w:color w:val="000000" w:themeColor="text1"/>
          <w:sz w:val="24"/>
          <w:szCs w:val="24"/>
        </w:rPr>
        <w:t xml:space="preserve"> per month), in line with the increase in the accuracy of the constructed series.</w:t>
      </w:r>
      <w:r>
        <w:rPr>
          <w:rFonts w:ascii="Calibri" w:hAnsi="Calibri" w:cs="Calibri"/>
          <w:color w:val="000000" w:themeColor="text1"/>
          <w:sz w:val="24"/>
          <w:szCs w:val="24"/>
        </w:rPr>
        <w:t xml:space="preserve"> The cyclical component is calculated by taking the difference between the one-year trend and the six-year trend, then standardising and normalising it. In turn, the six-year trend is constructed as a centred moving average (i.e., two years and 11 months before the month in question, the month in question, then three years after). Therefore for January 2005, in calculating the six year trend, for the period up to and including January 2005, only one out of the 36 months is based on actual data, with the other 35 based on a preset value of 50. For February 2005, two out of the 36 months would be based on actual data, etc.</w:t>
      </w:r>
    </w:p>
    <w:p w:rsidR="00B87642" w:rsidRPr="00E17737" w:rsidRDefault="00B87642" w:rsidP="00B87642">
      <w:pPr>
        <w:pStyle w:val="ListParagraph"/>
        <w:numPr>
          <w:ilvl w:val="0"/>
          <w:numId w:val="4"/>
        </w:numPr>
        <w:rPr>
          <w:rFonts w:ascii="Calibri" w:hAnsi="Calibri" w:cs="Calibri"/>
          <w:color w:val="000000" w:themeColor="text1"/>
          <w:sz w:val="24"/>
          <w:szCs w:val="24"/>
        </w:rPr>
      </w:pPr>
      <w:r>
        <w:rPr>
          <w:rFonts w:ascii="Calibri" w:hAnsi="Calibri" w:cs="Calibri"/>
          <w:color w:val="000000" w:themeColor="text1"/>
          <w:sz w:val="24"/>
          <w:szCs w:val="24"/>
        </w:rPr>
        <w:t>Using the constructed values of the series from December 2007 onwards.</w:t>
      </w:r>
    </w:p>
    <w:p w:rsidR="00B87642" w:rsidRDefault="00B87642" w:rsidP="00B87642">
      <w:pPr>
        <w:rPr>
          <w:rFonts w:ascii="Calibri" w:hAnsi="Calibri" w:cs="Calibri"/>
          <w:color w:val="000000" w:themeColor="text1"/>
        </w:rPr>
      </w:pPr>
    </w:p>
    <w:p w:rsidR="00B87642" w:rsidRDefault="00B87642" w:rsidP="00B87642">
      <w:pPr>
        <w:rPr>
          <w:rFonts w:ascii="Calibri" w:hAnsi="Calibri" w:cs="Calibri"/>
          <w:color w:val="000000" w:themeColor="text1"/>
        </w:rPr>
      </w:pPr>
      <w:r>
        <w:rPr>
          <w:rFonts w:ascii="Calibri" w:hAnsi="Calibri" w:cs="Calibri"/>
          <w:color w:val="000000" w:themeColor="text1"/>
        </w:rPr>
        <w:t>The c</w:t>
      </w:r>
      <w:r w:rsidR="00EB62F4">
        <w:rPr>
          <w:rFonts w:ascii="Calibri" w:hAnsi="Calibri" w:cs="Calibri"/>
          <w:color w:val="000000" w:themeColor="text1"/>
        </w:rPr>
        <w:t xml:space="preserve">yclical components of the initial and improved specifications are shown in Figure B1. </w:t>
      </w:r>
    </w:p>
    <w:p w:rsidR="00B85FD7" w:rsidRDefault="00B85FD7">
      <w:pPr>
        <w:rPr>
          <w:rFonts w:ascii="Calibri" w:hAnsi="Calibri" w:cs="Calibri"/>
          <w:color w:val="000000" w:themeColor="text1"/>
        </w:rPr>
      </w:pPr>
      <w:r>
        <w:rPr>
          <w:rFonts w:ascii="Calibri" w:hAnsi="Calibri" w:cs="Calibri"/>
          <w:color w:val="000000" w:themeColor="text1"/>
        </w:rPr>
        <w:br w:type="page"/>
      </w:r>
    </w:p>
    <w:p w:rsidR="00B87642" w:rsidRDefault="00B87642" w:rsidP="00B87642">
      <w:pPr>
        <w:rPr>
          <w:rFonts w:ascii="Calibri" w:hAnsi="Calibri" w:cs="Calibri"/>
          <w:color w:val="000000" w:themeColor="text1"/>
        </w:rPr>
      </w:pPr>
    </w:p>
    <w:p w:rsidR="00B87642" w:rsidRPr="00BD1087" w:rsidRDefault="00B87642" w:rsidP="00B87642">
      <w:pPr>
        <w:rPr>
          <w:rFonts w:ascii="Calibri" w:hAnsi="Calibri" w:cs="Calibri"/>
          <w:color w:val="000000" w:themeColor="text1"/>
        </w:rPr>
      </w:pPr>
      <w:r>
        <w:rPr>
          <w:rFonts w:ascii="Calibri" w:hAnsi="Calibri" w:cs="Calibri"/>
          <w:color w:val="000000" w:themeColor="text1"/>
        </w:rPr>
        <w:t xml:space="preserve">Figure B1:  </w:t>
      </w:r>
      <w:r w:rsidRPr="00BD1087">
        <w:rPr>
          <w:rFonts w:ascii="Calibri" w:hAnsi="Calibri" w:cs="Calibri"/>
          <w:b/>
          <w:bCs/>
          <w:color w:val="000000" w:themeColor="text1"/>
        </w:rPr>
        <w:t>Cyclical Component of PMI of Manufacturing in China (original terms)</w:t>
      </w:r>
    </w:p>
    <w:p w:rsidR="00B87642" w:rsidRDefault="00B87642" w:rsidP="00B87642">
      <w:pPr>
        <w:rPr>
          <w:rFonts w:ascii="Calibri" w:hAnsi="Calibri" w:cs="Calibri"/>
          <w:color w:val="000000" w:themeColor="text1"/>
        </w:rPr>
      </w:pPr>
    </w:p>
    <w:p w:rsidR="00B87642" w:rsidRDefault="00AA4DCA" w:rsidP="00B87642">
      <w:pPr>
        <w:rPr>
          <w:rFonts w:ascii="Calibri" w:hAnsi="Calibri" w:cs="Calibri"/>
          <w:color w:val="000000" w:themeColor="text1"/>
        </w:rPr>
      </w:pPr>
      <w:r w:rsidRPr="00AA4DCA">
        <w:rPr>
          <w:noProof/>
        </w:rPr>
        <w:drawing>
          <wp:inline distT="0" distB="0" distL="0" distR="0" wp14:anchorId="7F69BD8F" wp14:editId="169A1F2C">
            <wp:extent cx="5274310" cy="3433539"/>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74310" cy="3433539"/>
                    </a:xfrm>
                    <a:prstGeom prst="rect">
                      <a:avLst/>
                    </a:prstGeom>
                    <a:noFill/>
                    <a:ln>
                      <a:noFill/>
                    </a:ln>
                  </pic:spPr>
                </pic:pic>
              </a:graphicData>
            </a:graphic>
          </wp:inline>
        </w:drawing>
      </w:r>
    </w:p>
    <w:p w:rsidR="009C2CB6" w:rsidRPr="004F790A" w:rsidRDefault="00AA4DCA">
      <w:pPr>
        <w:rPr>
          <w:rFonts w:asciiTheme="minorHAnsi" w:hAnsiTheme="minorHAnsi" w:cstheme="minorHAnsi"/>
          <w:sz w:val="20"/>
          <w:szCs w:val="20"/>
        </w:rPr>
      </w:pPr>
      <w:r w:rsidRPr="004F790A">
        <w:rPr>
          <w:rFonts w:asciiTheme="minorHAnsi" w:hAnsiTheme="minorHAnsi" w:cstheme="minorHAnsi"/>
          <w:sz w:val="20"/>
          <w:szCs w:val="20"/>
        </w:rPr>
        <w:t xml:space="preserve">Source: Calculated in the Department of Employment, using the methods explained in this paper, from data from the </w:t>
      </w:r>
      <w:r w:rsidR="004F790A" w:rsidRPr="004F790A">
        <w:rPr>
          <w:rFonts w:asciiTheme="minorHAnsi" w:hAnsiTheme="minorHAnsi" w:cstheme="minorHAnsi"/>
          <w:sz w:val="20"/>
          <w:szCs w:val="20"/>
        </w:rPr>
        <w:t xml:space="preserve">National Bureau of Statistics of China. </w:t>
      </w:r>
    </w:p>
    <w:p w:rsidR="009C2CB6" w:rsidRDefault="009C2CB6">
      <w:pPr>
        <w:rPr>
          <w:rFonts w:asciiTheme="minorHAnsi" w:hAnsiTheme="minorHAnsi" w:cstheme="minorHAnsi"/>
        </w:rPr>
      </w:pPr>
    </w:p>
    <w:p w:rsidR="009C2CB6" w:rsidRDefault="004F790A">
      <w:pPr>
        <w:rPr>
          <w:rFonts w:asciiTheme="minorHAnsi" w:hAnsiTheme="minorHAnsi" w:cstheme="minorHAnsi"/>
        </w:rPr>
      </w:pPr>
      <w:r>
        <w:rPr>
          <w:rFonts w:asciiTheme="minorHAnsi" w:hAnsiTheme="minorHAnsi" w:cstheme="minorHAnsi"/>
        </w:rPr>
        <w:t xml:space="preserve">As can be seen from Figure B1, use of the improved specification avoids the artificial negative values before January 2005 and the sudden artificial rise in values between late 2004 and early 2005. </w:t>
      </w:r>
    </w:p>
    <w:p w:rsidR="009C2CB6" w:rsidRDefault="009C2CB6">
      <w:pPr>
        <w:rPr>
          <w:rFonts w:asciiTheme="minorHAnsi" w:hAnsiTheme="minorHAnsi" w:cstheme="minorHAnsi"/>
        </w:rPr>
      </w:pPr>
    </w:p>
    <w:p w:rsidR="009C2CB6" w:rsidRDefault="009C2CB6">
      <w:pPr>
        <w:rPr>
          <w:rFonts w:asciiTheme="minorHAnsi" w:hAnsiTheme="minorHAnsi" w:cstheme="minorHAnsi"/>
          <w:b/>
        </w:rPr>
      </w:pPr>
      <w:r>
        <w:rPr>
          <w:rFonts w:asciiTheme="minorHAnsi" w:hAnsiTheme="minorHAnsi" w:cstheme="minorHAnsi"/>
          <w:b/>
        </w:rPr>
        <w:br w:type="page"/>
      </w:r>
    </w:p>
    <w:p w:rsidR="00DA3B9F" w:rsidRDefault="00DA3B9F" w:rsidP="00DA3B9F">
      <w:pPr>
        <w:jc w:val="right"/>
        <w:rPr>
          <w:rFonts w:asciiTheme="minorHAnsi" w:hAnsiTheme="minorHAnsi" w:cstheme="minorHAnsi"/>
          <w:b/>
        </w:rPr>
      </w:pPr>
      <w:r>
        <w:rPr>
          <w:rFonts w:asciiTheme="minorHAnsi" w:hAnsiTheme="minorHAnsi" w:cstheme="minorHAnsi"/>
          <w:b/>
        </w:rPr>
        <w:lastRenderedPageBreak/>
        <w:t xml:space="preserve">Appendix C: </w:t>
      </w:r>
    </w:p>
    <w:p w:rsidR="00DA3B9F" w:rsidRDefault="00DA3B9F" w:rsidP="00DA3B9F">
      <w:pPr>
        <w:rPr>
          <w:rFonts w:asciiTheme="minorHAnsi" w:hAnsiTheme="minorHAnsi" w:cstheme="minorHAnsi"/>
          <w:b/>
        </w:rPr>
      </w:pPr>
    </w:p>
    <w:p w:rsidR="00DA3B9F" w:rsidRPr="009C2CB6" w:rsidRDefault="00DA3B9F" w:rsidP="00DA3B9F">
      <w:pPr>
        <w:jc w:val="center"/>
        <w:rPr>
          <w:rFonts w:asciiTheme="minorHAnsi" w:hAnsiTheme="minorHAnsi" w:cstheme="minorHAnsi"/>
          <w:b/>
        </w:rPr>
      </w:pPr>
      <w:r>
        <w:rPr>
          <w:rFonts w:asciiTheme="minorHAnsi" w:hAnsiTheme="minorHAnsi" w:cstheme="minorHAnsi"/>
          <w:b/>
        </w:rPr>
        <w:t>Initial Estimate of Leading Indicator Equation with Lagged Dependent Variables and Residuals</w:t>
      </w:r>
    </w:p>
    <w:p w:rsidR="00DA3B9F" w:rsidRDefault="00DA3B9F" w:rsidP="00DA3B9F">
      <w:pPr>
        <w:rPr>
          <w:rFonts w:asciiTheme="minorHAnsi" w:hAnsiTheme="minorHAnsi" w:cstheme="minorHAnsi"/>
        </w:rPr>
      </w:pPr>
    </w:p>
    <w:p w:rsidR="00EB390B" w:rsidRDefault="0023384D" w:rsidP="00DA3B9F">
      <w:pPr>
        <w:rPr>
          <w:rFonts w:asciiTheme="minorHAnsi" w:hAnsiTheme="minorHAnsi" w:cstheme="minorHAnsi"/>
        </w:rPr>
      </w:pPr>
      <w:r>
        <w:rPr>
          <w:rFonts w:asciiTheme="minorHAnsi" w:hAnsiTheme="minorHAnsi" w:cstheme="minorHAnsi"/>
        </w:rPr>
        <w:t>An approach based on</w:t>
      </w:r>
      <w:r w:rsidR="00DA3B9F">
        <w:rPr>
          <w:rFonts w:asciiTheme="minorHAnsi" w:hAnsiTheme="minorHAnsi" w:cstheme="minorHAnsi"/>
        </w:rPr>
        <w:t xml:space="preserve"> Wilkins (2013) was used </w:t>
      </w:r>
      <w:r w:rsidR="00EB390B">
        <w:rPr>
          <w:rFonts w:asciiTheme="minorHAnsi" w:hAnsiTheme="minorHAnsi" w:cstheme="minorHAnsi"/>
        </w:rPr>
        <w:t xml:space="preserve">to estimate </w:t>
      </w:r>
      <w:r w:rsidR="00DA3B9F">
        <w:rPr>
          <w:rFonts w:asciiTheme="minorHAnsi" w:hAnsiTheme="minorHAnsi" w:cstheme="minorHAnsi"/>
        </w:rPr>
        <w:t xml:space="preserve">an initial equation </w:t>
      </w:r>
      <w:r w:rsidR="00EB390B">
        <w:rPr>
          <w:rFonts w:asciiTheme="minorHAnsi" w:hAnsiTheme="minorHAnsi" w:cstheme="minorHAnsi"/>
        </w:rPr>
        <w:t xml:space="preserve">for a potential new Indicator. This approach allows for a lagged dependent variable and an autocorrelated error term to be included in the estimated equation, while reducing the bias in the estimates of the other explanatory variables. This approach involves including an extra lag on the lagged dependent variable and the explanatory variables. </w:t>
      </w:r>
      <w:r w:rsidR="008D580D">
        <w:rPr>
          <w:rFonts w:asciiTheme="minorHAnsi" w:hAnsiTheme="minorHAnsi" w:cstheme="minorHAnsi"/>
        </w:rPr>
        <w:t>As previously mentioned, lags of nine months were used in the equation. This involved a modification of t</w:t>
      </w:r>
      <w:r w:rsidR="00EB390B">
        <w:rPr>
          <w:rFonts w:asciiTheme="minorHAnsi" w:hAnsiTheme="minorHAnsi" w:cstheme="minorHAnsi"/>
        </w:rPr>
        <w:t>he approa</w:t>
      </w:r>
      <w:r w:rsidR="008D580D">
        <w:rPr>
          <w:rFonts w:asciiTheme="minorHAnsi" w:hAnsiTheme="minorHAnsi" w:cstheme="minorHAnsi"/>
        </w:rPr>
        <w:t xml:space="preserve">ch in Wilkins (2013) in which lags of one time period were used. The general form of the equation estimated was: </w:t>
      </w:r>
    </w:p>
    <w:p w:rsidR="00EB390B" w:rsidRDefault="00EB390B" w:rsidP="00DA3B9F">
      <w:pPr>
        <w:rPr>
          <w:rFonts w:asciiTheme="minorHAnsi" w:hAnsiTheme="minorHAnsi" w:cstheme="minorHAnsi"/>
        </w:rPr>
      </w:pPr>
    </w:p>
    <w:p w:rsidR="007D1F8F" w:rsidRDefault="00B95C30" w:rsidP="00DA3B9F">
      <w:pPr>
        <w:rPr>
          <w:rFonts w:ascii="Calibri" w:hAnsi="Calibri" w:cs="Calibri"/>
        </w:rPr>
      </w:pPr>
      <w:r>
        <w:rPr>
          <w:rFonts w:asciiTheme="minorHAnsi" w:hAnsiTheme="minorHAnsi" w:cstheme="minorHAnsi"/>
        </w:rPr>
        <w:t>Employment</w:t>
      </w:r>
      <w:r>
        <w:rPr>
          <w:rFonts w:asciiTheme="minorHAnsi" w:hAnsiTheme="minorHAnsi" w:cstheme="minorHAnsi"/>
          <w:vertAlign w:val="subscript"/>
        </w:rPr>
        <w:t>t</w:t>
      </w:r>
      <w:r>
        <w:rPr>
          <w:rFonts w:asciiTheme="minorHAnsi" w:hAnsiTheme="minorHAnsi" w:cstheme="minorHAnsi"/>
        </w:rPr>
        <w:t xml:space="preserve"> =</w:t>
      </w:r>
      <w:r w:rsidR="00B1440C">
        <w:rPr>
          <w:rFonts w:asciiTheme="minorHAnsi" w:hAnsiTheme="minorHAnsi" w:cstheme="minorHAnsi"/>
        </w:rPr>
        <w:t xml:space="preserve"> </w:t>
      </w:r>
      <w:r w:rsidR="00B1440C" w:rsidRPr="007D1F8F">
        <w:rPr>
          <w:rFonts w:asciiTheme="minorHAnsi" w:hAnsiTheme="minorHAnsi" w:cstheme="minorHAnsi"/>
        </w:rPr>
        <w:t>β</w:t>
      </w:r>
      <w:r w:rsidR="00B1440C">
        <w:rPr>
          <w:rFonts w:asciiTheme="minorHAnsi" w:hAnsiTheme="minorHAnsi" w:cstheme="minorHAnsi"/>
          <w:vertAlign w:val="subscript"/>
        </w:rPr>
        <w:t>0</w:t>
      </w:r>
      <w:r>
        <w:rPr>
          <w:rFonts w:asciiTheme="minorHAnsi" w:hAnsiTheme="minorHAnsi" w:cstheme="minorHAnsi"/>
        </w:rPr>
        <w:t xml:space="preserve"> </w:t>
      </w:r>
      <w:r w:rsidR="00B1440C">
        <w:rPr>
          <w:rFonts w:asciiTheme="minorHAnsi" w:hAnsiTheme="minorHAnsi" w:cstheme="minorHAnsi"/>
        </w:rPr>
        <w:t xml:space="preserve">+ </w:t>
      </w:r>
      <w:r>
        <w:rPr>
          <w:rFonts w:asciiTheme="minorHAnsi" w:hAnsiTheme="minorHAnsi" w:cstheme="minorHAnsi"/>
        </w:rPr>
        <w:t>(</w:t>
      </w:r>
      <w:r>
        <w:t>α</w:t>
      </w:r>
      <w:r w:rsidR="00AD0475">
        <w:t>+</w:t>
      </w:r>
      <w:r>
        <w:t>φ</w:t>
      </w:r>
      <w:r w:rsidR="00AD0475">
        <w:t xml:space="preserve">) * </w:t>
      </w:r>
      <w:r w:rsidR="00AD0475">
        <w:rPr>
          <w:rFonts w:asciiTheme="minorHAnsi" w:hAnsiTheme="minorHAnsi" w:cstheme="minorHAnsi"/>
        </w:rPr>
        <w:t>Employment</w:t>
      </w:r>
      <w:r w:rsidR="00AD0475">
        <w:rPr>
          <w:rFonts w:asciiTheme="minorHAnsi" w:hAnsiTheme="minorHAnsi" w:cstheme="minorHAnsi"/>
          <w:vertAlign w:val="subscript"/>
        </w:rPr>
        <w:t>t-9</w:t>
      </w:r>
      <w:r w:rsidR="00AD0475" w:rsidRPr="007D1F8F">
        <w:rPr>
          <w:rFonts w:ascii="Calibri" w:hAnsi="Calibri" w:cs="Calibri"/>
        </w:rPr>
        <w:t xml:space="preserve"> </w:t>
      </w:r>
      <w:r w:rsidR="007D1F8F">
        <w:rPr>
          <w:rFonts w:asciiTheme="minorHAnsi" w:hAnsiTheme="minorHAnsi" w:cstheme="minorHAnsi"/>
        </w:rPr>
        <w:t>+</w:t>
      </w:r>
      <w:r w:rsidR="007D1F8F">
        <w:t xml:space="preserve"> </w:t>
      </w:r>
      <w:r w:rsidR="007D1F8F" w:rsidRPr="007D1F8F">
        <w:rPr>
          <w:rFonts w:ascii="Calibri" w:hAnsi="Calibri" w:cs="Calibri"/>
        </w:rPr>
        <w:t>(-</w:t>
      </w:r>
      <w:r w:rsidR="007D1F8F">
        <w:t xml:space="preserve">α*φ) * </w:t>
      </w:r>
      <w:r w:rsidR="007D1F8F">
        <w:rPr>
          <w:rFonts w:asciiTheme="minorHAnsi" w:hAnsiTheme="minorHAnsi" w:cstheme="minorHAnsi"/>
        </w:rPr>
        <w:t>Employment</w:t>
      </w:r>
      <w:r w:rsidR="007D1F8F">
        <w:rPr>
          <w:rFonts w:asciiTheme="minorHAnsi" w:hAnsiTheme="minorHAnsi" w:cstheme="minorHAnsi"/>
          <w:vertAlign w:val="subscript"/>
        </w:rPr>
        <w:t>t-18</w:t>
      </w:r>
      <w:r w:rsidR="007D1F8F" w:rsidRPr="007D1F8F">
        <w:rPr>
          <w:rFonts w:ascii="Calibri" w:hAnsi="Calibri" w:cs="Calibri"/>
        </w:rPr>
        <w:t xml:space="preserve"> </w:t>
      </w:r>
      <w:r w:rsidR="00AD0475" w:rsidRPr="007D1F8F">
        <w:rPr>
          <w:rFonts w:ascii="Calibri" w:hAnsi="Calibri" w:cs="Calibri"/>
        </w:rPr>
        <w:t xml:space="preserve"> </w:t>
      </w:r>
    </w:p>
    <w:p w:rsidR="007D1F8F" w:rsidRDefault="007D1F8F" w:rsidP="00DA3B9F">
      <w:pPr>
        <w:rPr>
          <w:rFonts w:ascii="Calibri" w:hAnsi="Calibri" w:cs="Calibri"/>
        </w:rPr>
      </w:pPr>
    </w:p>
    <w:p w:rsidR="007D1F8F" w:rsidRDefault="007D1F8F" w:rsidP="00DA3B9F">
      <w:pPr>
        <w:rPr>
          <w:rFonts w:ascii="Calibri" w:hAnsi="Calibri" w:cs="Calibri"/>
        </w:rPr>
      </w:pPr>
      <m:oMathPara>
        <m:oMath>
          <m:r>
            <w:rPr>
              <w:rFonts w:ascii="Cambria Math" w:eastAsia="Cambria Math" w:hAnsi="Cambria Math" w:cs="Cambria Math"/>
            </w:rPr>
            <m:t xml:space="preserve">+ </m:t>
          </m:r>
          <m:nary>
            <m:naryPr>
              <m:chr m:val="∑"/>
              <m:grow m:val="1"/>
              <m:ctrlPr>
                <w:rPr>
                  <w:rFonts w:ascii="Cambria Math" w:hAnsi="Cambria Math" w:cs="Calibri"/>
                </w:rPr>
              </m:ctrlPr>
            </m:naryPr>
            <m:sub>
              <m:r>
                <w:rPr>
                  <w:rFonts w:ascii="Cambria Math" w:eastAsia="Cambria Math" w:hAnsi="Cambria Math" w:cs="Cambria Math"/>
                </w:rPr>
                <m:t>i=1</m:t>
              </m:r>
            </m:sub>
            <m:sup>
              <m:r>
                <w:rPr>
                  <w:rFonts w:ascii="Cambria Math" w:eastAsia="Cambria Math" w:hAnsi="Cambria Math" w:cs="Cambria Math"/>
                </w:rPr>
                <m:t>6</m:t>
              </m:r>
            </m:sup>
            <m:e>
              <m:sSub>
                <m:sSubPr>
                  <m:ctrlPr>
                    <w:rPr>
                      <w:rFonts w:ascii="Cambria Math" w:hAnsi="Cambria Math" w:cs="Calibri"/>
                      <w:i/>
                    </w:rPr>
                  </m:ctrlPr>
                </m:sSubPr>
                <m:e>
                  <m:r>
                    <w:rPr>
                      <w:rFonts w:ascii="Cambria Math" w:hAnsi="Cambria Math" w:cs="Calibri"/>
                    </w:rPr>
                    <m:t xml:space="preserve"> β</m:t>
                  </m:r>
                </m:e>
                <m:sub>
                  <m:r>
                    <w:rPr>
                      <w:rFonts w:ascii="Cambria Math" w:hAnsi="Cambria Math" w:cs="Calibri"/>
                    </w:rPr>
                    <m:t>i</m:t>
                  </m:r>
                </m:sub>
              </m:sSub>
              <m:r>
                <w:rPr>
                  <w:rFonts w:ascii="Cambria Math" w:hAnsi="Cambria Math" w:cs="Calibri"/>
                </w:rPr>
                <m:t>*</m:t>
              </m:r>
              <m:sSub>
                <m:sSubPr>
                  <m:ctrlPr>
                    <w:rPr>
                      <w:rFonts w:ascii="Cambria Math" w:hAnsi="Cambria Math" w:cs="Calibri"/>
                      <w:i/>
                    </w:rPr>
                  </m:ctrlPr>
                </m:sSubPr>
                <m:e>
                  <m:r>
                    <w:rPr>
                      <w:rFonts w:ascii="Cambria Math" w:hAnsi="Cambria Math" w:cs="Calibri"/>
                    </w:rPr>
                    <m:t>X</m:t>
                  </m:r>
                </m:e>
                <m:sub>
                  <m:r>
                    <w:rPr>
                      <w:rFonts w:ascii="Cambria Math" w:hAnsi="Cambria Math" w:cs="Calibri"/>
                    </w:rPr>
                    <m:t>i, t-l(i)</m:t>
                  </m:r>
                </m:sub>
              </m:sSub>
              <m:r>
                <w:rPr>
                  <w:rFonts w:ascii="Cambria Math" w:hAnsi="Cambria Math" w:cs="Calibri"/>
                </w:rPr>
                <m:t xml:space="preserve"> </m:t>
              </m:r>
            </m:e>
          </m:nary>
        </m:oMath>
      </m:oMathPara>
    </w:p>
    <w:p w:rsidR="007D1F8F" w:rsidRDefault="007D1F8F" w:rsidP="00DA3B9F">
      <w:pPr>
        <w:rPr>
          <w:rFonts w:ascii="Calibri" w:hAnsi="Calibri" w:cs="Calibri"/>
        </w:rPr>
      </w:pPr>
    </w:p>
    <w:p w:rsidR="00B1440C" w:rsidRDefault="00B1440C" w:rsidP="00B1440C">
      <w:pPr>
        <w:rPr>
          <w:rFonts w:ascii="Calibri" w:hAnsi="Calibri" w:cs="Calibri"/>
        </w:rPr>
      </w:pPr>
      <m:oMathPara>
        <m:oMath>
          <m:r>
            <w:rPr>
              <w:rFonts w:ascii="Cambria Math" w:eastAsia="Cambria Math" w:hAnsi="Cambria Math" w:cs="Cambria Math"/>
            </w:rPr>
            <m:t xml:space="preserve">+ </m:t>
          </m:r>
          <m:d>
            <m:dPr>
              <m:ctrlPr>
                <w:rPr>
                  <w:rFonts w:ascii="Cambria Math" w:eastAsia="Cambria Math" w:hAnsi="Cambria Math" w:cs="Cambria Math"/>
                  <w:i/>
                </w:rPr>
              </m:ctrlPr>
            </m:dPr>
            <m:e>
              <m:r>
                <w:rPr>
                  <w:rFonts w:ascii="Cambria Math" w:eastAsia="Cambria Math" w:hAnsi="Cambria Math" w:cs="Cambria Math"/>
                </w:rPr>
                <m:t>-βφ</m:t>
              </m:r>
            </m:e>
          </m:d>
          <m:r>
            <w:rPr>
              <w:rFonts w:ascii="Cambria Math" w:eastAsia="Cambria Math" w:hAnsi="Cambria Math" w:cs="Cambria Math"/>
            </w:rPr>
            <m:t>*</m:t>
          </m:r>
          <m:nary>
            <m:naryPr>
              <m:chr m:val="∑"/>
              <m:grow m:val="1"/>
              <m:ctrlPr>
                <w:rPr>
                  <w:rFonts w:ascii="Cambria Math" w:hAnsi="Cambria Math" w:cs="Calibri"/>
                </w:rPr>
              </m:ctrlPr>
            </m:naryPr>
            <m:sub>
              <m:r>
                <w:rPr>
                  <w:rFonts w:ascii="Cambria Math" w:eastAsia="Cambria Math" w:hAnsi="Cambria Math" w:cs="Cambria Math"/>
                </w:rPr>
                <m:t>i=1</m:t>
              </m:r>
            </m:sub>
            <m:sup>
              <m:r>
                <w:rPr>
                  <w:rFonts w:ascii="Cambria Math" w:eastAsia="Cambria Math" w:hAnsi="Cambria Math" w:cs="Cambria Math"/>
                </w:rPr>
                <m:t>6</m:t>
              </m:r>
            </m:sup>
            <m:e>
              <m:sSub>
                <m:sSubPr>
                  <m:ctrlPr>
                    <w:rPr>
                      <w:rFonts w:ascii="Cambria Math" w:hAnsi="Cambria Math" w:cs="Calibri"/>
                      <w:i/>
                    </w:rPr>
                  </m:ctrlPr>
                </m:sSubPr>
                <m:e>
                  <m:r>
                    <w:rPr>
                      <w:rFonts w:ascii="Cambria Math" w:hAnsi="Cambria Math" w:cs="Calibri"/>
                    </w:rPr>
                    <m:t xml:space="preserve"> β</m:t>
                  </m:r>
                </m:e>
                <m:sub>
                  <m:r>
                    <w:rPr>
                      <w:rFonts w:ascii="Cambria Math" w:hAnsi="Cambria Math" w:cs="Calibri"/>
                    </w:rPr>
                    <m:t>i</m:t>
                  </m:r>
                </m:sub>
              </m:sSub>
              <m:r>
                <w:rPr>
                  <w:rFonts w:ascii="Cambria Math" w:hAnsi="Cambria Math" w:cs="Calibri"/>
                </w:rPr>
                <m:t>*</m:t>
              </m:r>
              <m:sSub>
                <m:sSubPr>
                  <m:ctrlPr>
                    <w:rPr>
                      <w:rFonts w:ascii="Cambria Math" w:hAnsi="Cambria Math" w:cs="Calibri"/>
                      <w:i/>
                    </w:rPr>
                  </m:ctrlPr>
                </m:sSubPr>
                <m:e>
                  <m:r>
                    <w:rPr>
                      <w:rFonts w:ascii="Cambria Math" w:hAnsi="Cambria Math" w:cs="Calibri"/>
                    </w:rPr>
                    <m:t>X</m:t>
                  </m:r>
                </m:e>
                <m:sub>
                  <m:r>
                    <w:rPr>
                      <w:rFonts w:ascii="Cambria Math" w:hAnsi="Cambria Math" w:cs="Calibri"/>
                    </w:rPr>
                    <m:t>i, t-l</m:t>
                  </m:r>
                  <m:d>
                    <m:dPr>
                      <m:ctrlPr>
                        <w:rPr>
                          <w:rFonts w:ascii="Cambria Math" w:hAnsi="Cambria Math" w:cs="Calibri"/>
                          <w:i/>
                        </w:rPr>
                      </m:ctrlPr>
                    </m:dPr>
                    <m:e>
                      <m:r>
                        <w:rPr>
                          <w:rFonts w:ascii="Cambria Math" w:hAnsi="Cambria Math" w:cs="Calibri"/>
                        </w:rPr>
                        <m:t>i</m:t>
                      </m:r>
                    </m:e>
                  </m:d>
                  <m:r>
                    <w:rPr>
                      <w:rFonts w:ascii="Cambria Math" w:hAnsi="Cambria Math" w:cs="Calibri"/>
                    </w:rPr>
                    <m:t>-9</m:t>
                  </m:r>
                </m:sub>
              </m:sSub>
              <m:r>
                <w:rPr>
                  <w:rFonts w:ascii="Cambria Math" w:hAnsi="Cambria Math" w:cs="Calibri"/>
                </w:rPr>
                <m:t xml:space="preserve"> </m:t>
              </m:r>
            </m:e>
          </m:nary>
        </m:oMath>
      </m:oMathPara>
    </w:p>
    <w:p w:rsidR="00B1440C" w:rsidRDefault="00B1440C" w:rsidP="00DA3B9F">
      <w:pPr>
        <w:rPr>
          <w:rFonts w:ascii="Calibri" w:hAnsi="Calibri" w:cs="Calibri"/>
        </w:rPr>
      </w:pPr>
    </w:p>
    <w:p w:rsidR="00B1440C" w:rsidRPr="007D1F8F" w:rsidRDefault="00B1440C" w:rsidP="00DA3B9F">
      <w:pPr>
        <w:rPr>
          <w:rFonts w:ascii="Calibri" w:hAnsi="Calibri" w:cs="Calibri"/>
        </w:rPr>
      </w:pPr>
    </w:p>
    <w:p w:rsidR="00B95C30" w:rsidRPr="00B1440C" w:rsidRDefault="007D1F8F" w:rsidP="00DA3B9F">
      <w:pPr>
        <w:rPr>
          <w:rFonts w:asciiTheme="minorHAnsi" w:hAnsiTheme="minorHAnsi" w:cstheme="minorHAnsi"/>
        </w:rPr>
      </w:pPr>
      <w:r>
        <w:tab/>
      </w:r>
      <w:r>
        <w:tab/>
      </w:r>
      <w:r w:rsidR="009E39AE">
        <w:tab/>
      </w:r>
      <w:r w:rsidR="009E39AE">
        <w:tab/>
      </w:r>
      <w:r w:rsidR="009E39AE">
        <w:tab/>
      </w:r>
      <w:r>
        <w:t xml:space="preserve">+ </w:t>
      </w:r>
      <w:r w:rsidR="00B1440C">
        <w:t>e</w:t>
      </w:r>
      <w:r w:rsidR="00B95C30">
        <w:rPr>
          <w:rFonts w:asciiTheme="minorHAnsi" w:hAnsiTheme="minorHAnsi" w:cstheme="minorHAnsi"/>
          <w:vertAlign w:val="subscript"/>
        </w:rPr>
        <w:t>t</w:t>
      </w:r>
      <w:r w:rsidR="00B1440C">
        <w:rPr>
          <w:rFonts w:asciiTheme="minorHAnsi" w:hAnsiTheme="minorHAnsi" w:cstheme="minorHAnsi"/>
        </w:rPr>
        <w:t xml:space="preserve">  </w:t>
      </w:r>
      <w:r w:rsidR="00B1440C">
        <w:rPr>
          <w:rFonts w:asciiTheme="minorHAnsi" w:hAnsiTheme="minorHAnsi" w:cstheme="minorHAnsi"/>
        </w:rPr>
        <w:tab/>
      </w:r>
      <w:r w:rsidR="009E39AE">
        <w:rPr>
          <w:rFonts w:asciiTheme="minorHAnsi" w:hAnsiTheme="minorHAnsi" w:cstheme="minorHAnsi"/>
        </w:rPr>
        <w:tab/>
      </w:r>
      <w:r w:rsidR="009E39AE">
        <w:rPr>
          <w:rFonts w:asciiTheme="minorHAnsi" w:hAnsiTheme="minorHAnsi" w:cstheme="minorHAnsi"/>
        </w:rPr>
        <w:tab/>
      </w:r>
      <w:r w:rsidR="009E39AE">
        <w:rPr>
          <w:rFonts w:asciiTheme="minorHAnsi" w:hAnsiTheme="minorHAnsi" w:cstheme="minorHAnsi"/>
        </w:rPr>
        <w:tab/>
      </w:r>
      <w:r w:rsidR="009E39AE">
        <w:rPr>
          <w:rFonts w:asciiTheme="minorHAnsi" w:hAnsiTheme="minorHAnsi" w:cstheme="minorHAnsi"/>
        </w:rPr>
        <w:tab/>
      </w:r>
      <w:r w:rsidR="00B1440C">
        <w:rPr>
          <w:rFonts w:asciiTheme="minorHAnsi" w:hAnsiTheme="minorHAnsi" w:cstheme="minorHAnsi"/>
        </w:rPr>
        <w:t>(C1)</w:t>
      </w:r>
    </w:p>
    <w:p w:rsidR="00EB390B" w:rsidRDefault="00EB390B" w:rsidP="00DA3B9F">
      <w:pPr>
        <w:rPr>
          <w:rFonts w:asciiTheme="minorHAnsi" w:hAnsiTheme="minorHAnsi" w:cstheme="minorHAnsi"/>
        </w:rPr>
      </w:pPr>
    </w:p>
    <w:p w:rsidR="00B1440C" w:rsidRDefault="004A0A05" w:rsidP="00DA3B9F">
      <w:pPr>
        <w:rPr>
          <w:rFonts w:asciiTheme="minorHAnsi" w:hAnsiTheme="minorHAnsi" w:cstheme="minorHAnsi"/>
        </w:rPr>
      </w:pPr>
      <w:r>
        <w:rPr>
          <w:rFonts w:asciiTheme="minorHAnsi" w:hAnsiTheme="minorHAnsi" w:cstheme="minorHAnsi"/>
        </w:rPr>
        <w:t xml:space="preserve">Where: </w:t>
      </w:r>
    </w:p>
    <w:p w:rsidR="004A0A05" w:rsidRDefault="004A0A05" w:rsidP="00DA3B9F">
      <w:pPr>
        <w:rPr>
          <w:rFonts w:asciiTheme="minorHAnsi" w:hAnsiTheme="minorHAnsi" w:cstheme="minorHAnsi"/>
        </w:rPr>
      </w:pPr>
      <w:r>
        <w:rPr>
          <w:rFonts w:asciiTheme="minorHAnsi" w:hAnsiTheme="minorHAnsi" w:cstheme="minorHAnsi"/>
        </w:rPr>
        <w:t>Employment</w:t>
      </w:r>
      <w:r>
        <w:rPr>
          <w:rFonts w:asciiTheme="minorHAnsi" w:hAnsiTheme="minorHAnsi" w:cstheme="minorHAnsi"/>
          <w:vertAlign w:val="subscript"/>
        </w:rPr>
        <w:t>t</w:t>
      </w:r>
      <w:r>
        <w:rPr>
          <w:rFonts w:asciiTheme="minorHAnsi" w:hAnsiTheme="minorHAnsi" w:cstheme="minorHAnsi"/>
        </w:rPr>
        <w:t xml:space="preserve"> is the cyclical component of employment;</w:t>
      </w:r>
    </w:p>
    <w:p w:rsidR="00B1440C" w:rsidRDefault="004A0A05" w:rsidP="00DA3B9F">
      <w:pPr>
        <w:rPr>
          <w:rFonts w:asciiTheme="minorHAnsi" w:hAnsiTheme="minorHAnsi" w:cstheme="minorHAnsi"/>
        </w:rPr>
      </w:pPr>
      <w:r w:rsidRPr="007D1F8F">
        <w:rPr>
          <w:rFonts w:asciiTheme="minorHAnsi" w:hAnsiTheme="minorHAnsi" w:cstheme="minorHAnsi"/>
        </w:rPr>
        <w:t>β</w:t>
      </w:r>
      <w:r>
        <w:rPr>
          <w:rFonts w:asciiTheme="minorHAnsi" w:hAnsiTheme="minorHAnsi" w:cstheme="minorHAnsi"/>
          <w:vertAlign w:val="subscript"/>
        </w:rPr>
        <w:t>0</w:t>
      </w:r>
      <w:r>
        <w:rPr>
          <w:rFonts w:asciiTheme="minorHAnsi" w:hAnsiTheme="minorHAnsi" w:cstheme="minorHAnsi"/>
        </w:rPr>
        <w:t xml:space="preserve"> is the constant term;     </w:t>
      </w:r>
    </w:p>
    <w:p w:rsidR="004A0A05" w:rsidRDefault="004A0A05" w:rsidP="00DA3B9F">
      <w:pPr>
        <w:rPr>
          <w:rFonts w:asciiTheme="minorHAnsi" w:hAnsiTheme="minorHAnsi" w:cstheme="minorHAnsi"/>
        </w:rPr>
      </w:pPr>
      <w:r>
        <w:t>α</w:t>
      </w:r>
      <w:r>
        <w:rPr>
          <w:rFonts w:asciiTheme="minorHAnsi" w:hAnsiTheme="minorHAnsi" w:cstheme="minorHAnsi"/>
        </w:rPr>
        <w:t xml:space="preserve"> is the coefficient for the direct effect of the lagged dependent variable (lagged nine months) on the dependent variable;</w:t>
      </w:r>
    </w:p>
    <w:p w:rsidR="004A0A05" w:rsidRDefault="004A0A05" w:rsidP="004A0A05">
      <w:pPr>
        <w:rPr>
          <w:rFonts w:asciiTheme="minorHAnsi" w:hAnsiTheme="minorHAnsi" w:cstheme="minorHAnsi"/>
        </w:rPr>
      </w:pPr>
      <w:r>
        <w:t>φ</w:t>
      </w:r>
      <w:r>
        <w:rPr>
          <w:rFonts w:asciiTheme="minorHAnsi" w:hAnsiTheme="minorHAnsi" w:cstheme="minorHAnsi"/>
        </w:rPr>
        <w:t xml:space="preserve"> is the coefficient for the direct effect of the lagged residual or error term (lagged nine months) on the dependent variable;</w:t>
      </w:r>
    </w:p>
    <w:p w:rsidR="00812445" w:rsidRDefault="004A0A05" w:rsidP="00DA3B9F">
      <w:pPr>
        <w:rPr>
          <w:rFonts w:asciiTheme="minorHAnsi" w:hAnsiTheme="minorHAnsi" w:cstheme="minorHAnsi"/>
        </w:rPr>
      </w:pPr>
      <w:r w:rsidRPr="007D1F8F">
        <w:rPr>
          <w:rFonts w:asciiTheme="minorHAnsi" w:hAnsiTheme="minorHAnsi" w:cstheme="minorHAnsi"/>
        </w:rPr>
        <w:t>β</w:t>
      </w:r>
      <w:r w:rsidR="00812445">
        <w:rPr>
          <w:rFonts w:asciiTheme="minorHAnsi" w:hAnsiTheme="minorHAnsi" w:cstheme="minorHAnsi"/>
          <w:vertAlign w:val="subscript"/>
        </w:rPr>
        <w:t>i</w:t>
      </w:r>
      <w:r w:rsidR="00812445">
        <w:rPr>
          <w:rFonts w:asciiTheme="minorHAnsi" w:hAnsiTheme="minorHAnsi" w:cstheme="minorHAnsi"/>
        </w:rPr>
        <w:t xml:space="preserve"> are the coefficients of the six explanatory variables (shown below);</w:t>
      </w:r>
    </w:p>
    <w:p w:rsidR="00812445" w:rsidRDefault="00812445" w:rsidP="00DA3B9F">
      <w:pPr>
        <w:rPr>
          <w:rFonts w:asciiTheme="minorHAnsi" w:hAnsiTheme="minorHAnsi" w:cstheme="minorHAnsi"/>
        </w:rPr>
      </w:pPr>
      <w:r>
        <w:rPr>
          <w:rFonts w:asciiTheme="minorHAnsi" w:hAnsiTheme="minorHAnsi" w:cstheme="minorHAnsi"/>
        </w:rPr>
        <w:t>l(i) are the lags on the explanatory variables (shown in Table 1 and repeated below);</w:t>
      </w:r>
    </w:p>
    <w:p w:rsidR="00812445" w:rsidRDefault="00812445" w:rsidP="00812445">
      <w:pPr>
        <w:rPr>
          <w:rFonts w:asciiTheme="minorHAnsi" w:hAnsiTheme="minorHAnsi" w:cstheme="minorHAnsi"/>
        </w:rPr>
      </w:pPr>
      <w:r>
        <w:rPr>
          <w:rFonts w:asciiTheme="minorHAnsi" w:hAnsiTheme="minorHAnsi" w:cstheme="minorHAnsi"/>
        </w:rPr>
        <w:t>X</w:t>
      </w:r>
      <w:r>
        <w:rPr>
          <w:rFonts w:asciiTheme="minorHAnsi" w:hAnsiTheme="minorHAnsi" w:cstheme="minorHAnsi"/>
          <w:vertAlign w:val="subscript"/>
        </w:rPr>
        <w:t>i</w:t>
      </w:r>
      <w:r>
        <w:rPr>
          <w:rFonts w:asciiTheme="minorHAnsi" w:hAnsiTheme="minorHAnsi" w:cstheme="minorHAnsi"/>
        </w:rPr>
        <w:t xml:space="preserve"> are the six explanatory variables (shown below); and</w:t>
      </w:r>
    </w:p>
    <w:p w:rsidR="004A0A05" w:rsidRDefault="00812445" w:rsidP="00DA3B9F">
      <w:pPr>
        <w:rPr>
          <w:rFonts w:asciiTheme="minorHAnsi" w:hAnsiTheme="minorHAnsi" w:cstheme="minorHAnsi"/>
        </w:rPr>
      </w:pPr>
      <w:r>
        <w:t>e</w:t>
      </w:r>
      <w:r>
        <w:rPr>
          <w:rFonts w:asciiTheme="minorHAnsi" w:hAnsiTheme="minorHAnsi" w:cstheme="minorHAnsi"/>
          <w:vertAlign w:val="subscript"/>
        </w:rPr>
        <w:t>t</w:t>
      </w:r>
      <w:r>
        <w:rPr>
          <w:rFonts w:asciiTheme="minorHAnsi" w:hAnsiTheme="minorHAnsi" w:cstheme="minorHAnsi"/>
        </w:rPr>
        <w:t xml:space="preserve"> is the remaining error term.    </w:t>
      </w:r>
    </w:p>
    <w:p w:rsidR="004A0A05" w:rsidRDefault="004A0A05" w:rsidP="00DA3B9F">
      <w:pPr>
        <w:rPr>
          <w:rFonts w:asciiTheme="minorHAnsi" w:hAnsiTheme="minorHAnsi" w:cstheme="minorHAnsi"/>
        </w:rPr>
      </w:pPr>
    </w:p>
    <w:p w:rsidR="004A0A05" w:rsidRDefault="00812445" w:rsidP="00DA3B9F">
      <w:pPr>
        <w:rPr>
          <w:rFonts w:asciiTheme="minorHAnsi" w:hAnsiTheme="minorHAnsi" w:cstheme="minorHAnsi"/>
        </w:rPr>
      </w:pPr>
      <w:r>
        <w:rPr>
          <w:rFonts w:asciiTheme="minorHAnsi" w:hAnsiTheme="minorHAnsi" w:cstheme="minorHAnsi"/>
        </w:rPr>
        <w:t>As can be seen in equation C1, the coefficients are non-linear and so the equation was estimated using the Nonlinear Least Squares regression method in TSP International Version 5.1 (Hall and Cummins 2009). Th</w:t>
      </w:r>
      <w:r w:rsidR="00A13654">
        <w:rPr>
          <w:rFonts w:asciiTheme="minorHAnsi" w:hAnsiTheme="minorHAnsi" w:cstheme="minorHAnsi"/>
        </w:rPr>
        <w:t>e results are as shown in Table </w:t>
      </w:r>
      <w:r>
        <w:rPr>
          <w:rFonts w:asciiTheme="minorHAnsi" w:hAnsiTheme="minorHAnsi" w:cstheme="minorHAnsi"/>
        </w:rPr>
        <w:t>C1.</w:t>
      </w:r>
      <w:r w:rsidR="004A0A05">
        <w:rPr>
          <w:rFonts w:asciiTheme="minorHAnsi" w:hAnsiTheme="minorHAnsi" w:cstheme="minorHAnsi"/>
        </w:rPr>
        <w:t xml:space="preserve"> </w:t>
      </w:r>
    </w:p>
    <w:p w:rsidR="004A0A05" w:rsidRDefault="004A0A05" w:rsidP="00DA3B9F">
      <w:pPr>
        <w:rPr>
          <w:rFonts w:asciiTheme="minorHAnsi" w:hAnsiTheme="minorHAnsi" w:cstheme="minorHAnsi"/>
        </w:rPr>
      </w:pPr>
    </w:p>
    <w:p w:rsidR="00812445" w:rsidRDefault="00812445" w:rsidP="00DA3B9F">
      <w:pPr>
        <w:rPr>
          <w:rFonts w:asciiTheme="minorHAnsi" w:hAnsiTheme="minorHAnsi" w:cstheme="minorHAnsi"/>
        </w:rPr>
      </w:pPr>
    </w:p>
    <w:p w:rsidR="00812445" w:rsidRDefault="00812445" w:rsidP="00DA3B9F">
      <w:pPr>
        <w:rPr>
          <w:rFonts w:asciiTheme="minorHAnsi" w:hAnsiTheme="minorHAnsi" w:cstheme="minorHAnsi"/>
        </w:rPr>
      </w:pPr>
    </w:p>
    <w:p w:rsidR="00812445" w:rsidRDefault="00812445" w:rsidP="00DA3B9F">
      <w:pPr>
        <w:rPr>
          <w:rFonts w:asciiTheme="minorHAnsi" w:hAnsiTheme="minorHAnsi" w:cstheme="minorHAnsi"/>
        </w:rPr>
      </w:pPr>
    </w:p>
    <w:p w:rsidR="00812445" w:rsidRDefault="00812445" w:rsidP="00DA3B9F">
      <w:pPr>
        <w:rPr>
          <w:rFonts w:asciiTheme="minorHAnsi" w:hAnsiTheme="minorHAnsi" w:cstheme="minorHAnsi"/>
        </w:rPr>
      </w:pPr>
    </w:p>
    <w:p w:rsidR="00812445" w:rsidRPr="0049527F" w:rsidRDefault="00812445" w:rsidP="00812445">
      <w:pPr>
        <w:rPr>
          <w:rFonts w:asciiTheme="minorHAnsi" w:hAnsiTheme="minorHAnsi" w:cstheme="minorHAnsi"/>
          <w:b/>
        </w:rPr>
      </w:pPr>
      <w:r>
        <w:rPr>
          <w:rFonts w:asciiTheme="minorHAnsi" w:hAnsiTheme="minorHAnsi" w:cstheme="minorHAnsi"/>
        </w:rPr>
        <w:lastRenderedPageBreak/>
        <w:t xml:space="preserve">Table C1: </w:t>
      </w:r>
      <w:r w:rsidRPr="00812445">
        <w:rPr>
          <w:rFonts w:asciiTheme="minorHAnsi" w:hAnsiTheme="minorHAnsi" w:cstheme="minorHAnsi"/>
          <w:b/>
        </w:rPr>
        <w:t xml:space="preserve">Results of Initial Estimate of </w:t>
      </w:r>
      <w:r>
        <w:rPr>
          <w:rFonts w:asciiTheme="minorHAnsi" w:hAnsiTheme="minorHAnsi" w:cstheme="minorHAnsi"/>
          <w:b/>
        </w:rPr>
        <w:t>P</w:t>
      </w:r>
      <w:r w:rsidRPr="0049527F">
        <w:rPr>
          <w:rFonts w:asciiTheme="minorHAnsi" w:hAnsiTheme="minorHAnsi" w:cstheme="minorHAnsi"/>
          <w:b/>
        </w:rPr>
        <w:t xml:space="preserve">otential Leading Indicator </w:t>
      </w:r>
      <w:r>
        <w:rPr>
          <w:rFonts w:asciiTheme="minorHAnsi" w:hAnsiTheme="minorHAnsi" w:cstheme="minorHAnsi"/>
          <w:b/>
        </w:rPr>
        <w:t>Equation with Lagged Dependent Variable and Error Term</w:t>
      </w:r>
    </w:p>
    <w:p w:rsidR="00812445" w:rsidRDefault="00812445" w:rsidP="00812445">
      <w:pPr>
        <w:rPr>
          <w:rFonts w:asciiTheme="minorHAnsi" w:hAnsiTheme="minorHAnsi" w:cstheme="minorHAnsi"/>
        </w:rPr>
      </w:pPr>
    </w:p>
    <w:tbl>
      <w:tblPr>
        <w:tblStyle w:val="TableGrid"/>
        <w:tblW w:w="7489" w:type="dxa"/>
        <w:tblLook w:val="04A0" w:firstRow="1" w:lastRow="0" w:firstColumn="1" w:lastColumn="0" w:noHBand="0" w:noVBand="1"/>
      </w:tblPr>
      <w:tblGrid>
        <w:gridCol w:w="2736"/>
        <w:gridCol w:w="1045"/>
        <w:gridCol w:w="1098"/>
        <w:gridCol w:w="1305"/>
        <w:gridCol w:w="1305"/>
      </w:tblGrid>
      <w:tr w:rsidR="00142754" w:rsidTr="00367064">
        <w:tc>
          <w:tcPr>
            <w:tcW w:w="2736" w:type="dxa"/>
            <w:tcBorders>
              <w:bottom w:val="single" w:sz="4" w:space="0" w:color="auto"/>
            </w:tcBorders>
          </w:tcPr>
          <w:p w:rsidR="00142754" w:rsidRPr="0057403C" w:rsidRDefault="00142754" w:rsidP="00BE014A">
            <w:pPr>
              <w:rPr>
                <w:rFonts w:asciiTheme="minorHAnsi" w:hAnsiTheme="minorHAnsi" w:cstheme="minorHAnsi"/>
                <w:b/>
                <w:sz w:val="20"/>
                <w:szCs w:val="20"/>
              </w:rPr>
            </w:pPr>
            <w:r w:rsidRPr="0057403C">
              <w:rPr>
                <w:rFonts w:asciiTheme="minorHAnsi" w:hAnsiTheme="minorHAnsi" w:cstheme="minorHAnsi"/>
                <w:b/>
                <w:sz w:val="20"/>
                <w:szCs w:val="20"/>
              </w:rPr>
              <w:t>Variable</w:t>
            </w:r>
          </w:p>
        </w:tc>
        <w:tc>
          <w:tcPr>
            <w:tcW w:w="1045" w:type="dxa"/>
            <w:tcBorders>
              <w:bottom w:val="single" w:sz="4" w:space="0" w:color="auto"/>
            </w:tcBorders>
          </w:tcPr>
          <w:p w:rsidR="00142754" w:rsidRPr="00812445" w:rsidRDefault="00142754" w:rsidP="00BE014A">
            <w:pPr>
              <w:jc w:val="center"/>
              <w:rPr>
                <w:rFonts w:asciiTheme="minorHAnsi" w:hAnsiTheme="minorHAnsi" w:cstheme="minorHAnsi"/>
                <w:sz w:val="20"/>
                <w:szCs w:val="20"/>
              </w:rPr>
            </w:pPr>
            <w:r w:rsidRPr="00812445">
              <w:rPr>
                <w:rFonts w:asciiTheme="minorHAnsi" w:hAnsiTheme="minorHAnsi" w:cstheme="minorHAnsi"/>
                <w:sz w:val="20"/>
                <w:szCs w:val="20"/>
              </w:rPr>
              <w:t>Lag Length (months)</w:t>
            </w:r>
          </w:p>
        </w:tc>
        <w:tc>
          <w:tcPr>
            <w:tcW w:w="1098" w:type="dxa"/>
            <w:tcBorders>
              <w:bottom w:val="single" w:sz="4" w:space="0" w:color="auto"/>
            </w:tcBorders>
          </w:tcPr>
          <w:p w:rsidR="00142754" w:rsidRPr="0057403C" w:rsidRDefault="00142754" w:rsidP="00BE014A">
            <w:pPr>
              <w:jc w:val="center"/>
              <w:rPr>
                <w:rFonts w:asciiTheme="minorHAnsi" w:hAnsiTheme="minorHAnsi" w:cstheme="minorHAnsi"/>
                <w:sz w:val="20"/>
                <w:szCs w:val="20"/>
              </w:rPr>
            </w:pPr>
            <w:r w:rsidRPr="0057403C">
              <w:rPr>
                <w:rFonts w:asciiTheme="minorHAnsi" w:hAnsiTheme="minorHAnsi" w:cstheme="minorHAnsi"/>
                <w:sz w:val="20"/>
                <w:szCs w:val="20"/>
              </w:rPr>
              <w:t>Coefficient</w:t>
            </w:r>
          </w:p>
        </w:tc>
        <w:tc>
          <w:tcPr>
            <w:tcW w:w="1305" w:type="dxa"/>
            <w:tcBorders>
              <w:bottom w:val="single" w:sz="4" w:space="0" w:color="auto"/>
            </w:tcBorders>
          </w:tcPr>
          <w:p w:rsidR="00142754" w:rsidRPr="0057403C" w:rsidRDefault="00142754" w:rsidP="00BE014A">
            <w:pPr>
              <w:jc w:val="center"/>
              <w:rPr>
                <w:rFonts w:asciiTheme="minorHAnsi" w:hAnsiTheme="minorHAnsi" w:cstheme="minorHAnsi"/>
                <w:sz w:val="20"/>
                <w:szCs w:val="20"/>
              </w:rPr>
            </w:pPr>
            <w:r w:rsidRPr="0057403C">
              <w:rPr>
                <w:rFonts w:asciiTheme="minorHAnsi" w:hAnsiTheme="minorHAnsi" w:cstheme="minorHAnsi"/>
                <w:sz w:val="20"/>
                <w:szCs w:val="20"/>
              </w:rPr>
              <w:t>Coefficient Estimate</w:t>
            </w:r>
          </w:p>
        </w:tc>
        <w:tc>
          <w:tcPr>
            <w:tcW w:w="1305" w:type="dxa"/>
            <w:tcBorders>
              <w:bottom w:val="single" w:sz="4" w:space="0" w:color="auto"/>
            </w:tcBorders>
          </w:tcPr>
          <w:p w:rsidR="00142754" w:rsidRPr="0057403C" w:rsidRDefault="00142754" w:rsidP="00BE014A">
            <w:pPr>
              <w:jc w:val="center"/>
              <w:rPr>
                <w:rFonts w:asciiTheme="minorHAnsi" w:hAnsiTheme="minorHAnsi" w:cstheme="minorHAnsi"/>
                <w:sz w:val="20"/>
                <w:szCs w:val="20"/>
              </w:rPr>
            </w:pPr>
            <w:r w:rsidRPr="0057403C">
              <w:rPr>
                <w:rFonts w:asciiTheme="minorHAnsi" w:hAnsiTheme="minorHAnsi" w:cstheme="minorHAnsi"/>
                <w:sz w:val="20"/>
                <w:szCs w:val="20"/>
              </w:rPr>
              <w:t>t-statistic on Coefficient Estimate</w:t>
            </w:r>
          </w:p>
        </w:tc>
      </w:tr>
      <w:tr w:rsidR="00142754" w:rsidRPr="0057403C" w:rsidTr="00367064">
        <w:tc>
          <w:tcPr>
            <w:tcW w:w="2736" w:type="dxa"/>
            <w:tcBorders>
              <w:bottom w:val="single" w:sz="4" w:space="0" w:color="auto"/>
              <w:right w:val="single" w:sz="4" w:space="0" w:color="auto"/>
            </w:tcBorders>
          </w:tcPr>
          <w:p w:rsidR="00142754" w:rsidRPr="0057403C" w:rsidRDefault="00142754" w:rsidP="00BE014A">
            <w:pPr>
              <w:rPr>
                <w:rFonts w:asciiTheme="minorHAnsi" w:hAnsiTheme="minorHAnsi" w:cstheme="minorHAnsi"/>
                <w:sz w:val="20"/>
                <w:szCs w:val="20"/>
              </w:rPr>
            </w:pPr>
            <w:r>
              <w:rPr>
                <w:rFonts w:asciiTheme="minorHAnsi" w:hAnsiTheme="minorHAnsi" w:cstheme="minorHAnsi"/>
                <w:sz w:val="20"/>
                <w:szCs w:val="20"/>
              </w:rPr>
              <w:t>Constant term</w:t>
            </w:r>
          </w:p>
        </w:tc>
        <w:tc>
          <w:tcPr>
            <w:tcW w:w="1045" w:type="dxa"/>
            <w:tcBorders>
              <w:left w:val="single" w:sz="4" w:space="0" w:color="auto"/>
              <w:bottom w:val="single" w:sz="4" w:space="0" w:color="auto"/>
              <w:right w:val="single" w:sz="4" w:space="0" w:color="auto"/>
            </w:tcBorders>
          </w:tcPr>
          <w:p w:rsidR="00142754" w:rsidRPr="00812445" w:rsidRDefault="00367064" w:rsidP="00BE014A">
            <w:pPr>
              <w:jc w:val="center"/>
              <w:rPr>
                <w:rFonts w:asciiTheme="minorHAnsi" w:hAnsiTheme="minorHAnsi" w:cstheme="minorHAnsi"/>
                <w:sz w:val="20"/>
                <w:szCs w:val="20"/>
              </w:rPr>
            </w:pPr>
            <w:r>
              <w:rPr>
                <w:rFonts w:asciiTheme="minorHAnsi" w:hAnsiTheme="minorHAnsi" w:cstheme="minorHAnsi"/>
                <w:sz w:val="20"/>
                <w:szCs w:val="20"/>
              </w:rPr>
              <w:t>Not applicable</w:t>
            </w:r>
          </w:p>
        </w:tc>
        <w:tc>
          <w:tcPr>
            <w:tcW w:w="1098" w:type="dxa"/>
            <w:tcBorders>
              <w:left w:val="single" w:sz="4" w:space="0" w:color="auto"/>
              <w:bottom w:val="single" w:sz="4" w:space="0" w:color="auto"/>
              <w:right w:val="single" w:sz="4" w:space="0" w:color="auto"/>
            </w:tcBorders>
          </w:tcPr>
          <w:p w:rsidR="00142754" w:rsidRDefault="00367064" w:rsidP="00BE014A">
            <w:pPr>
              <w:jc w:val="center"/>
              <w:rPr>
                <w:rFonts w:asciiTheme="minorHAnsi" w:hAnsiTheme="minorHAnsi" w:cstheme="minorHAnsi"/>
                <w:sz w:val="20"/>
                <w:szCs w:val="20"/>
              </w:rPr>
            </w:pPr>
            <w:r w:rsidRPr="007D1F8F">
              <w:rPr>
                <w:rFonts w:asciiTheme="minorHAnsi" w:hAnsiTheme="minorHAnsi" w:cstheme="minorHAnsi"/>
              </w:rPr>
              <w:t>β</w:t>
            </w:r>
            <w:r>
              <w:rPr>
                <w:rFonts w:asciiTheme="minorHAnsi" w:hAnsiTheme="minorHAnsi" w:cstheme="minorHAnsi"/>
                <w:vertAlign w:val="subscript"/>
              </w:rPr>
              <w:t>0</w:t>
            </w:r>
          </w:p>
        </w:tc>
        <w:tc>
          <w:tcPr>
            <w:tcW w:w="1305" w:type="dxa"/>
            <w:tcBorders>
              <w:left w:val="single" w:sz="4" w:space="0" w:color="auto"/>
              <w:bottom w:val="single" w:sz="4" w:space="0" w:color="auto"/>
              <w:right w:val="single" w:sz="4" w:space="0" w:color="auto"/>
            </w:tcBorders>
          </w:tcPr>
          <w:p w:rsidR="00142754" w:rsidRDefault="00367064" w:rsidP="00BE014A">
            <w:pPr>
              <w:jc w:val="center"/>
              <w:rPr>
                <w:rFonts w:asciiTheme="minorHAnsi" w:hAnsiTheme="minorHAnsi" w:cstheme="minorHAnsi"/>
                <w:sz w:val="20"/>
                <w:szCs w:val="20"/>
              </w:rPr>
            </w:pPr>
            <w:r>
              <w:rPr>
                <w:rFonts w:asciiTheme="minorHAnsi" w:hAnsiTheme="minorHAnsi" w:cstheme="minorHAnsi"/>
                <w:sz w:val="20"/>
                <w:szCs w:val="20"/>
              </w:rPr>
              <w:t>0.0</w:t>
            </w:r>
            <w:r w:rsidR="00B277F7">
              <w:rPr>
                <w:rFonts w:asciiTheme="minorHAnsi" w:hAnsiTheme="minorHAnsi" w:cstheme="minorHAnsi"/>
                <w:sz w:val="20"/>
                <w:szCs w:val="20"/>
              </w:rPr>
              <w:t>363</w:t>
            </w:r>
          </w:p>
        </w:tc>
        <w:tc>
          <w:tcPr>
            <w:tcW w:w="1305" w:type="dxa"/>
            <w:tcBorders>
              <w:left w:val="single" w:sz="4" w:space="0" w:color="auto"/>
              <w:bottom w:val="single" w:sz="4" w:space="0" w:color="auto"/>
              <w:right w:val="single" w:sz="4" w:space="0" w:color="auto"/>
            </w:tcBorders>
          </w:tcPr>
          <w:p w:rsidR="00142754" w:rsidRDefault="00DE4856" w:rsidP="00B277F7">
            <w:pPr>
              <w:jc w:val="center"/>
              <w:rPr>
                <w:rFonts w:asciiTheme="minorHAnsi" w:hAnsiTheme="minorHAnsi" w:cstheme="minorHAnsi"/>
                <w:sz w:val="20"/>
                <w:szCs w:val="20"/>
              </w:rPr>
            </w:pPr>
            <w:r>
              <w:rPr>
                <w:rFonts w:asciiTheme="minorHAnsi" w:hAnsiTheme="minorHAnsi" w:cstheme="minorHAnsi"/>
                <w:sz w:val="20"/>
                <w:szCs w:val="20"/>
              </w:rPr>
              <w:t>1</w:t>
            </w:r>
            <w:r w:rsidR="00B277F7">
              <w:rPr>
                <w:rFonts w:asciiTheme="minorHAnsi" w:hAnsiTheme="minorHAnsi" w:cstheme="minorHAnsi"/>
                <w:sz w:val="20"/>
                <w:szCs w:val="20"/>
              </w:rPr>
              <w:t>.39</w:t>
            </w:r>
          </w:p>
        </w:tc>
      </w:tr>
      <w:tr w:rsidR="00142754" w:rsidRPr="0057403C" w:rsidTr="00367064">
        <w:tc>
          <w:tcPr>
            <w:tcW w:w="2736" w:type="dxa"/>
            <w:tcBorders>
              <w:bottom w:val="single" w:sz="4" w:space="0" w:color="auto"/>
              <w:right w:val="single" w:sz="4" w:space="0" w:color="auto"/>
            </w:tcBorders>
          </w:tcPr>
          <w:p w:rsidR="00142754" w:rsidRPr="0057403C" w:rsidRDefault="00367064" w:rsidP="00BE014A">
            <w:pPr>
              <w:rPr>
                <w:rFonts w:asciiTheme="minorHAnsi" w:hAnsiTheme="minorHAnsi" w:cstheme="minorHAnsi"/>
                <w:sz w:val="20"/>
                <w:szCs w:val="20"/>
              </w:rPr>
            </w:pPr>
            <w:r>
              <w:rPr>
                <w:rFonts w:asciiTheme="minorHAnsi" w:hAnsiTheme="minorHAnsi" w:cstheme="minorHAnsi"/>
                <w:sz w:val="20"/>
                <w:szCs w:val="20"/>
              </w:rPr>
              <w:t>Lagged Dependent Variable</w:t>
            </w:r>
          </w:p>
        </w:tc>
        <w:tc>
          <w:tcPr>
            <w:tcW w:w="1045" w:type="dxa"/>
            <w:tcBorders>
              <w:left w:val="single" w:sz="4" w:space="0" w:color="auto"/>
              <w:bottom w:val="single" w:sz="4" w:space="0" w:color="auto"/>
              <w:right w:val="single" w:sz="4" w:space="0" w:color="auto"/>
            </w:tcBorders>
          </w:tcPr>
          <w:p w:rsidR="00142754" w:rsidRPr="00812445" w:rsidRDefault="00367064" w:rsidP="00BE014A">
            <w:pPr>
              <w:jc w:val="center"/>
              <w:rPr>
                <w:rFonts w:asciiTheme="minorHAnsi" w:hAnsiTheme="minorHAnsi" w:cstheme="minorHAnsi"/>
                <w:sz w:val="20"/>
                <w:szCs w:val="20"/>
              </w:rPr>
            </w:pPr>
            <w:r>
              <w:rPr>
                <w:rFonts w:asciiTheme="minorHAnsi" w:hAnsiTheme="minorHAnsi" w:cstheme="minorHAnsi"/>
                <w:sz w:val="20"/>
                <w:szCs w:val="20"/>
              </w:rPr>
              <w:t>9</w:t>
            </w:r>
          </w:p>
        </w:tc>
        <w:tc>
          <w:tcPr>
            <w:tcW w:w="1098" w:type="dxa"/>
            <w:tcBorders>
              <w:left w:val="single" w:sz="4" w:space="0" w:color="auto"/>
              <w:bottom w:val="single" w:sz="4" w:space="0" w:color="auto"/>
              <w:right w:val="single" w:sz="4" w:space="0" w:color="auto"/>
            </w:tcBorders>
          </w:tcPr>
          <w:p w:rsidR="00142754" w:rsidRDefault="00367064" w:rsidP="00BE014A">
            <w:pPr>
              <w:jc w:val="center"/>
              <w:rPr>
                <w:rFonts w:asciiTheme="minorHAnsi" w:hAnsiTheme="minorHAnsi" w:cstheme="minorHAnsi"/>
                <w:sz w:val="20"/>
                <w:szCs w:val="20"/>
              </w:rPr>
            </w:pPr>
            <w:r>
              <w:t>α</w:t>
            </w:r>
          </w:p>
        </w:tc>
        <w:tc>
          <w:tcPr>
            <w:tcW w:w="1305" w:type="dxa"/>
            <w:tcBorders>
              <w:left w:val="single" w:sz="4" w:space="0" w:color="auto"/>
              <w:bottom w:val="single" w:sz="4" w:space="0" w:color="auto"/>
              <w:right w:val="single" w:sz="4" w:space="0" w:color="auto"/>
            </w:tcBorders>
          </w:tcPr>
          <w:p w:rsidR="00142754" w:rsidRDefault="00367064" w:rsidP="00BE014A">
            <w:pPr>
              <w:jc w:val="center"/>
              <w:rPr>
                <w:rFonts w:asciiTheme="minorHAnsi" w:hAnsiTheme="minorHAnsi" w:cstheme="minorHAnsi"/>
                <w:sz w:val="20"/>
                <w:szCs w:val="20"/>
              </w:rPr>
            </w:pPr>
            <w:r>
              <w:rPr>
                <w:rFonts w:asciiTheme="minorHAnsi" w:hAnsiTheme="minorHAnsi" w:cstheme="minorHAnsi"/>
                <w:sz w:val="20"/>
                <w:szCs w:val="20"/>
              </w:rPr>
              <w:t>-0.</w:t>
            </w:r>
            <w:r w:rsidR="00B277F7">
              <w:rPr>
                <w:rFonts w:asciiTheme="minorHAnsi" w:hAnsiTheme="minorHAnsi" w:cstheme="minorHAnsi"/>
                <w:sz w:val="20"/>
                <w:szCs w:val="20"/>
              </w:rPr>
              <w:t>171</w:t>
            </w:r>
          </w:p>
        </w:tc>
        <w:tc>
          <w:tcPr>
            <w:tcW w:w="1305" w:type="dxa"/>
            <w:tcBorders>
              <w:left w:val="single" w:sz="4" w:space="0" w:color="auto"/>
              <w:bottom w:val="single" w:sz="4" w:space="0" w:color="auto"/>
              <w:right w:val="single" w:sz="4" w:space="0" w:color="auto"/>
            </w:tcBorders>
          </w:tcPr>
          <w:p w:rsidR="00142754" w:rsidRDefault="00367064" w:rsidP="00BE014A">
            <w:pPr>
              <w:jc w:val="center"/>
              <w:rPr>
                <w:rFonts w:asciiTheme="minorHAnsi" w:hAnsiTheme="minorHAnsi" w:cstheme="minorHAnsi"/>
                <w:sz w:val="20"/>
                <w:szCs w:val="20"/>
              </w:rPr>
            </w:pPr>
            <w:r>
              <w:rPr>
                <w:rFonts w:asciiTheme="minorHAnsi" w:hAnsiTheme="minorHAnsi" w:cstheme="minorHAnsi"/>
                <w:sz w:val="20"/>
                <w:szCs w:val="20"/>
              </w:rPr>
              <w:t>-</w:t>
            </w:r>
            <w:r w:rsidR="00B277F7">
              <w:rPr>
                <w:rFonts w:asciiTheme="minorHAnsi" w:hAnsiTheme="minorHAnsi" w:cstheme="minorHAnsi"/>
                <w:sz w:val="20"/>
                <w:szCs w:val="20"/>
              </w:rPr>
              <w:t>2.36**</w:t>
            </w:r>
          </w:p>
        </w:tc>
      </w:tr>
      <w:tr w:rsidR="00142754" w:rsidRPr="0057403C" w:rsidTr="00367064">
        <w:tc>
          <w:tcPr>
            <w:tcW w:w="2736" w:type="dxa"/>
            <w:tcBorders>
              <w:bottom w:val="single" w:sz="4" w:space="0" w:color="auto"/>
              <w:right w:val="single" w:sz="4" w:space="0" w:color="auto"/>
            </w:tcBorders>
          </w:tcPr>
          <w:p w:rsidR="00142754" w:rsidRPr="0057403C" w:rsidRDefault="00367064" w:rsidP="00367064">
            <w:pPr>
              <w:rPr>
                <w:rFonts w:asciiTheme="minorHAnsi" w:hAnsiTheme="minorHAnsi" w:cstheme="minorHAnsi"/>
                <w:sz w:val="20"/>
                <w:szCs w:val="20"/>
              </w:rPr>
            </w:pPr>
            <w:r>
              <w:rPr>
                <w:rFonts w:asciiTheme="minorHAnsi" w:hAnsiTheme="minorHAnsi" w:cstheme="minorHAnsi"/>
                <w:sz w:val="20"/>
                <w:szCs w:val="20"/>
              </w:rPr>
              <w:t>Lagged Error Term</w:t>
            </w:r>
          </w:p>
        </w:tc>
        <w:tc>
          <w:tcPr>
            <w:tcW w:w="1045" w:type="dxa"/>
            <w:tcBorders>
              <w:left w:val="single" w:sz="4" w:space="0" w:color="auto"/>
              <w:bottom w:val="single" w:sz="4" w:space="0" w:color="auto"/>
              <w:right w:val="single" w:sz="4" w:space="0" w:color="auto"/>
            </w:tcBorders>
          </w:tcPr>
          <w:p w:rsidR="00142754" w:rsidRPr="00812445" w:rsidRDefault="00367064" w:rsidP="00BE014A">
            <w:pPr>
              <w:jc w:val="center"/>
              <w:rPr>
                <w:rFonts w:asciiTheme="minorHAnsi" w:hAnsiTheme="minorHAnsi" w:cstheme="minorHAnsi"/>
                <w:sz w:val="20"/>
                <w:szCs w:val="20"/>
              </w:rPr>
            </w:pPr>
            <w:r>
              <w:rPr>
                <w:rFonts w:asciiTheme="minorHAnsi" w:hAnsiTheme="minorHAnsi" w:cstheme="minorHAnsi"/>
                <w:sz w:val="20"/>
                <w:szCs w:val="20"/>
              </w:rPr>
              <w:t>9</w:t>
            </w:r>
          </w:p>
        </w:tc>
        <w:tc>
          <w:tcPr>
            <w:tcW w:w="1098" w:type="dxa"/>
            <w:tcBorders>
              <w:left w:val="single" w:sz="4" w:space="0" w:color="auto"/>
              <w:bottom w:val="single" w:sz="4" w:space="0" w:color="auto"/>
              <w:right w:val="single" w:sz="4" w:space="0" w:color="auto"/>
            </w:tcBorders>
          </w:tcPr>
          <w:p w:rsidR="00142754" w:rsidRDefault="00367064" w:rsidP="00BE014A">
            <w:pPr>
              <w:jc w:val="center"/>
              <w:rPr>
                <w:rFonts w:asciiTheme="minorHAnsi" w:hAnsiTheme="minorHAnsi" w:cstheme="minorHAnsi"/>
                <w:sz w:val="20"/>
                <w:szCs w:val="20"/>
              </w:rPr>
            </w:pPr>
            <w:r>
              <w:t>φ</w:t>
            </w:r>
          </w:p>
        </w:tc>
        <w:tc>
          <w:tcPr>
            <w:tcW w:w="1305" w:type="dxa"/>
            <w:tcBorders>
              <w:left w:val="single" w:sz="4" w:space="0" w:color="auto"/>
              <w:bottom w:val="single" w:sz="4" w:space="0" w:color="auto"/>
              <w:right w:val="single" w:sz="4" w:space="0" w:color="auto"/>
            </w:tcBorders>
          </w:tcPr>
          <w:p w:rsidR="00142754" w:rsidRDefault="00367064" w:rsidP="00BE014A">
            <w:pPr>
              <w:jc w:val="center"/>
              <w:rPr>
                <w:rFonts w:asciiTheme="minorHAnsi" w:hAnsiTheme="minorHAnsi" w:cstheme="minorHAnsi"/>
                <w:sz w:val="20"/>
                <w:szCs w:val="20"/>
              </w:rPr>
            </w:pPr>
            <w:r>
              <w:rPr>
                <w:rFonts w:asciiTheme="minorHAnsi" w:hAnsiTheme="minorHAnsi" w:cstheme="minorHAnsi"/>
                <w:sz w:val="20"/>
                <w:szCs w:val="20"/>
              </w:rPr>
              <w:t>0.</w:t>
            </w:r>
            <w:r w:rsidR="00B277F7">
              <w:rPr>
                <w:rFonts w:asciiTheme="minorHAnsi" w:hAnsiTheme="minorHAnsi" w:cstheme="minorHAnsi"/>
                <w:sz w:val="20"/>
                <w:szCs w:val="20"/>
              </w:rPr>
              <w:t>536</w:t>
            </w:r>
          </w:p>
        </w:tc>
        <w:tc>
          <w:tcPr>
            <w:tcW w:w="1305" w:type="dxa"/>
            <w:tcBorders>
              <w:left w:val="single" w:sz="4" w:space="0" w:color="auto"/>
              <w:bottom w:val="single" w:sz="4" w:space="0" w:color="auto"/>
              <w:right w:val="single" w:sz="4" w:space="0" w:color="auto"/>
            </w:tcBorders>
          </w:tcPr>
          <w:p w:rsidR="00142754" w:rsidRDefault="00B277F7" w:rsidP="00BE014A">
            <w:pPr>
              <w:jc w:val="center"/>
              <w:rPr>
                <w:rFonts w:asciiTheme="minorHAnsi" w:hAnsiTheme="minorHAnsi" w:cstheme="minorHAnsi"/>
                <w:sz w:val="20"/>
                <w:szCs w:val="20"/>
              </w:rPr>
            </w:pPr>
            <w:r>
              <w:rPr>
                <w:rFonts w:asciiTheme="minorHAnsi" w:hAnsiTheme="minorHAnsi" w:cstheme="minorHAnsi"/>
                <w:sz w:val="20"/>
                <w:szCs w:val="20"/>
              </w:rPr>
              <w:t>6.33</w:t>
            </w:r>
            <w:r w:rsidR="00367064">
              <w:rPr>
                <w:rFonts w:asciiTheme="minorHAnsi" w:hAnsiTheme="minorHAnsi" w:cstheme="minorHAnsi"/>
                <w:sz w:val="20"/>
                <w:szCs w:val="20"/>
              </w:rPr>
              <w:t>***</w:t>
            </w:r>
          </w:p>
        </w:tc>
      </w:tr>
      <w:tr w:rsidR="00142754" w:rsidRPr="0057403C" w:rsidTr="00367064">
        <w:tc>
          <w:tcPr>
            <w:tcW w:w="2736" w:type="dxa"/>
            <w:tcBorders>
              <w:top w:val="single" w:sz="4" w:space="0" w:color="auto"/>
              <w:bottom w:val="single" w:sz="4" w:space="0" w:color="auto"/>
              <w:right w:val="single" w:sz="4" w:space="0" w:color="auto"/>
            </w:tcBorders>
          </w:tcPr>
          <w:p w:rsidR="00142754" w:rsidRPr="00C56FE5" w:rsidRDefault="00142754" w:rsidP="001C788A">
            <w:pPr>
              <w:rPr>
                <w:rFonts w:ascii="Calibri" w:hAnsi="Calibri" w:cs="Calibri"/>
                <w:sz w:val="20"/>
                <w:szCs w:val="20"/>
                <w:vertAlign w:val="superscript"/>
              </w:rPr>
            </w:pPr>
            <w:r w:rsidRPr="0057403C">
              <w:rPr>
                <w:rFonts w:ascii="Calibri" w:hAnsi="Calibri" w:cs="Calibri"/>
                <w:sz w:val="20"/>
                <w:szCs w:val="20"/>
              </w:rPr>
              <w:t>Official Purchasing Managers’ Index of Manufacturing Output in China</w:t>
            </w:r>
          </w:p>
        </w:tc>
        <w:tc>
          <w:tcPr>
            <w:tcW w:w="1045" w:type="dxa"/>
            <w:tcBorders>
              <w:top w:val="single" w:sz="4" w:space="0" w:color="auto"/>
              <w:left w:val="single" w:sz="4" w:space="0" w:color="auto"/>
              <w:bottom w:val="single" w:sz="4" w:space="0" w:color="auto"/>
              <w:right w:val="single" w:sz="4" w:space="0" w:color="auto"/>
            </w:tcBorders>
          </w:tcPr>
          <w:p w:rsidR="00142754" w:rsidRPr="00812445" w:rsidRDefault="00DE4856" w:rsidP="00BE014A">
            <w:pPr>
              <w:jc w:val="center"/>
              <w:rPr>
                <w:rFonts w:asciiTheme="minorHAnsi" w:hAnsiTheme="minorHAnsi" w:cstheme="minorHAnsi"/>
                <w:sz w:val="20"/>
                <w:szCs w:val="20"/>
              </w:rPr>
            </w:pPr>
            <w:r>
              <w:rPr>
                <w:rFonts w:asciiTheme="minorHAnsi" w:hAnsiTheme="minorHAnsi" w:cstheme="minorHAnsi"/>
                <w:sz w:val="20"/>
                <w:szCs w:val="20"/>
              </w:rPr>
              <w:t>9</w:t>
            </w:r>
          </w:p>
        </w:tc>
        <w:tc>
          <w:tcPr>
            <w:tcW w:w="1098" w:type="dxa"/>
            <w:tcBorders>
              <w:top w:val="single" w:sz="4" w:space="0" w:color="auto"/>
              <w:left w:val="single" w:sz="4" w:space="0" w:color="auto"/>
              <w:bottom w:val="single" w:sz="4" w:space="0" w:color="auto"/>
              <w:right w:val="single" w:sz="4" w:space="0" w:color="auto"/>
            </w:tcBorders>
          </w:tcPr>
          <w:p w:rsidR="00142754" w:rsidRDefault="001C788A" w:rsidP="00BE014A">
            <w:pPr>
              <w:jc w:val="center"/>
              <w:rPr>
                <w:rFonts w:asciiTheme="minorHAnsi" w:hAnsiTheme="minorHAnsi" w:cstheme="minorHAnsi"/>
                <w:sz w:val="20"/>
                <w:szCs w:val="20"/>
              </w:rPr>
            </w:pPr>
            <w:r w:rsidRPr="007D1F8F">
              <w:rPr>
                <w:rFonts w:asciiTheme="minorHAnsi" w:hAnsiTheme="minorHAnsi" w:cstheme="minorHAnsi"/>
              </w:rPr>
              <w:t>β</w:t>
            </w:r>
            <w:r>
              <w:rPr>
                <w:rFonts w:asciiTheme="minorHAnsi" w:hAnsiTheme="minorHAnsi" w:cstheme="minorHAnsi"/>
                <w:vertAlign w:val="subscript"/>
              </w:rPr>
              <w:t>1</w:t>
            </w:r>
          </w:p>
        </w:tc>
        <w:tc>
          <w:tcPr>
            <w:tcW w:w="1305" w:type="dxa"/>
            <w:tcBorders>
              <w:top w:val="single" w:sz="4" w:space="0" w:color="auto"/>
              <w:left w:val="single" w:sz="4" w:space="0" w:color="auto"/>
              <w:bottom w:val="single" w:sz="4" w:space="0" w:color="auto"/>
              <w:right w:val="single" w:sz="4" w:space="0" w:color="auto"/>
            </w:tcBorders>
          </w:tcPr>
          <w:p w:rsidR="00142754" w:rsidRPr="0057403C" w:rsidRDefault="00142754" w:rsidP="00BE014A">
            <w:pPr>
              <w:jc w:val="center"/>
              <w:rPr>
                <w:rFonts w:asciiTheme="minorHAnsi" w:hAnsiTheme="minorHAnsi" w:cstheme="minorHAnsi"/>
                <w:sz w:val="20"/>
                <w:szCs w:val="20"/>
              </w:rPr>
            </w:pPr>
            <w:r>
              <w:rPr>
                <w:rFonts w:asciiTheme="minorHAnsi" w:hAnsiTheme="minorHAnsi" w:cstheme="minorHAnsi"/>
                <w:sz w:val="20"/>
                <w:szCs w:val="20"/>
              </w:rPr>
              <w:t>0.1</w:t>
            </w:r>
            <w:r w:rsidR="001C788A">
              <w:rPr>
                <w:rFonts w:asciiTheme="minorHAnsi" w:hAnsiTheme="minorHAnsi" w:cstheme="minorHAnsi"/>
                <w:sz w:val="20"/>
                <w:szCs w:val="20"/>
              </w:rPr>
              <w:t>6</w:t>
            </w:r>
            <w:r w:rsidR="00B277F7">
              <w:rPr>
                <w:rFonts w:asciiTheme="minorHAnsi" w:hAnsiTheme="minorHAnsi" w:cstheme="minorHAnsi"/>
                <w:sz w:val="20"/>
                <w:szCs w:val="20"/>
              </w:rPr>
              <w:t>0</w:t>
            </w:r>
          </w:p>
        </w:tc>
        <w:tc>
          <w:tcPr>
            <w:tcW w:w="1305" w:type="dxa"/>
            <w:tcBorders>
              <w:top w:val="single" w:sz="4" w:space="0" w:color="auto"/>
              <w:left w:val="single" w:sz="4" w:space="0" w:color="auto"/>
              <w:bottom w:val="single" w:sz="4" w:space="0" w:color="auto"/>
              <w:right w:val="single" w:sz="4" w:space="0" w:color="auto"/>
            </w:tcBorders>
          </w:tcPr>
          <w:p w:rsidR="00142754" w:rsidRPr="0057403C" w:rsidRDefault="00B277F7" w:rsidP="00BE014A">
            <w:pPr>
              <w:jc w:val="center"/>
              <w:rPr>
                <w:rFonts w:asciiTheme="minorHAnsi" w:hAnsiTheme="minorHAnsi" w:cstheme="minorHAnsi"/>
                <w:sz w:val="20"/>
                <w:szCs w:val="20"/>
              </w:rPr>
            </w:pPr>
            <w:r>
              <w:rPr>
                <w:rFonts w:asciiTheme="minorHAnsi" w:hAnsiTheme="minorHAnsi" w:cstheme="minorHAnsi"/>
                <w:sz w:val="20"/>
                <w:szCs w:val="20"/>
              </w:rPr>
              <w:t>8.15</w:t>
            </w:r>
            <w:r w:rsidR="00142754">
              <w:rPr>
                <w:rFonts w:asciiTheme="minorHAnsi" w:hAnsiTheme="minorHAnsi" w:cstheme="minorHAnsi"/>
                <w:sz w:val="20"/>
                <w:szCs w:val="20"/>
              </w:rPr>
              <w:t>***</w:t>
            </w:r>
          </w:p>
        </w:tc>
      </w:tr>
      <w:tr w:rsidR="00142754" w:rsidRPr="0057403C" w:rsidTr="00367064">
        <w:tc>
          <w:tcPr>
            <w:tcW w:w="2736" w:type="dxa"/>
            <w:tcBorders>
              <w:top w:val="single" w:sz="4" w:space="0" w:color="auto"/>
              <w:bottom w:val="single" w:sz="4" w:space="0" w:color="auto"/>
              <w:right w:val="single" w:sz="4" w:space="0" w:color="auto"/>
            </w:tcBorders>
          </w:tcPr>
          <w:p w:rsidR="00142754" w:rsidRPr="00B84D4B" w:rsidRDefault="00142754" w:rsidP="00BE014A">
            <w:pPr>
              <w:rPr>
                <w:rFonts w:ascii="Calibri" w:hAnsi="Calibri" w:cs="Calibri"/>
                <w:sz w:val="20"/>
                <w:szCs w:val="20"/>
              </w:rPr>
            </w:pPr>
            <w:r w:rsidRPr="00B84D4B">
              <w:rPr>
                <w:rFonts w:ascii="Calibri" w:hAnsi="Calibri" w:cs="Calibri"/>
                <w:sz w:val="20"/>
                <w:szCs w:val="20"/>
              </w:rPr>
              <w:t>US Yield Difference</w:t>
            </w:r>
          </w:p>
        </w:tc>
        <w:tc>
          <w:tcPr>
            <w:tcW w:w="1045" w:type="dxa"/>
            <w:tcBorders>
              <w:top w:val="single" w:sz="4" w:space="0" w:color="auto"/>
              <w:left w:val="single" w:sz="4" w:space="0" w:color="auto"/>
              <w:bottom w:val="single" w:sz="4" w:space="0" w:color="auto"/>
              <w:right w:val="single" w:sz="4" w:space="0" w:color="auto"/>
            </w:tcBorders>
          </w:tcPr>
          <w:p w:rsidR="00142754" w:rsidRPr="00812445" w:rsidRDefault="00142754" w:rsidP="00BE014A">
            <w:pPr>
              <w:jc w:val="center"/>
              <w:rPr>
                <w:rFonts w:asciiTheme="minorHAnsi" w:hAnsiTheme="minorHAnsi" w:cstheme="minorHAnsi"/>
                <w:sz w:val="20"/>
                <w:szCs w:val="20"/>
              </w:rPr>
            </w:pPr>
            <w:r w:rsidRPr="00812445">
              <w:rPr>
                <w:rFonts w:asciiTheme="minorHAnsi" w:hAnsiTheme="minorHAnsi" w:cstheme="minorHAnsi"/>
                <w:sz w:val="20"/>
                <w:szCs w:val="20"/>
              </w:rPr>
              <w:t>3</w:t>
            </w:r>
            <w:r w:rsidR="00B277F7">
              <w:rPr>
                <w:rFonts w:asciiTheme="minorHAnsi" w:hAnsiTheme="minorHAnsi" w:cstheme="minorHAnsi"/>
                <w:sz w:val="20"/>
                <w:szCs w:val="20"/>
              </w:rPr>
              <w:t>9</w:t>
            </w:r>
          </w:p>
        </w:tc>
        <w:tc>
          <w:tcPr>
            <w:tcW w:w="1098" w:type="dxa"/>
            <w:tcBorders>
              <w:top w:val="single" w:sz="4" w:space="0" w:color="auto"/>
              <w:left w:val="single" w:sz="4" w:space="0" w:color="auto"/>
              <w:bottom w:val="single" w:sz="4" w:space="0" w:color="auto"/>
              <w:right w:val="single" w:sz="4" w:space="0" w:color="auto"/>
            </w:tcBorders>
          </w:tcPr>
          <w:p w:rsidR="00142754" w:rsidRDefault="001C788A" w:rsidP="00BE014A">
            <w:pPr>
              <w:jc w:val="center"/>
              <w:rPr>
                <w:rFonts w:asciiTheme="minorHAnsi" w:hAnsiTheme="minorHAnsi" w:cstheme="minorHAnsi"/>
                <w:sz w:val="20"/>
                <w:szCs w:val="20"/>
              </w:rPr>
            </w:pPr>
            <w:r w:rsidRPr="007D1F8F">
              <w:rPr>
                <w:rFonts w:asciiTheme="minorHAnsi" w:hAnsiTheme="minorHAnsi" w:cstheme="minorHAnsi"/>
              </w:rPr>
              <w:t>β</w:t>
            </w:r>
            <w:r>
              <w:rPr>
                <w:rFonts w:asciiTheme="minorHAnsi" w:hAnsiTheme="minorHAnsi" w:cstheme="minorHAnsi"/>
                <w:vertAlign w:val="subscript"/>
              </w:rPr>
              <w:t>2</w:t>
            </w:r>
          </w:p>
        </w:tc>
        <w:tc>
          <w:tcPr>
            <w:tcW w:w="1305" w:type="dxa"/>
            <w:tcBorders>
              <w:top w:val="single" w:sz="4" w:space="0" w:color="auto"/>
              <w:left w:val="single" w:sz="4" w:space="0" w:color="auto"/>
              <w:bottom w:val="single" w:sz="4" w:space="0" w:color="auto"/>
              <w:right w:val="single" w:sz="4" w:space="0" w:color="auto"/>
            </w:tcBorders>
          </w:tcPr>
          <w:p w:rsidR="00142754" w:rsidRPr="0057403C" w:rsidRDefault="00142754" w:rsidP="00BE014A">
            <w:pPr>
              <w:jc w:val="center"/>
              <w:rPr>
                <w:rFonts w:asciiTheme="minorHAnsi" w:hAnsiTheme="minorHAnsi" w:cstheme="minorHAnsi"/>
                <w:sz w:val="20"/>
                <w:szCs w:val="20"/>
              </w:rPr>
            </w:pPr>
            <w:r>
              <w:rPr>
                <w:rFonts w:asciiTheme="minorHAnsi" w:hAnsiTheme="minorHAnsi" w:cstheme="minorHAnsi"/>
                <w:sz w:val="20"/>
                <w:szCs w:val="20"/>
              </w:rPr>
              <w:t>0.</w:t>
            </w:r>
            <w:r w:rsidR="001C788A">
              <w:rPr>
                <w:rFonts w:asciiTheme="minorHAnsi" w:hAnsiTheme="minorHAnsi" w:cstheme="minorHAnsi"/>
                <w:sz w:val="20"/>
                <w:szCs w:val="20"/>
              </w:rPr>
              <w:t>1</w:t>
            </w:r>
            <w:r w:rsidR="00B277F7">
              <w:rPr>
                <w:rFonts w:asciiTheme="minorHAnsi" w:hAnsiTheme="minorHAnsi" w:cstheme="minorHAnsi"/>
                <w:sz w:val="20"/>
                <w:szCs w:val="20"/>
              </w:rPr>
              <w:t>67</w:t>
            </w:r>
          </w:p>
        </w:tc>
        <w:tc>
          <w:tcPr>
            <w:tcW w:w="1305" w:type="dxa"/>
            <w:tcBorders>
              <w:top w:val="single" w:sz="4" w:space="0" w:color="auto"/>
              <w:left w:val="single" w:sz="4" w:space="0" w:color="auto"/>
              <w:bottom w:val="single" w:sz="4" w:space="0" w:color="auto"/>
              <w:right w:val="single" w:sz="4" w:space="0" w:color="auto"/>
            </w:tcBorders>
          </w:tcPr>
          <w:p w:rsidR="00142754" w:rsidRPr="0057403C" w:rsidRDefault="00B277F7" w:rsidP="00BE014A">
            <w:pPr>
              <w:jc w:val="center"/>
              <w:rPr>
                <w:rFonts w:asciiTheme="minorHAnsi" w:hAnsiTheme="minorHAnsi" w:cstheme="minorHAnsi"/>
                <w:sz w:val="20"/>
                <w:szCs w:val="20"/>
              </w:rPr>
            </w:pPr>
            <w:r>
              <w:rPr>
                <w:rFonts w:asciiTheme="minorHAnsi" w:hAnsiTheme="minorHAnsi" w:cstheme="minorHAnsi"/>
                <w:sz w:val="20"/>
                <w:szCs w:val="20"/>
              </w:rPr>
              <w:t>4.54</w:t>
            </w:r>
            <w:r w:rsidR="00142754">
              <w:rPr>
                <w:rFonts w:asciiTheme="minorHAnsi" w:hAnsiTheme="minorHAnsi" w:cstheme="minorHAnsi"/>
                <w:sz w:val="20"/>
                <w:szCs w:val="20"/>
              </w:rPr>
              <w:t>***</w:t>
            </w:r>
          </w:p>
        </w:tc>
      </w:tr>
      <w:tr w:rsidR="001C788A" w:rsidRPr="0057403C" w:rsidTr="00367064">
        <w:tc>
          <w:tcPr>
            <w:tcW w:w="2736" w:type="dxa"/>
            <w:tcBorders>
              <w:top w:val="single" w:sz="4" w:space="0" w:color="auto"/>
              <w:bottom w:val="single" w:sz="4" w:space="0" w:color="auto"/>
              <w:right w:val="single" w:sz="4" w:space="0" w:color="auto"/>
            </w:tcBorders>
          </w:tcPr>
          <w:p w:rsidR="001C788A" w:rsidRPr="002D2106" w:rsidRDefault="001C788A" w:rsidP="00BE014A">
            <w:pPr>
              <w:rPr>
                <w:rFonts w:ascii="Calibri" w:hAnsi="Calibri" w:cs="Calibri"/>
                <w:sz w:val="20"/>
                <w:szCs w:val="20"/>
              </w:rPr>
            </w:pPr>
            <w:r w:rsidRPr="002D2106">
              <w:rPr>
                <w:rFonts w:ascii="Calibri" w:hAnsi="Calibri" w:cs="Calibri"/>
                <w:color w:val="000000" w:themeColor="text1"/>
                <w:sz w:val="20"/>
                <w:szCs w:val="20"/>
              </w:rPr>
              <w:t>Westpac-Melbourne Institute Consumer Sentiment Index</w:t>
            </w:r>
          </w:p>
        </w:tc>
        <w:tc>
          <w:tcPr>
            <w:tcW w:w="1045" w:type="dxa"/>
            <w:tcBorders>
              <w:top w:val="single" w:sz="4" w:space="0" w:color="auto"/>
              <w:left w:val="single" w:sz="4" w:space="0" w:color="auto"/>
              <w:bottom w:val="single" w:sz="4" w:space="0" w:color="auto"/>
              <w:right w:val="single" w:sz="4" w:space="0" w:color="auto"/>
            </w:tcBorders>
          </w:tcPr>
          <w:p w:rsidR="001C788A" w:rsidRPr="00812445" w:rsidRDefault="001C788A" w:rsidP="00BE014A">
            <w:pPr>
              <w:jc w:val="center"/>
              <w:rPr>
                <w:rFonts w:asciiTheme="minorHAnsi" w:hAnsiTheme="minorHAnsi" w:cstheme="minorHAnsi"/>
                <w:sz w:val="20"/>
                <w:szCs w:val="20"/>
              </w:rPr>
            </w:pPr>
            <w:r w:rsidRPr="00812445">
              <w:rPr>
                <w:rFonts w:asciiTheme="minorHAnsi" w:hAnsiTheme="minorHAnsi" w:cstheme="minorHAnsi"/>
                <w:sz w:val="20"/>
                <w:szCs w:val="20"/>
              </w:rPr>
              <w:t>12</w:t>
            </w:r>
          </w:p>
        </w:tc>
        <w:tc>
          <w:tcPr>
            <w:tcW w:w="1098" w:type="dxa"/>
            <w:tcBorders>
              <w:top w:val="single" w:sz="4" w:space="0" w:color="auto"/>
              <w:left w:val="single" w:sz="4" w:space="0" w:color="auto"/>
              <w:bottom w:val="single" w:sz="4" w:space="0" w:color="auto"/>
              <w:right w:val="single" w:sz="4" w:space="0" w:color="auto"/>
            </w:tcBorders>
          </w:tcPr>
          <w:p w:rsidR="001C788A" w:rsidRDefault="001C788A" w:rsidP="00BE014A">
            <w:pPr>
              <w:jc w:val="center"/>
              <w:rPr>
                <w:rFonts w:asciiTheme="minorHAnsi" w:hAnsiTheme="minorHAnsi" w:cstheme="minorHAnsi"/>
                <w:sz w:val="20"/>
                <w:szCs w:val="20"/>
              </w:rPr>
            </w:pPr>
            <w:r w:rsidRPr="007D1F8F">
              <w:rPr>
                <w:rFonts w:asciiTheme="minorHAnsi" w:hAnsiTheme="minorHAnsi" w:cstheme="minorHAnsi"/>
              </w:rPr>
              <w:t>β</w:t>
            </w:r>
            <w:r>
              <w:rPr>
                <w:rFonts w:asciiTheme="minorHAnsi" w:hAnsiTheme="minorHAnsi" w:cstheme="minorHAnsi"/>
                <w:vertAlign w:val="subscript"/>
              </w:rPr>
              <w:t>3</w:t>
            </w:r>
          </w:p>
        </w:tc>
        <w:tc>
          <w:tcPr>
            <w:tcW w:w="1305" w:type="dxa"/>
            <w:tcBorders>
              <w:top w:val="single" w:sz="4" w:space="0" w:color="auto"/>
              <w:left w:val="single" w:sz="4" w:space="0" w:color="auto"/>
              <w:bottom w:val="single" w:sz="4" w:space="0" w:color="auto"/>
              <w:right w:val="single" w:sz="4" w:space="0" w:color="auto"/>
            </w:tcBorders>
          </w:tcPr>
          <w:p w:rsidR="001C788A" w:rsidRDefault="001C788A" w:rsidP="00BE014A">
            <w:pPr>
              <w:jc w:val="center"/>
              <w:rPr>
                <w:rFonts w:asciiTheme="minorHAnsi" w:hAnsiTheme="minorHAnsi" w:cstheme="minorHAnsi"/>
                <w:sz w:val="20"/>
                <w:szCs w:val="20"/>
              </w:rPr>
            </w:pPr>
            <w:r>
              <w:rPr>
                <w:rFonts w:asciiTheme="minorHAnsi" w:hAnsiTheme="minorHAnsi" w:cstheme="minorHAnsi"/>
                <w:sz w:val="20"/>
                <w:szCs w:val="20"/>
              </w:rPr>
              <w:t>0.</w:t>
            </w:r>
            <w:r w:rsidR="00B277F7">
              <w:rPr>
                <w:rFonts w:asciiTheme="minorHAnsi" w:hAnsiTheme="minorHAnsi" w:cstheme="minorHAnsi"/>
                <w:sz w:val="20"/>
                <w:szCs w:val="20"/>
              </w:rPr>
              <w:t>222</w:t>
            </w:r>
          </w:p>
        </w:tc>
        <w:tc>
          <w:tcPr>
            <w:tcW w:w="1305" w:type="dxa"/>
            <w:tcBorders>
              <w:top w:val="single" w:sz="4" w:space="0" w:color="auto"/>
              <w:left w:val="single" w:sz="4" w:space="0" w:color="auto"/>
              <w:bottom w:val="single" w:sz="4" w:space="0" w:color="auto"/>
              <w:right w:val="single" w:sz="4" w:space="0" w:color="auto"/>
            </w:tcBorders>
          </w:tcPr>
          <w:p w:rsidR="001C788A" w:rsidRDefault="00FB0CEA" w:rsidP="00BE014A">
            <w:pPr>
              <w:jc w:val="center"/>
              <w:rPr>
                <w:rFonts w:asciiTheme="minorHAnsi" w:hAnsiTheme="minorHAnsi" w:cstheme="minorHAnsi"/>
                <w:sz w:val="20"/>
                <w:szCs w:val="20"/>
              </w:rPr>
            </w:pPr>
            <w:r>
              <w:rPr>
                <w:rFonts w:asciiTheme="minorHAnsi" w:hAnsiTheme="minorHAnsi" w:cstheme="minorHAnsi"/>
                <w:sz w:val="20"/>
                <w:szCs w:val="20"/>
              </w:rPr>
              <w:t>7.08</w:t>
            </w:r>
            <w:r w:rsidR="001C788A">
              <w:rPr>
                <w:rFonts w:asciiTheme="minorHAnsi" w:hAnsiTheme="minorHAnsi" w:cstheme="minorHAnsi"/>
                <w:sz w:val="20"/>
                <w:szCs w:val="20"/>
              </w:rPr>
              <w:t>***</w:t>
            </w:r>
          </w:p>
        </w:tc>
      </w:tr>
      <w:tr w:rsidR="001C788A" w:rsidRPr="0057403C" w:rsidTr="00367064">
        <w:tc>
          <w:tcPr>
            <w:tcW w:w="2736" w:type="dxa"/>
            <w:tcBorders>
              <w:top w:val="single" w:sz="4" w:space="0" w:color="auto"/>
              <w:bottom w:val="single" w:sz="4" w:space="0" w:color="auto"/>
              <w:right w:val="single" w:sz="4" w:space="0" w:color="auto"/>
            </w:tcBorders>
          </w:tcPr>
          <w:p w:rsidR="001C788A" w:rsidRPr="002D2106" w:rsidRDefault="001C788A" w:rsidP="00BE014A">
            <w:pPr>
              <w:rPr>
                <w:rFonts w:ascii="Calibri" w:hAnsi="Calibri" w:cs="Calibri"/>
                <w:sz w:val="20"/>
                <w:szCs w:val="20"/>
              </w:rPr>
            </w:pPr>
            <w:r w:rsidRPr="002D2106">
              <w:rPr>
                <w:rFonts w:ascii="Calibri" w:hAnsi="Calibri" w:cs="Calibri"/>
                <w:color w:val="000000" w:themeColor="text1"/>
                <w:sz w:val="20"/>
                <w:szCs w:val="20"/>
              </w:rPr>
              <w:t>Westpac-Melbourne Institute Leading Index of Economic Activity</w:t>
            </w:r>
          </w:p>
        </w:tc>
        <w:tc>
          <w:tcPr>
            <w:tcW w:w="1045" w:type="dxa"/>
            <w:tcBorders>
              <w:top w:val="single" w:sz="4" w:space="0" w:color="auto"/>
              <w:left w:val="single" w:sz="4" w:space="0" w:color="auto"/>
              <w:bottom w:val="single" w:sz="4" w:space="0" w:color="auto"/>
              <w:right w:val="single" w:sz="4" w:space="0" w:color="auto"/>
            </w:tcBorders>
          </w:tcPr>
          <w:p w:rsidR="001C788A" w:rsidRPr="00812445" w:rsidRDefault="001C788A" w:rsidP="00BE014A">
            <w:pPr>
              <w:jc w:val="center"/>
              <w:rPr>
                <w:rFonts w:asciiTheme="minorHAnsi" w:hAnsiTheme="minorHAnsi" w:cstheme="minorHAnsi"/>
                <w:sz w:val="20"/>
                <w:szCs w:val="20"/>
              </w:rPr>
            </w:pPr>
            <w:r w:rsidRPr="00812445">
              <w:rPr>
                <w:rFonts w:asciiTheme="minorHAnsi" w:hAnsiTheme="minorHAnsi" w:cstheme="minorHAnsi"/>
                <w:sz w:val="20"/>
                <w:szCs w:val="20"/>
              </w:rPr>
              <w:t>12</w:t>
            </w:r>
          </w:p>
        </w:tc>
        <w:tc>
          <w:tcPr>
            <w:tcW w:w="1098" w:type="dxa"/>
            <w:tcBorders>
              <w:top w:val="single" w:sz="4" w:space="0" w:color="auto"/>
              <w:left w:val="single" w:sz="4" w:space="0" w:color="auto"/>
              <w:bottom w:val="single" w:sz="4" w:space="0" w:color="auto"/>
              <w:right w:val="single" w:sz="4" w:space="0" w:color="auto"/>
            </w:tcBorders>
          </w:tcPr>
          <w:p w:rsidR="001C788A" w:rsidRDefault="001C788A" w:rsidP="00BE014A">
            <w:pPr>
              <w:jc w:val="center"/>
              <w:rPr>
                <w:rFonts w:asciiTheme="minorHAnsi" w:hAnsiTheme="minorHAnsi" w:cstheme="minorHAnsi"/>
                <w:sz w:val="20"/>
                <w:szCs w:val="20"/>
              </w:rPr>
            </w:pPr>
            <w:r w:rsidRPr="007D1F8F">
              <w:rPr>
                <w:rFonts w:asciiTheme="minorHAnsi" w:hAnsiTheme="minorHAnsi" w:cstheme="minorHAnsi"/>
              </w:rPr>
              <w:t>β</w:t>
            </w:r>
            <w:r>
              <w:rPr>
                <w:rFonts w:asciiTheme="minorHAnsi" w:hAnsiTheme="minorHAnsi" w:cstheme="minorHAnsi"/>
                <w:vertAlign w:val="subscript"/>
              </w:rPr>
              <w:t>4</w:t>
            </w:r>
          </w:p>
        </w:tc>
        <w:tc>
          <w:tcPr>
            <w:tcW w:w="1305" w:type="dxa"/>
            <w:tcBorders>
              <w:top w:val="single" w:sz="4" w:space="0" w:color="auto"/>
              <w:left w:val="single" w:sz="4" w:space="0" w:color="auto"/>
              <w:bottom w:val="single" w:sz="4" w:space="0" w:color="auto"/>
              <w:right w:val="single" w:sz="4" w:space="0" w:color="auto"/>
            </w:tcBorders>
          </w:tcPr>
          <w:p w:rsidR="001C788A" w:rsidRPr="0057403C" w:rsidRDefault="001C788A" w:rsidP="00BE014A">
            <w:pPr>
              <w:jc w:val="center"/>
              <w:rPr>
                <w:rFonts w:asciiTheme="minorHAnsi" w:hAnsiTheme="minorHAnsi" w:cstheme="minorHAnsi"/>
                <w:sz w:val="20"/>
                <w:szCs w:val="20"/>
              </w:rPr>
            </w:pPr>
            <w:r>
              <w:rPr>
                <w:rFonts w:asciiTheme="minorHAnsi" w:hAnsiTheme="minorHAnsi" w:cstheme="minorHAnsi"/>
                <w:sz w:val="20"/>
                <w:szCs w:val="20"/>
              </w:rPr>
              <w:t>0.2</w:t>
            </w:r>
            <w:r w:rsidR="00FB0CEA">
              <w:rPr>
                <w:rFonts w:asciiTheme="minorHAnsi" w:hAnsiTheme="minorHAnsi" w:cstheme="minorHAnsi"/>
                <w:sz w:val="20"/>
                <w:szCs w:val="20"/>
              </w:rPr>
              <w:t>16</w:t>
            </w:r>
          </w:p>
        </w:tc>
        <w:tc>
          <w:tcPr>
            <w:tcW w:w="1305" w:type="dxa"/>
            <w:tcBorders>
              <w:top w:val="single" w:sz="4" w:space="0" w:color="auto"/>
              <w:left w:val="single" w:sz="4" w:space="0" w:color="auto"/>
              <w:bottom w:val="single" w:sz="4" w:space="0" w:color="auto"/>
              <w:right w:val="single" w:sz="4" w:space="0" w:color="auto"/>
            </w:tcBorders>
          </w:tcPr>
          <w:p w:rsidR="001C788A" w:rsidRPr="0057403C" w:rsidRDefault="00FB0CEA" w:rsidP="00BE014A">
            <w:pPr>
              <w:jc w:val="center"/>
              <w:rPr>
                <w:rFonts w:asciiTheme="minorHAnsi" w:hAnsiTheme="minorHAnsi" w:cstheme="minorHAnsi"/>
                <w:sz w:val="20"/>
                <w:szCs w:val="20"/>
              </w:rPr>
            </w:pPr>
            <w:r>
              <w:rPr>
                <w:rFonts w:asciiTheme="minorHAnsi" w:hAnsiTheme="minorHAnsi" w:cstheme="minorHAnsi"/>
                <w:sz w:val="20"/>
                <w:szCs w:val="20"/>
              </w:rPr>
              <w:t>4.58</w:t>
            </w:r>
            <w:r w:rsidR="001C788A">
              <w:rPr>
                <w:rFonts w:asciiTheme="minorHAnsi" w:hAnsiTheme="minorHAnsi" w:cstheme="minorHAnsi"/>
                <w:sz w:val="20"/>
                <w:szCs w:val="20"/>
              </w:rPr>
              <w:t>***</w:t>
            </w:r>
          </w:p>
        </w:tc>
      </w:tr>
      <w:tr w:rsidR="001C788A" w:rsidRPr="0057403C" w:rsidTr="00367064">
        <w:tc>
          <w:tcPr>
            <w:tcW w:w="2736" w:type="dxa"/>
            <w:tcBorders>
              <w:top w:val="single" w:sz="4" w:space="0" w:color="auto"/>
              <w:bottom w:val="single" w:sz="4" w:space="0" w:color="auto"/>
              <w:right w:val="single" w:sz="4" w:space="0" w:color="auto"/>
            </w:tcBorders>
          </w:tcPr>
          <w:p w:rsidR="001C788A" w:rsidRPr="006D0C8B" w:rsidRDefault="001C788A" w:rsidP="00BE014A">
            <w:pPr>
              <w:rPr>
                <w:rFonts w:ascii="Calibri" w:hAnsi="Calibri" w:cs="Calibri"/>
                <w:color w:val="000000" w:themeColor="text1"/>
                <w:sz w:val="20"/>
                <w:szCs w:val="20"/>
              </w:rPr>
            </w:pPr>
            <w:r w:rsidRPr="002D2106">
              <w:rPr>
                <w:rFonts w:ascii="Calibri" w:hAnsi="Calibri" w:cs="Calibri"/>
                <w:color w:val="000000" w:themeColor="text1"/>
                <w:sz w:val="20"/>
                <w:szCs w:val="20"/>
              </w:rPr>
              <w:t>Westpac-Melbourne Institute Leading Index of Economic Activity</w:t>
            </w:r>
          </w:p>
        </w:tc>
        <w:tc>
          <w:tcPr>
            <w:tcW w:w="1045" w:type="dxa"/>
            <w:tcBorders>
              <w:top w:val="single" w:sz="4" w:space="0" w:color="auto"/>
              <w:left w:val="single" w:sz="4" w:space="0" w:color="auto"/>
              <w:bottom w:val="single" w:sz="4" w:space="0" w:color="auto"/>
              <w:right w:val="single" w:sz="4" w:space="0" w:color="auto"/>
            </w:tcBorders>
          </w:tcPr>
          <w:p w:rsidR="001C788A" w:rsidRPr="00812445" w:rsidRDefault="001C788A" w:rsidP="00BE014A">
            <w:pPr>
              <w:jc w:val="center"/>
              <w:rPr>
                <w:rFonts w:asciiTheme="minorHAnsi" w:hAnsiTheme="minorHAnsi" w:cstheme="minorHAnsi"/>
                <w:sz w:val="20"/>
                <w:szCs w:val="20"/>
              </w:rPr>
            </w:pPr>
            <w:r>
              <w:rPr>
                <w:rFonts w:asciiTheme="minorHAnsi" w:hAnsiTheme="minorHAnsi" w:cstheme="minorHAnsi"/>
                <w:sz w:val="20"/>
                <w:szCs w:val="20"/>
              </w:rPr>
              <w:t>24</w:t>
            </w:r>
          </w:p>
        </w:tc>
        <w:tc>
          <w:tcPr>
            <w:tcW w:w="1098" w:type="dxa"/>
            <w:tcBorders>
              <w:top w:val="single" w:sz="4" w:space="0" w:color="auto"/>
              <w:left w:val="single" w:sz="4" w:space="0" w:color="auto"/>
              <w:bottom w:val="single" w:sz="4" w:space="0" w:color="auto"/>
              <w:right w:val="single" w:sz="4" w:space="0" w:color="auto"/>
            </w:tcBorders>
          </w:tcPr>
          <w:p w:rsidR="001C788A" w:rsidRDefault="001C788A" w:rsidP="00BE014A">
            <w:pPr>
              <w:jc w:val="center"/>
              <w:rPr>
                <w:rFonts w:asciiTheme="minorHAnsi" w:hAnsiTheme="minorHAnsi" w:cstheme="minorHAnsi"/>
                <w:sz w:val="20"/>
                <w:szCs w:val="20"/>
              </w:rPr>
            </w:pPr>
            <w:r w:rsidRPr="007D1F8F">
              <w:rPr>
                <w:rFonts w:asciiTheme="minorHAnsi" w:hAnsiTheme="minorHAnsi" w:cstheme="minorHAnsi"/>
              </w:rPr>
              <w:t>β</w:t>
            </w:r>
            <w:r>
              <w:rPr>
                <w:rFonts w:asciiTheme="minorHAnsi" w:hAnsiTheme="minorHAnsi" w:cstheme="minorHAnsi"/>
                <w:vertAlign w:val="subscript"/>
              </w:rPr>
              <w:t>5</w:t>
            </w:r>
          </w:p>
        </w:tc>
        <w:tc>
          <w:tcPr>
            <w:tcW w:w="1305" w:type="dxa"/>
            <w:tcBorders>
              <w:top w:val="single" w:sz="4" w:space="0" w:color="auto"/>
              <w:left w:val="single" w:sz="4" w:space="0" w:color="auto"/>
              <w:bottom w:val="single" w:sz="4" w:space="0" w:color="auto"/>
              <w:right w:val="single" w:sz="4" w:space="0" w:color="auto"/>
            </w:tcBorders>
          </w:tcPr>
          <w:p w:rsidR="001C788A" w:rsidRDefault="001C788A" w:rsidP="00BE014A">
            <w:pPr>
              <w:jc w:val="center"/>
              <w:rPr>
                <w:rFonts w:asciiTheme="minorHAnsi" w:hAnsiTheme="minorHAnsi" w:cstheme="minorHAnsi"/>
                <w:sz w:val="20"/>
                <w:szCs w:val="20"/>
              </w:rPr>
            </w:pPr>
            <w:r>
              <w:rPr>
                <w:rFonts w:asciiTheme="minorHAnsi" w:hAnsiTheme="minorHAnsi" w:cstheme="minorHAnsi"/>
                <w:sz w:val="20"/>
                <w:szCs w:val="20"/>
              </w:rPr>
              <w:t>0.</w:t>
            </w:r>
            <w:r w:rsidR="00FB0CEA">
              <w:rPr>
                <w:rFonts w:asciiTheme="minorHAnsi" w:hAnsiTheme="minorHAnsi" w:cstheme="minorHAnsi"/>
                <w:sz w:val="20"/>
                <w:szCs w:val="20"/>
              </w:rPr>
              <w:t>321</w:t>
            </w:r>
          </w:p>
        </w:tc>
        <w:tc>
          <w:tcPr>
            <w:tcW w:w="1305" w:type="dxa"/>
            <w:tcBorders>
              <w:top w:val="single" w:sz="4" w:space="0" w:color="auto"/>
              <w:left w:val="single" w:sz="4" w:space="0" w:color="auto"/>
              <w:bottom w:val="single" w:sz="4" w:space="0" w:color="auto"/>
              <w:right w:val="single" w:sz="4" w:space="0" w:color="auto"/>
            </w:tcBorders>
          </w:tcPr>
          <w:p w:rsidR="001C788A" w:rsidRDefault="00FB0CEA" w:rsidP="00BE014A">
            <w:pPr>
              <w:jc w:val="center"/>
              <w:rPr>
                <w:rFonts w:asciiTheme="minorHAnsi" w:hAnsiTheme="minorHAnsi" w:cstheme="minorHAnsi"/>
                <w:sz w:val="20"/>
                <w:szCs w:val="20"/>
              </w:rPr>
            </w:pPr>
            <w:r>
              <w:rPr>
                <w:rFonts w:asciiTheme="minorHAnsi" w:hAnsiTheme="minorHAnsi" w:cstheme="minorHAnsi"/>
                <w:sz w:val="20"/>
                <w:szCs w:val="20"/>
              </w:rPr>
              <w:t>5.76</w:t>
            </w:r>
            <w:r w:rsidR="001C788A">
              <w:rPr>
                <w:rFonts w:asciiTheme="minorHAnsi" w:hAnsiTheme="minorHAnsi" w:cstheme="minorHAnsi"/>
                <w:sz w:val="20"/>
                <w:szCs w:val="20"/>
              </w:rPr>
              <w:t>***</w:t>
            </w:r>
          </w:p>
        </w:tc>
      </w:tr>
      <w:tr w:rsidR="001C788A" w:rsidRPr="0057403C" w:rsidTr="00367064">
        <w:tc>
          <w:tcPr>
            <w:tcW w:w="2736" w:type="dxa"/>
            <w:tcBorders>
              <w:top w:val="single" w:sz="4" w:space="0" w:color="auto"/>
              <w:bottom w:val="single" w:sz="4" w:space="0" w:color="auto"/>
              <w:right w:val="single" w:sz="4" w:space="0" w:color="auto"/>
            </w:tcBorders>
          </w:tcPr>
          <w:p w:rsidR="001C788A" w:rsidRPr="008847B3" w:rsidRDefault="001C788A" w:rsidP="00484AFE">
            <w:pPr>
              <w:rPr>
                <w:rFonts w:asciiTheme="minorHAnsi" w:hAnsiTheme="minorHAnsi" w:cstheme="minorHAnsi"/>
                <w:sz w:val="20"/>
                <w:szCs w:val="20"/>
              </w:rPr>
            </w:pPr>
            <w:r w:rsidRPr="008847B3">
              <w:rPr>
                <w:rFonts w:asciiTheme="minorHAnsi" w:hAnsiTheme="minorHAnsi" w:cstheme="minorHAnsi"/>
                <w:sz w:val="20"/>
                <w:szCs w:val="20"/>
              </w:rPr>
              <w:t>NAB Forward Orders Index</w:t>
            </w:r>
          </w:p>
        </w:tc>
        <w:tc>
          <w:tcPr>
            <w:tcW w:w="1045" w:type="dxa"/>
            <w:tcBorders>
              <w:top w:val="single" w:sz="4" w:space="0" w:color="auto"/>
              <w:left w:val="single" w:sz="4" w:space="0" w:color="auto"/>
              <w:bottom w:val="single" w:sz="4" w:space="0" w:color="auto"/>
              <w:right w:val="single" w:sz="4" w:space="0" w:color="auto"/>
            </w:tcBorders>
          </w:tcPr>
          <w:p w:rsidR="001C788A" w:rsidRPr="00812445" w:rsidRDefault="001C788A" w:rsidP="00BE014A">
            <w:pPr>
              <w:jc w:val="center"/>
              <w:rPr>
                <w:rFonts w:asciiTheme="minorHAnsi" w:hAnsiTheme="minorHAnsi" w:cstheme="minorHAnsi"/>
                <w:sz w:val="20"/>
                <w:szCs w:val="20"/>
              </w:rPr>
            </w:pPr>
            <w:r w:rsidRPr="00812445">
              <w:rPr>
                <w:rFonts w:asciiTheme="minorHAnsi" w:hAnsiTheme="minorHAnsi" w:cstheme="minorHAnsi"/>
                <w:sz w:val="20"/>
                <w:szCs w:val="20"/>
              </w:rPr>
              <w:t>18</w:t>
            </w:r>
          </w:p>
        </w:tc>
        <w:tc>
          <w:tcPr>
            <w:tcW w:w="1098" w:type="dxa"/>
            <w:tcBorders>
              <w:top w:val="single" w:sz="4" w:space="0" w:color="auto"/>
              <w:left w:val="single" w:sz="4" w:space="0" w:color="auto"/>
              <w:bottom w:val="single" w:sz="4" w:space="0" w:color="auto"/>
              <w:right w:val="single" w:sz="4" w:space="0" w:color="auto"/>
            </w:tcBorders>
          </w:tcPr>
          <w:p w:rsidR="001C788A" w:rsidRDefault="00F7752D" w:rsidP="00BE014A">
            <w:pPr>
              <w:jc w:val="center"/>
              <w:rPr>
                <w:rFonts w:asciiTheme="minorHAnsi" w:hAnsiTheme="minorHAnsi" w:cstheme="minorHAnsi"/>
                <w:sz w:val="20"/>
                <w:szCs w:val="20"/>
              </w:rPr>
            </w:pPr>
            <w:r w:rsidRPr="007D1F8F">
              <w:rPr>
                <w:rFonts w:asciiTheme="minorHAnsi" w:hAnsiTheme="minorHAnsi" w:cstheme="minorHAnsi"/>
              </w:rPr>
              <w:t>β</w:t>
            </w:r>
            <w:r>
              <w:rPr>
                <w:rFonts w:asciiTheme="minorHAnsi" w:hAnsiTheme="minorHAnsi" w:cstheme="minorHAnsi"/>
                <w:vertAlign w:val="subscript"/>
              </w:rPr>
              <w:t>6</w:t>
            </w:r>
          </w:p>
        </w:tc>
        <w:tc>
          <w:tcPr>
            <w:tcW w:w="1305" w:type="dxa"/>
            <w:tcBorders>
              <w:top w:val="single" w:sz="4" w:space="0" w:color="auto"/>
              <w:left w:val="single" w:sz="4" w:space="0" w:color="auto"/>
              <w:bottom w:val="single" w:sz="4" w:space="0" w:color="auto"/>
              <w:right w:val="single" w:sz="4" w:space="0" w:color="auto"/>
            </w:tcBorders>
          </w:tcPr>
          <w:p w:rsidR="001C788A" w:rsidRPr="0057403C" w:rsidRDefault="001C788A" w:rsidP="00BE014A">
            <w:pPr>
              <w:jc w:val="center"/>
              <w:rPr>
                <w:rFonts w:asciiTheme="minorHAnsi" w:hAnsiTheme="minorHAnsi" w:cstheme="minorHAnsi"/>
                <w:sz w:val="20"/>
                <w:szCs w:val="20"/>
              </w:rPr>
            </w:pPr>
            <w:r>
              <w:rPr>
                <w:rFonts w:asciiTheme="minorHAnsi" w:hAnsiTheme="minorHAnsi" w:cstheme="minorHAnsi"/>
                <w:sz w:val="20"/>
                <w:szCs w:val="20"/>
              </w:rPr>
              <w:t>0.</w:t>
            </w:r>
            <w:r w:rsidR="00FB0CEA">
              <w:rPr>
                <w:rFonts w:asciiTheme="minorHAnsi" w:hAnsiTheme="minorHAnsi" w:cstheme="minorHAnsi"/>
                <w:sz w:val="20"/>
                <w:szCs w:val="20"/>
              </w:rPr>
              <w:t>200</w:t>
            </w:r>
          </w:p>
        </w:tc>
        <w:tc>
          <w:tcPr>
            <w:tcW w:w="1305" w:type="dxa"/>
            <w:tcBorders>
              <w:top w:val="single" w:sz="4" w:space="0" w:color="auto"/>
              <w:left w:val="single" w:sz="4" w:space="0" w:color="auto"/>
              <w:bottom w:val="single" w:sz="4" w:space="0" w:color="auto"/>
              <w:right w:val="single" w:sz="4" w:space="0" w:color="auto"/>
            </w:tcBorders>
          </w:tcPr>
          <w:p w:rsidR="001C788A" w:rsidRPr="0057403C" w:rsidRDefault="00FB0CEA" w:rsidP="00BE014A">
            <w:pPr>
              <w:jc w:val="center"/>
              <w:rPr>
                <w:rFonts w:asciiTheme="minorHAnsi" w:hAnsiTheme="minorHAnsi" w:cstheme="minorHAnsi"/>
                <w:sz w:val="20"/>
                <w:szCs w:val="20"/>
              </w:rPr>
            </w:pPr>
            <w:r>
              <w:rPr>
                <w:rFonts w:asciiTheme="minorHAnsi" w:hAnsiTheme="minorHAnsi" w:cstheme="minorHAnsi"/>
                <w:sz w:val="20"/>
                <w:szCs w:val="20"/>
              </w:rPr>
              <w:t>6.00</w:t>
            </w:r>
            <w:r w:rsidR="001C788A">
              <w:rPr>
                <w:rFonts w:asciiTheme="minorHAnsi" w:hAnsiTheme="minorHAnsi" w:cstheme="minorHAnsi"/>
                <w:sz w:val="20"/>
                <w:szCs w:val="20"/>
              </w:rPr>
              <w:t>***</w:t>
            </w:r>
          </w:p>
        </w:tc>
      </w:tr>
    </w:tbl>
    <w:p w:rsidR="00812445" w:rsidRPr="0057403C" w:rsidRDefault="00812445" w:rsidP="00812445">
      <w:pPr>
        <w:rPr>
          <w:rFonts w:asciiTheme="minorHAnsi" w:hAnsiTheme="minorHAnsi" w:cstheme="minorHAnsi"/>
          <w:sz w:val="20"/>
          <w:szCs w:val="20"/>
        </w:rPr>
      </w:pPr>
      <w:r w:rsidRPr="0057403C">
        <w:rPr>
          <w:rFonts w:asciiTheme="minorHAnsi" w:hAnsiTheme="minorHAnsi" w:cstheme="minorHAnsi"/>
          <w:sz w:val="20"/>
          <w:szCs w:val="20"/>
        </w:rPr>
        <w:t xml:space="preserve">Notes: </w:t>
      </w:r>
      <w:r>
        <w:rPr>
          <w:rFonts w:asciiTheme="minorHAnsi" w:hAnsiTheme="minorHAnsi" w:cstheme="minorHAnsi"/>
          <w:sz w:val="20"/>
          <w:szCs w:val="20"/>
        </w:rPr>
        <w:t xml:space="preserve">The dependent variable was cyclical employment. The sample period </w:t>
      </w:r>
      <w:r w:rsidR="001C788A">
        <w:rPr>
          <w:rFonts w:asciiTheme="minorHAnsi" w:hAnsiTheme="minorHAnsi" w:cstheme="minorHAnsi"/>
          <w:sz w:val="20"/>
          <w:szCs w:val="20"/>
        </w:rPr>
        <w:t>w</w:t>
      </w:r>
      <w:r>
        <w:rPr>
          <w:rFonts w:asciiTheme="minorHAnsi" w:hAnsiTheme="minorHAnsi" w:cstheme="minorHAnsi"/>
          <w:sz w:val="20"/>
          <w:szCs w:val="20"/>
        </w:rPr>
        <w:t xml:space="preserve">as </w:t>
      </w:r>
      <w:r w:rsidRPr="0057403C">
        <w:rPr>
          <w:rFonts w:asciiTheme="minorHAnsi" w:hAnsiTheme="minorHAnsi" w:cstheme="minorHAnsi"/>
          <w:sz w:val="20"/>
          <w:szCs w:val="20"/>
        </w:rPr>
        <w:t xml:space="preserve">July 1994 through </w:t>
      </w:r>
      <w:r w:rsidR="00B277F7">
        <w:rPr>
          <w:rFonts w:asciiTheme="minorHAnsi" w:hAnsiTheme="minorHAnsi" w:cstheme="minorHAnsi"/>
          <w:sz w:val="20"/>
          <w:szCs w:val="20"/>
        </w:rPr>
        <w:t>January 2011</w:t>
      </w:r>
      <w:r>
        <w:rPr>
          <w:rFonts w:asciiTheme="minorHAnsi" w:hAnsiTheme="minorHAnsi" w:cstheme="minorHAnsi"/>
          <w:sz w:val="20"/>
          <w:szCs w:val="20"/>
        </w:rPr>
        <w:t xml:space="preserve">. ***, ** and * denote statistically significant from zero at the one per cent level, five per cent level and 10 per cent level respectively.  </w:t>
      </w:r>
      <w:r w:rsidR="00A13654">
        <w:rPr>
          <w:rFonts w:asciiTheme="minorHAnsi" w:hAnsiTheme="minorHAnsi" w:cstheme="minorHAnsi"/>
          <w:sz w:val="20"/>
          <w:szCs w:val="20"/>
        </w:rPr>
        <w:t xml:space="preserve">The diagnostic statistics are as follows: </w:t>
      </w:r>
    </w:p>
    <w:p w:rsidR="0023384D" w:rsidRPr="00A13654" w:rsidRDefault="0023384D" w:rsidP="0023384D">
      <w:pPr>
        <w:rPr>
          <w:rFonts w:asciiTheme="minorHAnsi" w:hAnsiTheme="minorHAnsi" w:cstheme="minorHAnsi"/>
          <w:sz w:val="20"/>
          <w:szCs w:val="20"/>
        </w:rPr>
      </w:pPr>
      <w:r w:rsidRPr="00A13654">
        <w:rPr>
          <w:rFonts w:asciiTheme="minorHAnsi" w:hAnsiTheme="minorHAnsi" w:cstheme="minorHAnsi"/>
          <w:sz w:val="20"/>
          <w:szCs w:val="20"/>
        </w:rPr>
        <w:t>Adju</w:t>
      </w:r>
      <w:r w:rsidR="00FB0CEA">
        <w:rPr>
          <w:rFonts w:asciiTheme="minorHAnsi" w:hAnsiTheme="minorHAnsi" w:cstheme="minorHAnsi"/>
          <w:sz w:val="20"/>
          <w:szCs w:val="20"/>
        </w:rPr>
        <w:t>sted R-squared statistic = 0.734; Durbin-Watson statistic = 0.08</w:t>
      </w:r>
      <w:r w:rsidRPr="00A13654">
        <w:rPr>
          <w:rFonts w:asciiTheme="minorHAnsi" w:hAnsiTheme="minorHAnsi" w:cstheme="minorHAnsi"/>
          <w:sz w:val="20"/>
          <w:szCs w:val="20"/>
        </w:rPr>
        <w:t xml:space="preserve"> [0.000, 0.000]</w:t>
      </w:r>
      <w:r w:rsidR="00A13654">
        <w:rPr>
          <w:rFonts w:asciiTheme="minorHAnsi" w:hAnsiTheme="minorHAnsi" w:cstheme="minorHAnsi"/>
          <w:sz w:val="20"/>
          <w:szCs w:val="20"/>
        </w:rPr>
        <w:t>;</w:t>
      </w:r>
    </w:p>
    <w:p w:rsidR="0023384D" w:rsidRPr="00A13654" w:rsidRDefault="0023384D" w:rsidP="0023384D">
      <w:pPr>
        <w:rPr>
          <w:rFonts w:asciiTheme="minorHAnsi" w:hAnsiTheme="minorHAnsi" w:cstheme="minorHAnsi"/>
          <w:sz w:val="20"/>
          <w:szCs w:val="20"/>
        </w:rPr>
      </w:pPr>
      <w:r w:rsidRPr="00A13654">
        <w:rPr>
          <w:rFonts w:asciiTheme="minorHAnsi" w:hAnsiTheme="minorHAnsi" w:cstheme="minorHAnsi"/>
          <w:sz w:val="20"/>
          <w:szCs w:val="20"/>
        </w:rPr>
        <w:t>Lagrange Multiplier Het</w:t>
      </w:r>
      <w:r w:rsidR="00FB0CEA">
        <w:rPr>
          <w:rFonts w:asciiTheme="minorHAnsi" w:hAnsiTheme="minorHAnsi" w:cstheme="minorHAnsi"/>
          <w:sz w:val="20"/>
          <w:szCs w:val="20"/>
        </w:rPr>
        <w:t>eroscedasticity statistic = 2.64 [0.104</w:t>
      </w:r>
      <w:r w:rsidRPr="00A13654">
        <w:rPr>
          <w:rFonts w:asciiTheme="minorHAnsi" w:hAnsiTheme="minorHAnsi" w:cstheme="minorHAnsi"/>
          <w:sz w:val="20"/>
          <w:szCs w:val="20"/>
        </w:rPr>
        <w:t>]</w:t>
      </w:r>
      <w:r w:rsidR="00A13654">
        <w:rPr>
          <w:rFonts w:asciiTheme="minorHAnsi" w:hAnsiTheme="minorHAnsi" w:cstheme="minorHAnsi"/>
          <w:sz w:val="20"/>
          <w:szCs w:val="20"/>
        </w:rPr>
        <w:t>.</w:t>
      </w:r>
    </w:p>
    <w:p w:rsidR="00812445" w:rsidRDefault="00812445" w:rsidP="00DA3B9F">
      <w:pPr>
        <w:rPr>
          <w:rFonts w:asciiTheme="minorHAnsi" w:hAnsiTheme="minorHAnsi" w:cstheme="minorHAnsi"/>
        </w:rPr>
      </w:pPr>
    </w:p>
    <w:p w:rsidR="00812445" w:rsidRDefault="00676622" w:rsidP="00DA3B9F">
      <w:pPr>
        <w:rPr>
          <w:rFonts w:asciiTheme="minorHAnsi" w:hAnsiTheme="minorHAnsi" w:cstheme="minorHAnsi"/>
        </w:rPr>
      </w:pPr>
      <w:r>
        <w:rPr>
          <w:rFonts w:asciiTheme="minorHAnsi" w:hAnsiTheme="minorHAnsi" w:cstheme="minorHAnsi"/>
        </w:rPr>
        <w:t>Both</w:t>
      </w:r>
      <w:r w:rsidR="0023384D">
        <w:rPr>
          <w:rFonts w:asciiTheme="minorHAnsi" w:hAnsiTheme="minorHAnsi" w:cstheme="minorHAnsi"/>
        </w:rPr>
        <w:t xml:space="preserve"> the dependent variable</w:t>
      </w:r>
      <w:r>
        <w:rPr>
          <w:rFonts w:asciiTheme="minorHAnsi" w:hAnsiTheme="minorHAnsi" w:cstheme="minorHAnsi"/>
        </w:rPr>
        <w:t xml:space="preserve"> and the error term or residual</w:t>
      </w:r>
      <w:r w:rsidR="0023384D">
        <w:rPr>
          <w:rFonts w:asciiTheme="minorHAnsi" w:hAnsiTheme="minorHAnsi" w:cstheme="minorHAnsi"/>
        </w:rPr>
        <w:t xml:space="preserve">, lagged nine months, </w:t>
      </w:r>
      <w:r>
        <w:rPr>
          <w:rFonts w:asciiTheme="minorHAnsi" w:hAnsiTheme="minorHAnsi" w:cstheme="minorHAnsi"/>
        </w:rPr>
        <w:t>were</w:t>
      </w:r>
      <w:r w:rsidR="0023384D">
        <w:rPr>
          <w:rFonts w:asciiTheme="minorHAnsi" w:hAnsiTheme="minorHAnsi" w:cstheme="minorHAnsi"/>
        </w:rPr>
        <w:t xml:space="preserve"> statistically significantly different from zero, but </w:t>
      </w:r>
      <w:r>
        <w:rPr>
          <w:rFonts w:asciiTheme="minorHAnsi" w:hAnsiTheme="minorHAnsi" w:cstheme="minorHAnsi"/>
        </w:rPr>
        <w:t xml:space="preserve">each of these variables had opposite signs. Longer lags of both of these variables were tested in forming the </w:t>
      </w:r>
      <w:r w:rsidR="0023384D">
        <w:rPr>
          <w:rFonts w:asciiTheme="minorHAnsi" w:hAnsiTheme="minorHAnsi" w:cstheme="minorHAnsi"/>
        </w:rPr>
        <w:t xml:space="preserve">preferred equation. </w:t>
      </w:r>
    </w:p>
    <w:p w:rsidR="00812445" w:rsidRDefault="00812445" w:rsidP="00DA3B9F">
      <w:pPr>
        <w:rPr>
          <w:rFonts w:asciiTheme="minorHAnsi" w:hAnsiTheme="minorHAnsi" w:cstheme="minorHAnsi"/>
        </w:rPr>
      </w:pPr>
    </w:p>
    <w:p w:rsidR="00DA3B9F" w:rsidRDefault="00DA3B9F">
      <w:pPr>
        <w:rPr>
          <w:rFonts w:asciiTheme="minorHAnsi" w:hAnsiTheme="minorHAnsi" w:cstheme="minorHAnsi"/>
          <w:b/>
        </w:rPr>
      </w:pPr>
      <w:r>
        <w:rPr>
          <w:rFonts w:asciiTheme="minorHAnsi" w:hAnsiTheme="minorHAnsi" w:cstheme="minorHAnsi"/>
          <w:b/>
        </w:rPr>
        <w:br w:type="page"/>
      </w:r>
    </w:p>
    <w:p w:rsidR="00F90968" w:rsidRPr="00993898" w:rsidRDefault="00F90968">
      <w:pPr>
        <w:rPr>
          <w:rFonts w:asciiTheme="minorHAnsi" w:hAnsiTheme="minorHAnsi" w:cstheme="minorHAnsi"/>
          <w:b/>
        </w:rPr>
      </w:pPr>
      <w:r w:rsidRPr="00993898">
        <w:rPr>
          <w:rFonts w:asciiTheme="minorHAnsi" w:hAnsiTheme="minorHAnsi" w:cstheme="minorHAnsi"/>
          <w:b/>
        </w:rPr>
        <w:lastRenderedPageBreak/>
        <w:t>References</w:t>
      </w:r>
    </w:p>
    <w:p w:rsidR="00F90968" w:rsidRDefault="00F90968">
      <w:pPr>
        <w:rPr>
          <w:rFonts w:asciiTheme="minorHAnsi" w:hAnsiTheme="minorHAnsi" w:cstheme="minorHAnsi"/>
        </w:rPr>
      </w:pPr>
    </w:p>
    <w:p w:rsidR="00DA38F3" w:rsidRDefault="00DA38F3" w:rsidP="00DA38F3">
      <w:pPr>
        <w:ind w:left="567" w:hanging="567"/>
        <w:rPr>
          <w:rFonts w:ascii="Calibri" w:hAnsi="Calibri" w:cs="Calibri"/>
        </w:rPr>
      </w:pPr>
      <w:r w:rsidRPr="00DA38F3">
        <w:rPr>
          <w:rFonts w:ascii="Calibri" w:hAnsi="Calibri" w:cs="Calibri"/>
        </w:rPr>
        <w:t>Achen, C.H. (2001), “Why Lagged Dependent Variables Can Suppress the Explanatory Power of Other Independent Variables”, November 2001 revision of a Paper prepared for the Annual Meeting of the Political Methodology Section of the American Political Science Association, UCLA, 20-22 July 2000.</w:t>
      </w:r>
      <w:r w:rsidR="00046CE0">
        <w:rPr>
          <w:rFonts w:ascii="Calibri" w:hAnsi="Calibri" w:cs="Calibri"/>
        </w:rPr>
        <w:t xml:space="preserve"> </w:t>
      </w:r>
    </w:p>
    <w:p w:rsidR="00046CE0" w:rsidRDefault="00046CE0" w:rsidP="00DA38F3">
      <w:pPr>
        <w:ind w:left="567" w:hanging="567"/>
        <w:rPr>
          <w:rFonts w:ascii="Calibri" w:hAnsi="Calibri" w:cs="Calibri"/>
        </w:rPr>
      </w:pPr>
    </w:p>
    <w:p w:rsidR="00046CE0" w:rsidRPr="00993898" w:rsidRDefault="00046CE0" w:rsidP="00046CE0">
      <w:pPr>
        <w:ind w:left="567" w:hanging="567"/>
        <w:rPr>
          <w:rFonts w:ascii="Calibri" w:hAnsi="Calibri" w:cs="Calibri"/>
        </w:rPr>
      </w:pPr>
      <w:r>
        <w:rPr>
          <w:rFonts w:ascii="Calibri" w:hAnsi="Calibri" w:cs="Calibri"/>
        </w:rPr>
        <w:t xml:space="preserve">Connolly, G. and Lee, J. (2005), </w:t>
      </w:r>
      <w:r w:rsidRPr="00046CE0">
        <w:rPr>
          <w:rFonts w:ascii="Calibri" w:hAnsi="Calibri" w:cs="Calibri"/>
          <w:i/>
        </w:rPr>
        <w:t>Review of the DEWR Leading Indicator of Employment</w:t>
      </w:r>
      <w:r>
        <w:rPr>
          <w:rFonts w:ascii="Calibri" w:hAnsi="Calibri" w:cs="Calibri"/>
        </w:rPr>
        <w:t>, a</w:t>
      </w:r>
      <w:r w:rsidRPr="00046CE0">
        <w:rPr>
          <w:rFonts w:ascii="Calibri" w:hAnsi="Calibri" w:cs="Calibri"/>
        </w:rPr>
        <w:t xml:space="preserve"> Paper Present</w:t>
      </w:r>
      <w:r>
        <w:rPr>
          <w:rFonts w:ascii="Calibri" w:hAnsi="Calibri" w:cs="Calibri"/>
        </w:rPr>
        <w:t>ed</w:t>
      </w:r>
      <w:r w:rsidRPr="00046CE0">
        <w:rPr>
          <w:rFonts w:ascii="Calibri" w:hAnsi="Calibri" w:cs="Calibri"/>
        </w:rPr>
        <w:t xml:space="preserve"> at the Australian Labour Market Research Workshop 2005,</w:t>
      </w:r>
      <w:r>
        <w:rPr>
          <w:rFonts w:ascii="Calibri" w:hAnsi="Calibri" w:cs="Calibri"/>
        </w:rPr>
        <w:t xml:space="preserve"> </w:t>
      </w:r>
      <w:r w:rsidRPr="00046CE0">
        <w:rPr>
          <w:rFonts w:ascii="Calibri" w:hAnsi="Calibri" w:cs="Calibri"/>
        </w:rPr>
        <w:t>Australian National University, Canberra</w:t>
      </w:r>
      <w:r>
        <w:rPr>
          <w:rFonts w:ascii="Calibri" w:hAnsi="Calibri" w:cs="Calibri"/>
        </w:rPr>
        <w:t xml:space="preserve">, </w:t>
      </w:r>
      <w:r w:rsidRPr="00046CE0">
        <w:rPr>
          <w:rFonts w:ascii="Calibri" w:hAnsi="Calibri" w:cs="Calibri"/>
        </w:rPr>
        <w:t>5-</w:t>
      </w:r>
      <w:r>
        <w:rPr>
          <w:rFonts w:ascii="Calibri" w:hAnsi="Calibri" w:cs="Calibri"/>
        </w:rPr>
        <w:t>6 December</w:t>
      </w:r>
      <w:r w:rsidRPr="00993898">
        <w:rPr>
          <w:rFonts w:ascii="Calibri" w:hAnsi="Calibri" w:cs="Calibri"/>
        </w:rPr>
        <w:t xml:space="preserve">. </w:t>
      </w:r>
    </w:p>
    <w:p w:rsidR="00DA38F3" w:rsidRDefault="00DA38F3" w:rsidP="00993898">
      <w:pPr>
        <w:ind w:left="567" w:hanging="567"/>
        <w:rPr>
          <w:rFonts w:ascii="Calibri" w:hAnsi="Calibri" w:cs="Calibri"/>
        </w:rPr>
      </w:pPr>
    </w:p>
    <w:p w:rsidR="00993898" w:rsidRDefault="00993898" w:rsidP="00993898">
      <w:pPr>
        <w:ind w:left="567" w:hanging="567"/>
        <w:rPr>
          <w:rFonts w:ascii="Calibri" w:hAnsi="Calibri" w:cs="Calibri"/>
        </w:rPr>
      </w:pPr>
      <w:r w:rsidRPr="00993898">
        <w:rPr>
          <w:rFonts w:ascii="Calibri" w:hAnsi="Calibri" w:cs="Calibri"/>
        </w:rPr>
        <w:t xml:space="preserve">Connolly, G. and Lee, J. (2008), “The DEEWR Monthly Leading Indicator of Employment for Australia: a View from the Inside”, in Philip S. Morrison (ed), </w:t>
      </w:r>
      <w:r w:rsidRPr="00993898">
        <w:rPr>
          <w:rFonts w:ascii="Calibri" w:hAnsi="Calibri" w:cs="Calibri"/>
          <w:i/>
        </w:rPr>
        <w:t>Labour, Employment and Work in New Zealand: Proceedings of the Thirteenth Conference</w:t>
      </w:r>
      <w:r w:rsidRPr="00993898">
        <w:rPr>
          <w:rFonts w:ascii="Calibri" w:hAnsi="Calibri" w:cs="Calibri"/>
        </w:rPr>
        <w:t xml:space="preserve">, Victoria University of Wellington, New Zealand, 11-12 December. </w:t>
      </w:r>
    </w:p>
    <w:p w:rsidR="003F559E" w:rsidRDefault="003F559E" w:rsidP="00993898">
      <w:pPr>
        <w:ind w:left="567" w:hanging="567"/>
        <w:rPr>
          <w:rFonts w:ascii="Calibri" w:hAnsi="Calibri" w:cs="Calibri"/>
        </w:rPr>
      </w:pPr>
    </w:p>
    <w:p w:rsidR="003F559E" w:rsidRDefault="003F559E" w:rsidP="003F559E">
      <w:pPr>
        <w:ind w:left="567" w:hanging="567"/>
        <w:rPr>
          <w:rFonts w:ascii="Calibri" w:hAnsi="Calibri" w:cs="Calibri"/>
        </w:rPr>
      </w:pPr>
      <w:r>
        <w:rPr>
          <w:rFonts w:ascii="Calibri" w:hAnsi="Calibri" w:cs="Calibri"/>
        </w:rPr>
        <w:t>Connolly, G. and Tang, S. (2011</w:t>
      </w:r>
      <w:r w:rsidRPr="00993898">
        <w:rPr>
          <w:rFonts w:ascii="Calibri" w:hAnsi="Calibri" w:cs="Calibri"/>
        </w:rPr>
        <w:t xml:space="preserve">), </w:t>
      </w:r>
      <w:r w:rsidRPr="003F559E">
        <w:rPr>
          <w:rFonts w:ascii="Calibri" w:hAnsi="Calibri" w:cs="Calibri"/>
          <w:i/>
        </w:rPr>
        <w:t>Filling in the Gaps in the ABS Job Vacancies Series</w:t>
      </w:r>
      <w:r w:rsidRPr="00993898">
        <w:rPr>
          <w:rFonts w:ascii="Calibri" w:hAnsi="Calibri" w:cs="Calibri"/>
        </w:rPr>
        <w:t xml:space="preserve">, </w:t>
      </w:r>
      <w:r w:rsidRPr="003F559E">
        <w:rPr>
          <w:rFonts w:ascii="Calibri" w:hAnsi="Calibri" w:cs="Calibri"/>
        </w:rPr>
        <w:t>Paper presented to ABS Labour Statistics Advisory Group Meeting</w:t>
      </w:r>
      <w:r w:rsidRPr="00993898">
        <w:rPr>
          <w:rFonts w:ascii="Calibri" w:hAnsi="Calibri" w:cs="Calibri"/>
        </w:rPr>
        <w:t xml:space="preserve">, </w:t>
      </w:r>
      <w:r w:rsidRPr="003F559E">
        <w:rPr>
          <w:rFonts w:ascii="Calibri" w:hAnsi="Calibri" w:cs="Calibri"/>
        </w:rPr>
        <w:t>ABS House, Belconnen, ACT, 23 March</w:t>
      </w:r>
      <w:r w:rsidRPr="00993898">
        <w:rPr>
          <w:rFonts w:ascii="Calibri" w:hAnsi="Calibri" w:cs="Calibri"/>
        </w:rPr>
        <w:t xml:space="preserve">. </w:t>
      </w:r>
    </w:p>
    <w:p w:rsidR="003F559E" w:rsidRDefault="003F559E" w:rsidP="00993898">
      <w:pPr>
        <w:ind w:left="567" w:hanging="567"/>
        <w:rPr>
          <w:rFonts w:ascii="Calibri" w:hAnsi="Calibri" w:cs="Calibri"/>
        </w:rPr>
      </w:pPr>
    </w:p>
    <w:p w:rsidR="003E204B" w:rsidRPr="00993898" w:rsidRDefault="00046CE0" w:rsidP="003E204B">
      <w:pPr>
        <w:ind w:left="567" w:hanging="567"/>
        <w:rPr>
          <w:rFonts w:ascii="Calibri" w:hAnsi="Calibri" w:cs="Calibri"/>
        </w:rPr>
      </w:pPr>
      <w:r>
        <w:rPr>
          <w:rFonts w:ascii="Calibri" w:hAnsi="Calibri" w:cs="Calibri"/>
        </w:rPr>
        <w:t>Connolly, G., Lee, J. and O’Gorman, N.</w:t>
      </w:r>
      <w:r w:rsidR="003E204B" w:rsidRPr="003E204B">
        <w:rPr>
          <w:rFonts w:ascii="Calibri" w:hAnsi="Calibri" w:cs="Calibri"/>
        </w:rPr>
        <w:t xml:space="preserve"> (2012), “DEEWR Monthly Leading Indicator of Employment”, Presentation to DEEWR Labour Statistics Workshop, ABS House, Belconnen Australian Capital Territory, 3 May.</w:t>
      </w:r>
    </w:p>
    <w:p w:rsidR="00F90968" w:rsidRDefault="00F90968">
      <w:pPr>
        <w:rPr>
          <w:rFonts w:asciiTheme="minorHAnsi" w:hAnsiTheme="minorHAnsi" w:cstheme="minorHAnsi"/>
        </w:rPr>
      </w:pPr>
    </w:p>
    <w:p w:rsidR="00F90968" w:rsidRPr="003E204B" w:rsidRDefault="00F90968" w:rsidP="003E204B">
      <w:pPr>
        <w:ind w:left="567" w:hanging="567"/>
        <w:rPr>
          <w:rFonts w:ascii="Calibri" w:hAnsi="Calibri" w:cs="Calibri"/>
        </w:rPr>
      </w:pPr>
      <w:r w:rsidRPr="003E204B">
        <w:rPr>
          <w:rFonts w:ascii="Calibri" w:hAnsi="Calibri" w:cs="Calibri"/>
        </w:rPr>
        <w:t xml:space="preserve">Connolly, G., Lee, J. and Stevens, L. (2013), Information on </w:t>
      </w:r>
      <w:r w:rsidR="0042141C" w:rsidRPr="003E204B">
        <w:rPr>
          <w:rFonts w:ascii="Calibri" w:hAnsi="Calibri" w:cs="Calibri"/>
        </w:rPr>
        <w:t xml:space="preserve">calculating </w:t>
      </w:r>
      <w:r w:rsidRPr="003E204B">
        <w:rPr>
          <w:rFonts w:ascii="Calibri" w:hAnsi="Calibri" w:cs="Calibri"/>
        </w:rPr>
        <w:t xml:space="preserve">the Department of Employment’s Monthly Leading Indicator of Employment, </w:t>
      </w:r>
      <w:hyperlink r:id="rId17" w:history="1">
        <w:r w:rsidR="0042141C" w:rsidRPr="003E204B">
          <w:rPr>
            <w:rFonts w:ascii="Calibri" w:hAnsi="Calibri" w:cs="Calibri"/>
          </w:rPr>
          <w:t>www.employment.gov.au/calculating-department-employments-leading-indicator-employment</w:t>
        </w:r>
      </w:hyperlink>
      <w:r w:rsidRPr="003E204B">
        <w:rPr>
          <w:rFonts w:ascii="Calibri" w:hAnsi="Calibri" w:cs="Calibri"/>
        </w:rPr>
        <w:t xml:space="preserve">. </w:t>
      </w:r>
    </w:p>
    <w:p w:rsidR="00F90968" w:rsidRPr="003E204B" w:rsidRDefault="00F90968" w:rsidP="003E204B">
      <w:pPr>
        <w:ind w:left="567" w:hanging="567"/>
        <w:rPr>
          <w:rFonts w:ascii="Calibri" w:hAnsi="Calibri" w:cs="Calibri"/>
        </w:rPr>
      </w:pPr>
    </w:p>
    <w:p w:rsidR="0042141C" w:rsidRPr="003E204B" w:rsidRDefault="0042141C" w:rsidP="003E204B">
      <w:pPr>
        <w:ind w:left="567" w:hanging="567"/>
        <w:rPr>
          <w:rFonts w:ascii="Calibri" w:hAnsi="Calibri" w:cs="Calibri"/>
        </w:rPr>
      </w:pPr>
      <w:r w:rsidRPr="003E204B">
        <w:rPr>
          <w:rFonts w:ascii="Calibri" w:hAnsi="Calibri" w:cs="Calibri"/>
        </w:rPr>
        <w:t xml:space="preserve">Connolly, G. and Stevens, L. (2013), Information on the Department of Employment’s Monthly Leading Indicator of Employment, </w:t>
      </w:r>
      <w:hyperlink r:id="rId18" w:history="1">
        <w:r w:rsidRPr="003E204B">
          <w:rPr>
            <w:rFonts w:ascii="Calibri" w:hAnsi="Calibri" w:cs="Calibri"/>
          </w:rPr>
          <w:t>www.employment.gov.au/calculating-department-employments-leading-indicator-employment</w:t>
        </w:r>
      </w:hyperlink>
      <w:r w:rsidRPr="003E204B">
        <w:rPr>
          <w:rFonts w:ascii="Calibri" w:hAnsi="Calibri" w:cs="Calibri"/>
        </w:rPr>
        <w:t xml:space="preserve">. </w:t>
      </w:r>
    </w:p>
    <w:p w:rsidR="0042141C" w:rsidRPr="003E204B" w:rsidRDefault="0042141C" w:rsidP="003E204B">
      <w:pPr>
        <w:ind w:left="567" w:hanging="567"/>
        <w:rPr>
          <w:rFonts w:ascii="Calibri" w:hAnsi="Calibri" w:cs="Calibri"/>
        </w:rPr>
      </w:pPr>
    </w:p>
    <w:p w:rsidR="00993898" w:rsidRPr="00A13654" w:rsidRDefault="00993898" w:rsidP="003E204B">
      <w:pPr>
        <w:ind w:left="567" w:hanging="567"/>
        <w:rPr>
          <w:rFonts w:ascii="Calibri" w:hAnsi="Calibri" w:cs="Calibri"/>
        </w:rPr>
      </w:pPr>
      <w:r w:rsidRPr="003E204B">
        <w:rPr>
          <w:rFonts w:ascii="Calibri" w:hAnsi="Calibri" w:cs="Calibri"/>
        </w:rPr>
        <w:t>Connolly, G., Law, V. and Li, Y. (2013), An Investigation of the Usefulness of Chinese Economic Data Series as Leading Indicators of Australian Employment</w:t>
      </w:r>
      <w:r>
        <w:rPr>
          <w:rFonts w:ascii="Calibri" w:hAnsi="Calibri" w:cs="Calibri"/>
        </w:rPr>
        <w:t xml:space="preserve">, </w:t>
      </w:r>
      <w:r w:rsidR="00F45678" w:rsidRPr="003E204B">
        <w:rPr>
          <w:rFonts w:ascii="Calibri" w:hAnsi="Calibri" w:cs="Calibri"/>
        </w:rPr>
        <w:t xml:space="preserve">A technical paper prepared for the Review of the Leading Indicator of Employment, 31 July (obtainable on request from </w:t>
      </w:r>
      <w:hyperlink r:id="rId19" w:history="1">
        <w:r w:rsidR="00F45678" w:rsidRPr="00A13654">
          <w:rPr>
            <w:rFonts w:ascii="Calibri" w:hAnsi="Calibri" w:cs="Calibri"/>
          </w:rPr>
          <w:t>greg.connolly@employment.gov.au</w:t>
        </w:r>
      </w:hyperlink>
      <w:r w:rsidR="00F45678" w:rsidRPr="00A13654">
        <w:rPr>
          <w:rFonts w:ascii="Calibri" w:hAnsi="Calibri" w:cs="Calibri"/>
        </w:rPr>
        <w:t xml:space="preserve">). </w:t>
      </w:r>
    </w:p>
    <w:p w:rsidR="00993898" w:rsidRDefault="00993898">
      <w:pPr>
        <w:rPr>
          <w:rFonts w:asciiTheme="minorHAnsi" w:hAnsiTheme="minorHAnsi" w:cstheme="minorHAnsi"/>
        </w:rPr>
      </w:pPr>
    </w:p>
    <w:p w:rsidR="00257344" w:rsidRDefault="00257344" w:rsidP="00257344">
      <w:pPr>
        <w:ind w:left="600" w:hanging="600"/>
        <w:rPr>
          <w:rFonts w:ascii="Calibri" w:hAnsi="Calibri" w:cs="Calibri"/>
        </w:rPr>
      </w:pPr>
      <w:r w:rsidRPr="00257344">
        <w:rPr>
          <w:rFonts w:ascii="Calibri" w:hAnsi="Calibri" w:cs="Calibri"/>
        </w:rPr>
        <w:t xml:space="preserve">Hall, B.H. and Cummins, C. (2009), </w:t>
      </w:r>
      <w:r w:rsidRPr="00257344">
        <w:rPr>
          <w:rFonts w:ascii="Calibri" w:hAnsi="Calibri" w:cs="Calibri"/>
          <w:i/>
        </w:rPr>
        <w:t>Time Series Processor:  Version 5.1:  User’s Guide:  including an Introductory Guide</w:t>
      </w:r>
      <w:r w:rsidRPr="00257344">
        <w:rPr>
          <w:rFonts w:ascii="Calibri" w:hAnsi="Calibri" w:cs="Calibri"/>
        </w:rPr>
        <w:t xml:space="preserve">, TSP International, Palo Alto, USA. </w:t>
      </w:r>
    </w:p>
    <w:p w:rsidR="00A13654" w:rsidRDefault="00A13654" w:rsidP="00257344">
      <w:pPr>
        <w:ind w:left="600" w:hanging="600"/>
        <w:rPr>
          <w:rFonts w:ascii="Calibri" w:hAnsi="Calibri" w:cs="Calibri"/>
        </w:rPr>
      </w:pPr>
    </w:p>
    <w:p w:rsidR="00A13654" w:rsidRPr="00A13654" w:rsidRDefault="00A13654" w:rsidP="00A13654">
      <w:pPr>
        <w:ind w:left="567" w:hanging="567"/>
        <w:rPr>
          <w:rFonts w:ascii="Calibri" w:hAnsi="Calibri" w:cs="Calibri"/>
        </w:rPr>
      </w:pPr>
      <w:r>
        <w:rPr>
          <w:rFonts w:ascii="Calibri" w:hAnsi="Calibri" w:cs="Calibri"/>
        </w:rPr>
        <w:t>Labour Econ</w:t>
      </w:r>
      <w:r w:rsidR="005670D9">
        <w:rPr>
          <w:rFonts w:ascii="Calibri" w:hAnsi="Calibri" w:cs="Calibri"/>
        </w:rPr>
        <w:t>omics Section (2014</w:t>
      </w:r>
      <w:r>
        <w:rPr>
          <w:rFonts w:ascii="Calibri" w:hAnsi="Calibri" w:cs="Calibri"/>
        </w:rPr>
        <w:t xml:space="preserve">), Assessment of Individual Series as Leading Indicators of Employment, </w:t>
      </w:r>
      <w:r w:rsidRPr="003E204B">
        <w:rPr>
          <w:rFonts w:ascii="Calibri" w:hAnsi="Calibri" w:cs="Calibri"/>
        </w:rPr>
        <w:t xml:space="preserve">A technical paper prepared for the Review of the Leading Indicator of Employment, obtainable on request from </w:t>
      </w:r>
      <w:hyperlink r:id="rId20" w:history="1">
        <w:r w:rsidRPr="00A13654">
          <w:rPr>
            <w:rFonts w:ascii="Calibri" w:hAnsi="Calibri" w:cs="Calibri"/>
          </w:rPr>
          <w:t>greg.connolly@employment.gov.au</w:t>
        </w:r>
      </w:hyperlink>
      <w:r w:rsidRPr="00A13654">
        <w:rPr>
          <w:rFonts w:ascii="Calibri" w:hAnsi="Calibri" w:cs="Calibri"/>
        </w:rPr>
        <w:t xml:space="preserve">. </w:t>
      </w:r>
    </w:p>
    <w:p w:rsidR="00A13654" w:rsidRDefault="002B7E3B" w:rsidP="00257344">
      <w:pPr>
        <w:ind w:left="600" w:hanging="600"/>
        <w:rPr>
          <w:rFonts w:ascii="Calibri" w:hAnsi="Calibri" w:cs="Calibri"/>
        </w:rPr>
      </w:pPr>
      <w:r>
        <w:rPr>
          <w:rFonts w:asciiTheme="minorHAnsi" w:hAnsiTheme="minorHAnsi" w:cstheme="minorHAnsi"/>
        </w:rPr>
        <w:lastRenderedPageBreak/>
        <w:t xml:space="preserve">Lim, G. C. and Nguyen, V. H. (2013), “Alternative weighting approaches to computing indexes of economic activity”, </w:t>
      </w:r>
      <w:r w:rsidRPr="002B7E3B">
        <w:rPr>
          <w:rFonts w:asciiTheme="minorHAnsi" w:hAnsiTheme="minorHAnsi" w:cstheme="minorHAnsi"/>
          <w:i/>
        </w:rPr>
        <w:t>Journal of Economic Surveys</w:t>
      </w:r>
      <w:r>
        <w:rPr>
          <w:rFonts w:asciiTheme="minorHAnsi" w:hAnsiTheme="minorHAnsi" w:cstheme="minorHAnsi"/>
        </w:rPr>
        <w:t xml:space="preserve">, December 2013, </w:t>
      </w:r>
      <w:r w:rsidR="00F74FA4">
        <w:rPr>
          <w:rFonts w:asciiTheme="minorHAnsi" w:hAnsiTheme="minorHAnsi" w:cstheme="minorHAnsi"/>
        </w:rPr>
        <w:t xml:space="preserve">pages 1-14, </w:t>
      </w:r>
      <w:r>
        <w:rPr>
          <w:rFonts w:asciiTheme="minorHAnsi" w:hAnsiTheme="minorHAnsi" w:cstheme="minorHAnsi"/>
        </w:rPr>
        <w:t xml:space="preserve">doi: 10.1111/joes.12053.  </w:t>
      </w:r>
    </w:p>
    <w:p w:rsidR="002B7E3B" w:rsidRDefault="002B7E3B" w:rsidP="00257344">
      <w:pPr>
        <w:ind w:left="600" w:hanging="600"/>
        <w:rPr>
          <w:rFonts w:ascii="Calibri" w:hAnsi="Calibri" w:cs="Calibri"/>
        </w:rPr>
      </w:pPr>
    </w:p>
    <w:p w:rsidR="00DA38F3" w:rsidRPr="00257344" w:rsidRDefault="00DA38F3" w:rsidP="00257344">
      <w:pPr>
        <w:ind w:left="600" w:hanging="600"/>
        <w:rPr>
          <w:rFonts w:ascii="Calibri" w:hAnsi="Calibri" w:cs="Calibri"/>
        </w:rPr>
      </w:pPr>
      <w:r>
        <w:rPr>
          <w:rFonts w:asciiTheme="minorHAnsi" w:hAnsiTheme="minorHAnsi" w:cstheme="minorHAnsi"/>
        </w:rPr>
        <w:t xml:space="preserve">Wilkins, A.S. (2013), “To Lag or Not to Lag? Re-evaluating the Use of Lagged Dependent Variables in Regression Analysis”, mimeo of 13 May 2013, Stanford University, USA, downloadable at </w:t>
      </w:r>
      <w:hyperlink r:id="rId21" w:history="1">
        <w:r w:rsidRPr="00D63C8E">
          <w:rPr>
            <w:rStyle w:val="Hyperlink"/>
            <w:rFonts w:asciiTheme="minorHAnsi" w:hAnsiTheme="minorHAnsi" w:cstheme="minorHAnsi"/>
          </w:rPr>
          <w:t>www.stanford.edu/~arjunw/LaggedDVs.pdf</w:t>
        </w:r>
      </w:hyperlink>
      <w:r>
        <w:rPr>
          <w:rFonts w:asciiTheme="minorHAnsi" w:hAnsiTheme="minorHAnsi" w:cstheme="minorHAnsi"/>
        </w:rPr>
        <w:t xml:space="preserve">. </w:t>
      </w:r>
    </w:p>
    <w:sectPr w:rsidR="00DA38F3" w:rsidRPr="00257344" w:rsidSect="004A0A05">
      <w:footerReference w:type="default" r:id="rId2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6A9" w:rsidRDefault="00BE76A9" w:rsidP="00D04A6E">
      <w:r>
        <w:separator/>
      </w:r>
    </w:p>
  </w:endnote>
  <w:endnote w:type="continuationSeparator" w:id="0">
    <w:p w:rsidR="00BE76A9" w:rsidRDefault="00BE76A9" w:rsidP="00D0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763785"/>
      <w:docPartObj>
        <w:docPartGallery w:val="Page Numbers (Bottom of Page)"/>
        <w:docPartUnique/>
      </w:docPartObj>
    </w:sdtPr>
    <w:sdtEndPr>
      <w:rPr>
        <w:noProof/>
      </w:rPr>
    </w:sdtEndPr>
    <w:sdtContent>
      <w:p w:rsidR="00BE76A9" w:rsidRDefault="00BE76A9">
        <w:pPr>
          <w:pStyle w:val="Footer"/>
          <w:jc w:val="center"/>
        </w:pPr>
        <w:r>
          <w:fldChar w:fldCharType="begin"/>
        </w:r>
        <w:r>
          <w:instrText xml:space="preserve"> PAGE   \* MERGEFORMAT </w:instrText>
        </w:r>
        <w:r>
          <w:fldChar w:fldCharType="separate"/>
        </w:r>
        <w:r w:rsidR="00B301C2">
          <w:rPr>
            <w:noProof/>
          </w:rPr>
          <w:t>33</w:t>
        </w:r>
        <w:r>
          <w:rPr>
            <w:noProof/>
          </w:rPr>
          <w:fldChar w:fldCharType="end"/>
        </w:r>
      </w:p>
    </w:sdtContent>
  </w:sdt>
  <w:p w:rsidR="00BE76A9" w:rsidRDefault="00BE76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6A9" w:rsidRDefault="00BE76A9" w:rsidP="00D04A6E">
      <w:r>
        <w:separator/>
      </w:r>
    </w:p>
  </w:footnote>
  <w:footnote w:type="continuationSeparator" w:id="0">
    <w:p w:rsidR="00BE76A9" w:rsidRDefault="00BE76A9" w:rsidP="00D04A6E">
      <w:r>
        <w:continuationSeparator/>
      </w:r>
    </w:p>
  </w:footnote>
  <w:footnote w:id="1">
    <w:p w:rsidR="00BE76A9" w:rsidRDefault="00BE76A9">
      <w:pPr>
        <w:pStyle w:val="FootnoteText"/>
      </w:pPr>
      <w:r>
        <w:rPr>
          <w:rStyle w:val="FootnoteReference"/>
        </w:rPr>
        <w:footnoteRef/>
      </w:r>
      <w:r>
        <w:t xml:space="preserve"> It was also </w:t>
      </w:r>
      <w:r w:rsidRPr="00F90968">
        <w:rPr>
          <w:rFonts w:cstheme="minorHAnsi"/>
        </w:rPr>
        <w:t>stated more specifically in Connolly, Lee and Stevens (2013)</w:t>
      </w:r>
      <w:r>
        <w:rPr>
          <w:rFonts w:cstheme="minorHAnsi"/>
        </w:rPr>
        <w:t xml:space="preserve">. </w:t>
      </w:r>
    </w:p>
  </w:footnote>
  <w:footnote w:id="2">
    <w:p w:rsidR="00BE76A9" w:rsidRDefault="00BE76A9">
      <w:pPr>
        <w:pStyle w:val="FootnoteText"/>
      </w:pPr>
      <w:r>
        <w:rPr>
          <w:rStyle w:val="FootnoteReference"/>
        </w:rPr>
        <w:footnoteRef/>
      </w:r>
      <w:r>
        <w:t xml:space="preserve"> From August 2008 through August 2009. </w:t>
      </w:r>
    </w:p>
  </w:footnote>
  <w:footnote w:id="3">
    <w:p w:rsidR="00BE76A9" w:rsidRDefault="00BE76A9">
      <w:pPr>
        <w:pStyle w:val="FootnoteText"/>
      </w:pPr>
      <w:r>
        <w:rPr>
          <w:rStyle w:val="FootnoteReference"/>
        </w:rPr>
        <w:footnoteRef/>
      </w:r>
      <w:r>
        <w:t xml:space="preserve"> This series is a component of the current Indicator.</w:t>
      </w:r>
    </w:p>
  </w:footnote>
  <w:footnote w:id="4">
    <w:p w:rsidR="00BE76A9" w:rsidRDefault="00BE76A9" w:rsidP="003E4D7A">
      <w:pPr>
        <w:pStyle w:val="FootnoteText"/>
      </w:pPr>
      <w:r>
        <w:rPr>
          <w:rStyle w:val="FootnoteReference"/>
        </w:rPr>
        <w:footnoteRef/>
      </w:r>
      <w:r>
        <w:t xml:space="preserve"> The new series for the </w:t>
      </w:r>
      <w:r w:rsidRPr="00C8258D">
        <w:rPr>
          <w:color w:val="000000" w:themeColor="text1"/>
        </w:rPr>
        <w:t>Westpac-Melbourne Institute Leading Index of Economic Activity</w:t>
      </w:r>
      <w:r>
        <w:rPr>
          <w:color w:val="000000" w:themeColor="text1"/>
        </w:rPr>
        <w:t xml:space="preserve"> has been a component of the </w:t>
      </w:r>
      <w:r>
        <w:t>current Indicator since the February 2014 release of the Indicator. The old series has not been available since the end of 2013.</w:t>
      </w:r>
    </w:p>
  </w:footnote>
  <w:footnote w:id="5">
    <w:p w:rsidR="00BE76A9" w:rsidRPr="001F0EC0" w:rsidRDefault="00BE76A9" w:rsidP="001F0EC0">
      <w:pPr>
        <w:pStyle w:val="FootnoteText"/>
      </w:pPr>
      <w:r>
        <w:rPr>
          <w:rStyle w:val="FootnoteReference"/>
        </w:rPr>
        <w:footnoteRef/>
      </w:r>
      <w:r>
        <w:t xml:space="preserve"> This series is a component of the current Indicator. In an earlier part of the Review, </w:t>
      </w:r>
      <w:r w:rsidRPr="001F0EC0">
        <w:t xml:space="preserve">each of the five component series of </w:t>
      </w:r>
      <w:r>
        <w:t xml:space="preserve">the </w:t>
      </w:r>
      <w:r w:rsidRPr="001F0EC0">
        <w:rPr>
          <w:color w:val="000000" w:themeColor="text1"/>
        </w:rPr>
        <w:t>Westpac-Melbourne Institute Consumer Sentiment Index</w:t>
      </w:r>
      <w:r w:rsidRPr="001F0EC0">
        <w:t xml:space="preserve"> were separately tested and elimin</w:t>
      </w:r>
      <w:r>
        <w:t xml:space="preserve">ated from further consideration. </w:t>
      </w:r>
    </w:p>
  </w:footnote>
  <w:footnote w:id="6">
    <w:p w:rsidR="00BE76A9" w:rsidRDefault="00BE76A9">
      <w:pPr>
        <w:pStyle w:val="FootnoteText"/>
      </w:pPr>
      <w:r>
        <w:rPr>
          <w:rStyle w:val="FootnoteReference"/>
        </w:rPr>
        <w:footnoteRef/>
      </w:r>
      <w:r>
        <w:t xml:space="preserve"> This is particularly so as there were only two international variables on the shortlist, whereas there were four domestic variables on the shortlist. </w:t>
      </w:r>
    </w:p>
  </w:footnote>
  <w:footnote w:id="7">
    <w:p w:rsidR="00BE76A9" w:rsidRDefault="00BE76A9">
      <w:pPr>
        <w:pStyle w:val="FootnoteText"/>
      </w:pPr>
      <w:r>
        <w:rPr>
          <w:rStyle w:val="FootnoteReference"/>
        </w:rPr>
        <w:footnoteRef/>
      </w:r>
      <w:r>
        <w:t xml:space="preserve"> This equation could have been estimated using Ordinary Least Squares regression, but it would have needed a respecification of the variables to do so and the estimated coefficients might have been harder to interpret. </w:t>
      </w:r>
    </w:p>
  </w:footnote>
  <w:footnote w:id="8">
    <w:p w:rsidR="00BE76A9" w:rsidRDefault="00BE76A9" w:rsidP="003272CE">
      <w:pPr>
        <w:pStyle w:val="FootnoteText"/>
      </w:pPr>
      <w:r w:rsidRPr="00C720E8">
        <w:rPr>
          <w:rStyle w:val="FootnoteReference"/>
          <w:rFonts w:cstheme="minorHAnsi"/>
        </w:rPr>
        <w:footnoteRef/>
      </w:r>
      <w:r w:rsidRPr="00C720E8">
        <w:rPr>
          <w:rFonts w:cstheme="minorHAnsi"/>
        </w:rPr>
        <w:t xml:space="preserve"> </w:t>
      </w:r>
      <w:r w:rsidRPr="00C720E8">
        <w:rPr>
          <w:rFonts w:cstheme="minorHAnsi"/>
          <w:i/>
        </w:rPr>
        <w:t>Strongly confirmed turning points</w:t>
      </w:r>
      <w:r w:rsidRPr="00C720E8">
        <w:rPr>
          <w:rFonts w:cstheme="minorHAnsi"/>
        </w:rPr>
        <w:t xml:space="preserve"> (peaks or troughs) are said to have at least six consecutive moves in the same direction before the turning point (but they don’t have to be immediately before), followed by at least six consecutive moves in the opposite direction immediately after the turning point. </w:t>
      </w:r>
      <w:r w:rsidRPr="00C720E8">
        <w:rPr>
          <w:rFonts w:cstheme="minorHAnsi"/>
          <w:i/>
        </w:rPr>
        <w:t>Weakly confirmed turning points</w:t>
      </w:r>
      <w:r w:rsidRPr="00C720E8">
        <w:rPr>
          <w:rFonts w:cstheme="minorHAnsi"/>
        </w:rPr>
        <w:t xml:space="preserve"> </w:t>
      </w:r>
      <w:r>
        <w:rPr>
          <w:rFonts w:cstheme="minorHAnsi"/>
        </w:rPr>
        <w:t xml:space="preserve">are turning points that are not strongly confirmed, but </w:t>
      </w:r>
      <w:r w:rsidRPr="00C720E8">
        <w:rPr>
          <w:rFonts w:cstheme="minorHAnsi"/>
        </w:rPr>
        <w:t>have at least six consecutive moves in the same direction immediately before the turning point, followed by at least three consecutive moves in the opposite direction imme</w:t>
      </w:r>
      <w:r>
        <w:rPr>
          <w:rFonts w:cstheme="minorHAnsi"/>
        </w:rPr>
        <w:t>diately after the turning point,</w:t>
      </w:r>
      <w:r w:rsidRPr="00C720E8">
        <w:rPr>
          <w:rFonts w:cstheme="minorHAnsi"/>
        </w:rPr>
        <w:t xml:space="preserve"> or</w:t>
      </w:r>
      <w:r>
        <w:rPr>
          <w:rFonts w:cstheme="minorHAnsi"/>
        </w:rPr>
        <w:t xml:space="preserve"> a</w:t>
      </w:r>
      <w:r w:rsidRPr="00C720E8">
        <w:rPr>
          <w:rFonts w:cstheme="minorHAnsi"/>
        </w:rPr>
        <w:t>t least three consecutive moves in the same direction immediately before the turning point, followed by at least six consecutive moves in the opposite direction immediately after the turning point.</w:t>
      </w:r>
    </w:p>
  </w:footnote>
  <w:footnote w:id="9">
    <w:p w:rsidR="00BE76A9" w:rsidRDefault="00BE76A9">
      <w:pPr>
        <w:pStyle w:val="FootnoteText"/>
      </w:pPr>
      <w:r>
        <w:rPr>
          <w:rStyle w:val="FootnoteReference"/>
        </w:rPr>
        <w:footnoteRef/>
      </w:r>
      <w:r>
        <w:t xml:space="preserve"> That is, not statistically significantly different from zero. The t-statistic on this coefficient was 0.44 with an associated probability of 66 per cent, relating to the hypothesis that the coefficient is zero.</w:t>
      </w:r>
    </w:p>
  </w:footnote>
  <w:footnote w:id="10">
    <w:p w:rsidR="00BE76A9" w:rsidRDefault="00BE76A9">
      <w:pPr>
        <w:pStyle w:val="FootnoteText"/>
      </w:pPr>
      <w:r>
        <w:rPr>
          <w:rStyle w:val="FootnoteReference"/>
        </w:rPr>
        <w:footnoteRef/>
      </w:r>
      <w:r>
        <w:t xml:space="preserve"> The senior author </w:t>
      </w:r>
      <w:r>
        <w:rPr>
          <w:rFonts w:cstheme="minorHAnsi"/>
        </w:rPr>
        <w:t xml:space="preserve">can be contacted via email at </w:t>
      </w:r>
      <w:hyperlink r:id="rId1" w:history="1">
        <w:r w:rsidRPr="002B0163">
          <w:rPr>
            <w:rStyle w:val="Hyperlink"/>
            <w:rFonts w:cstheme="minorHAnsi"/>
          </w:rPr>
          <w:t>greg.connolly@employment.gov.au</w:t>
        </w:r>
      </w:hyperlink>
      <w:r>
        <w:rPr>
          <w:rFonts w:cstheme="minorHAnsi"/>
        </w:rPr>
        <w:t xml:space="preserve">. </w:t>
      </w:r>
    </w:p>
  </w:footnote>
  <w:footnote w:id="11">
    <w:p w:rsidR="00BE76A9" w:rsidRDefault="00BE76A9">
      <w:pPr>
        <w:pStyle w:val="FootnoteText"/>
      </w:pPr>
      <w:r>
        <w:rPr>
          <w:rStyle w:val="FootnoteReference"/>
        </w:rPr>
        <w:footnoteRef/>
      </w:r>
      <w:r>
        <w:t xml:space="preserve"> As stated in Wikipedia (</w:t>
      </w:r>
      <w:hyperlink r:id="rId2" w:history="1">
        <w:r w:rsidRPr="00BB7A8D">
          <w:rPr>
            <w:rStyle w:val="Hyperlink"/>
          </w:rPr>
          <w:t>http://en.wikipedia.org/wiki/Occam%27s_razor</w:t>
        </w:r>
      </w:hyperlink>
      <w:r>
        <w:t>), Occam’s Razor is “</w:t>
      </w:r>
      <w:r>
        <w:rPr>
          <w:lang w:val="en"/>
        </w:rPr>
        <w:t xml:space="preserve">a principle of parsimony, economy, or </w:t>
      </w:r>
      <w:hyperlink r:id="rId3" w:tooltip="Succinctness" w:history="1">
        <w:r>
          <w:rPr>
            <w:rStyle w:val="Hyperlink"/>
            <w:lang w:val="en"/>
          </w:rPr>
          <w:t>succinctness</w:t>
        </w:r>
      </w:hyperlink>
      <w:r>
        <w:rPr>
          <w:lang w:val="en"/>
        </w:rPr>
        <w:t xml:space="preserve"> used in problem-solving devised by </w:t>
      </w:r>
      <w:hyperlink r:id="rId4" w:tooltip="William of Ockham" w:history="1">
        <w:r>
          <w:rPr>
            <w:rStyle w:val="Hyperlink"/>
            <w:lang w:val="en"/>
          </w:rPr>
          <w:t>William of Ockham</w:t>
        </w:r>
      </w:hyperlink>
      <w:r>
        <w:rPr>
          <w:lang w:val="en"/>
        </w:rPr>
        <w:t xml:space="preserve"> (c. 1287 – 1347). It states that among competing hypotheses, the one with the fewest assumptions should be selected.”. </w:t>
      </w:r>
    </w:p>
  </w:footnote>
  <w:footnote w:id="12">
    <w:p w:rsidR="00BE76A9" w:rsidRDefault="00BE76A9" w:rsidP="001D11F0">
      <w:pPr>
        <w:pStyle w:val="FootnoteText"/>
      </w:pPr>
      <w:r w:rsidRPr="00C720E8">
        <w:rPr>
          <w:rStyle w:val="FootnoteReference"/>
          <w:rFonts w:cstheme="minorHAnsi"/>
        </w:rPr>
        <w:footnoteRef/>
      </w:r>
      <w:r w:rsidRPr="00C720E8">
        <w:rPr>
          <w:rFonts w:cstheme="minorHAnsi"/>
        </w:rPr>
        <w:t xml:space="preserve"> </w:t>
      </w:r>
      <w:r>
        <w:rPr>
          <w:rFonts w:cstheme="minorHAnsi"/>
        </w:rPr>
        <w:t>The definitions of s</w:t>
      </w:r>
      <w:r w:rsidRPr="00FD1A80">
        <w:rPr>
          <w:rFonts w:cstheme="minorHAnsi"/>
        </w:rPr>
        <w:t xml:space="preserve">trongly </w:t>
      </w:r>
      <w:r>
        <w:rPr>
          <w:rFonts w:cstheme="minorHAnsi"/>
        </w:rPr>
        <w:t xml:space="preserve">and weakly </w:t>
      </w:r>
      <w:r w:rsidRPr="00FD1A80">
        <w:rPr>
          <w:rFonts w:cstheme="minorHAnsi"/>
        </w:rPr>
        <w:t>confirmed turning points</w:t>
      </w:r>
      <w:r w:rsidRPr="00C720E8">
        <w:rPr>
          <w:rFonts w:cstheme="minorHAnsi"/>
        </w:rPr>
        <w:t xml:space="preserve"> </w:t>
      </w:r>
      <w:r>
        <w:rPr>
          <w:rFonts w:cstheme="minorHAnsi"/>
        </w:rPr>
        <w:t>have already been provided in footnote 8</w:t>
      </w:r>
      <w:r w:rsidRPr="00C720E8">
        <w:rPr>
          <w:rFonts w:cstheme="minorHAnsi"/>
        </w:rPr>
        <w:t>.</w:t>
      </w:r>
    </w:p>
  </w:footnote>
  <w:footnote w:id="13">
    <w:p w:rsidR="00BE76A9" w:rsidRDefault="00BE76A9">
      <w:pPr>
        <w:pStyle w:val="FootnoteText"/>
      </w:pPr>
      <w:r>
        <w:rPr>
          <w:rStyle w:val="FootnoteReference"/>
        </w:rPr>
        <w:footnoteRef/>
      </w:r>
      <w:r>
        <w:t xml:space="preserve"> The estimated strong performance of the econometrically estimated leading indicator in the out-of-sample forecasting period, where it was recorded as having an average lead of 10 months with no deviation from this average, is misleading, because the missed turning point is not taken into account in these calculations. </w:t>
      </w:r>
    </w:p>
  </w:footnote>
  <w:footnote w:id="14">
    <w:p w:rsidR="00BE76A9" w:rsidRDefault="00BE76A9">
      <w:pPr>
        <w:pStyle w:val="FootnoteText"/>
      </w:pPr>
      <w:r>
        <w:rPr>
          <w:rStyle w:val="FootnoteReference"/>
        </w:rPr>
        <w:footnoteRef/>
      </w:r>
      <w:r>
        <w:t xml:space="preserve"> </w:t>
      </w:r>
      <w:r>
        <w:rPr>
          <w:rFonts w:cstheme="minorHAnsi"/>
        </w:rPr>
        <w:t xml:space="preserve">Note that this is not taking into account the fact that in the current Indicator, the Dun and Bradstreet Employment Expectations Index is lagged by 12 months. When account is taken of this fact, the average lead time of the current Indicator would be longer than six months. </w:t>
      </w:r>
    </w:p>
  </w:footnote>
  <w:footnote w:id="15">
    <w:p w:rsidR="00BE76A9" w:rsidRDefault="00BE76A9">
      <w:pPr>
        <w:pStyle w:val="FootnoteText"/>
      </w:pPr>
      <w:r>
        <w:rPr>
          <w:rStyle w:val="FootnoteReference"/>
        </w:rPr>
        <w:footnoteRef/>
      </w:r>
      <w:r>
        <w:t xml:space="preserve"> Since this series is a component of the current Indicator, it was included in some alternative regression analyses for the sake of completeness in the testing routine. </w:t>
      </w:r>
    </w:p>
  </w:footnote>
  <w:footnote w:id="16">
    <w:p w:rsidR="00BE76A9" w:rsidRDefault="00BE76A9">
      <w:pPr>
        <w:pStyle w:val="FootnoteText"/>
      </w:pPr>
      <w:r>
        <w:rPr>
          <w:rStyle w:val="FootnoteReference"/>
        </w:rPr>
        <w:footnoteRef/>
      </w:r>
      <w:r>
        <w:t xml:space="preserve"> In this context, the term “Official” refers to the Purchasing Managers Index from the National Bureau of Statistics of China. This</w:t>
      </w:r>
      <w:r w:rsidRPr="00B85FD7">
        <w:t xml:space="preserve"> series is published in seasonally adjusted terms.</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7C88"/>
    <w:multiLevelType w:val="hybridMultilevel"/>
    <w:tmpl w:val="FC0884B0"/>
    <w:lvl w:ilvl="0" w:tplc="181E8F46">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FBA0765"/>
    <w:multiLevelType w:val="multilevel"/>
    <w:tmpl w:val="7D3011B8"/>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1C23EBB"/>
    <w:multiLevelType w:val="hybridMultilevel"/>
    <w:tmpl w:val="97122CC8"/>
    <w:lvl w:ilvl="0" w:tplc="E788F13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26C87827"/>
    <w:multiLevelType w:val="hybridMultilevel"/>
    <w:tmpl w:val="01E06B96"/>
    <w:lvl w:ilvl="0" w:tplc="70AA82CA">
      <w:start w:val="1"/>
      <w:numFmt w:val="bullet"/>
      <w:pStyle w:val="dashpoin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E7D36C9"/>
    <w:multiLevelType w:val="hybridMultilevel"/>
    <w:tmpl w:val="1B084E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4AD6620"/>
    <w:multiLevelType w:val="hybridMultilevel"/>
    <w:tmpl w:val="AA1A44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61147B07"/>
    <w:multiLevelType w:val="hybridMultilevel"/>
    <w:tmpl w:val="D054E5BC"/>
    <w:lvl w:ilvl="0" w:tplc="0C090001">
      <w:start w:val="1"/>
      <w:numFmt w:val="bullet"/>
      <w:lvlText w:val=""/>
      <w:lvlJc w:val="left"/>
      <w:pPr>
        <w:tabs>
          <w:tab w:val="num" w:pos="360"/>
        </w:tabs>
        <w:ind w:left="360" w:hanging="360"/>
      </w:pPr>
      <w:rPr>
        <w:rFonts w:ascii="Symbol" w:hAnsi="Symbol" w:cs="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cs="Wingdings" w:hint="default"/>
      </w:rPr>
    </w:lvl>
    <w:lvl w:ilvl="3" w:tplc="0C090001">
      <w:start w:val="1"/>
      <w:numFmt w:val="bullet"/>
      <w:lvlText w:val=""/>
      <w:lvlJc w:val="left"/>
      <w:pPr>
        <w:tabs>
          <w:tab w:val="num" w:pos="2520"/>
        </w:tabs>
        <w:ind w:left="2520" w:hanging="360"/>
      </w:pPr>
      <w:rPr>
        <w:rFonts w:ascii="Symbol" w:hAnsi="Symbol" w:cs="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cs="Wingdings" w:hint="default"/>
      </w:rPr>
    </w:lvl>
    <w:lvl w:ilvl="6" w:tplc="0C090001">
      <w:start w:val="1"/>
      <w:numFmt w:val="bullet"/>
      <w:lvlText w:val=""/>
      <w:lvlJc w:val="left"/>
      <w:pPr>
        <w:tabs>
          <w:tab w:val="num" w:pos="4680"/>
        </w:tabs>
        <w:ind w:left="4680" w:hanging="360"/>
      </w:pPr>
      <w:rPr>
        <w:rFonts w:ascii="Symbol" w:hAnsi="Symbol" w:cs="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cs="Wingdings" w:hint="default"/>
      </w:rPr>
    </w:lvl>
  </w:abstractNum>
  <w:abstractNum w:abstractNumId="7">
    <w:nsid w:val="70FB2F4C"/>
    <w:multiLevelType w:val="hybridMultilevel"/>
    <w:tmpl w:val="632AA7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6"/>
  </w:num>
  <w:num w:numId="3">
    <w:abstractNumId w:val="3"/>
  </w:num>
  <w:num w:numId="4">
    <w:abstractNumId w:val="4"/>
  </w:num>
  <w:num w:numId="5">
    <w:abstractNumId w:val="7"/>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A25726"/>
    <w:rsid w:val="000005BE"/>
    <w:rsid w:val="00003B1C"/>
    <w:rsid w:val="00013FB2"/>
    <w:rsid w:val="00022362"/>
    <w:rsid w:val="00022C06"/>
    <w:rsid w:val="00025B4C"/>
    <w:rsid w:val="0002758A"/>
    <w:rsid w:val="00030D4F"/>
    <w:rsid w:val="00032F56"/>
    <w:rsid w:val="00033FBC"/>
    <w:rsid w:val="00033FF4"/>
    <w:rsid w:val="00037B53"/>
    <w:rsid w:val="00044FAE"/>
    <w:rsid w:val="00046CE0"/>
    <w:rsid w:val="000475DD"/>
    <w:rsid w:val="0005785E"/>
    <w:rsid w:val="00060484"/>
    <w:rsid w:val="00062877"/>
    <w:rsid w:val="000660E2"/>
    <w:rsid w:val="00082AF7"/>
    <w:rsid w:val="00082DDC"/>
    <w:rsid w:val="00097A20"/>
    <w:rsid w:val="000A4AE6"/>
    <w:rsid w:val="000B2F9D"/>
    <w:rsid w:val="000B501C"/>
    <w:rsid w:val="000C1DB8"/>
    <w:rsid w:val="000D1D5B"/>
    <w:rsid w:val="000D3FDE"/>
    <w:rsid w:val="000D497E"/>
    <w:rsid w:val="000D4BFF"/>
    <w:rsid w:val="000E2F82"/>
    <w:rsid w:val="000E7F40"/>
    <w:rsid w:val="000F39F5"/>
    <w:rsid w:val="000F6667"/>
    <w:rsid w:val="000F6D36"/>
    <w:rsid w:val="000F7613"/>
    <w:rsid w:val="000F770F"/>
    <w:rsid w:val="00101CB1"/>
    <w:rsid w:val="00103254"/>
    <w:rsid w:val="00104AB7"/>
    <w:rsid w:val="00106A59"/>
    <w:rsid w:val="0010795B"/>
    <w:rsid w:val="00110204"/>
    <w:rsid w:val="0011053E"/>
    <w:rsid w:val="0011351D"/>
    <w:rsid w:val="00115823"/>
    <w:rsid w:val="00115910"/>
    <w:rsid w:val="00126731"/>
    <w:rsid w:val="0013528F"/>
    <w:rsid w:val="00136D06"/>
    <w:rsid w:val="00137F58"/>
    <w:rsid w:val="00142174"/>
    <w:rsid w:val="00142754"/>
    <w:rsid w:val="0014286D"/>
    <w:rsid w:val="00143431"/>
    <w:rsid w:val="00143B27"/>
    <w:rsid w:val="001443C3"/>
    <w:rsid w:val="00145F4B"/>
    <w:rsid w:val="00146A55"/>
    <w:rsid w:val="00147125"/>
    <w:rsid w:val="00147B3B"/>
    <w:rsid w:val="0015217D"/>
    <w:rsid w:val="00152D48"/>
    <w:rsid w:val="001561D9"/>
    <w:rsid w:val="00160AEF"/>
    <w:rsid w:val="001654DA"/>
    <w:rsid w:val="00165B1F"/>
    <w:rsid w:val="00166DD3"/>
    <w:rsid w:val="0016715F"/>
    <w:rsid w:val="001740D9"/>
    <w:rsid w:val="00175A83"/>
    <w:rsid w:val="001767BB"/>
    <w:rsid w:val="00176B13"/>
    <w:rsid w:val="001777A7"/>
    <w:rsid w:val="00181B6A"/>
    <w:rsid w:val="00183F1C"/>
    <w:rsid w:val="00187A80"/>
    <w:rsid w:val="0019255C"/>
    <w:rsid w:val="00192A30"/>
    <w:rsid w:val="00196130"/>
    <w:rsid w:val="001A1E1F"/>
    <w:rsid w:val="001A2857"/>
    <w:rsid w:val="001A42F1"/>
    <w:rsid w:val="001A71A6"/>
    <w:rsid w:val="001A7DFE"/>
    <w:rsid w:val="001B4C8A"/>
    <w:rsid w:val="001B6A0C"/>
    <w:rsid w:val="001C4324"/>
    <w:rsid w:val="001C788A"/>
    <w:rsid w:val="001D11F0"/>
    <w:rsid w:val="001D2479"/>
    <w:rsid w:val="001D2C2C"/>
    <w:rsid w:val="001D346A"/>
    <w:rsid w:val="001D5DAF"/>
    <w:rsid w:val="001E35D4"/>
    <w:rsid w:val="001E709C"/>
    <w:rsid w:val="001F0EC0"/>
    <w:rsid w:val="001F1AA0"/>
    <w:rsid w:val="001F31C9"/>
    <w:rsid w:val="001F534E"/>
    <w:rsid w:val="001F5C0D"/>
    <w:rsid w:val="001F6275"/>
    <w:rsid w:val="002072A8"/>
    <w:rsid w:val="00214320"/>
    <w:rsid w:val="00214DE2"/>
    <w:rsid w:val="00224AD9"/>
    <w:rsid w:val="002251F1"/>
    <w:rsid w:val="00226BFE"/>
    <w:rsid w:val="002277E6"/>
    <w:rsid w:val="0023384D"/>
    <w:rsid w:val="00240F23"/>
    <w:rsid w:val="00242611"/>
    <w:rsid w:val="00245E3D"/>
    <w:rsid w:val="00246F14"/>
    <w:rsid w:val="0025246E"/>
    <w:rsid w:val="00255303"/>
    <w:rsid w:val="002557C5"/>
    <w:rsid w:val="00257344"/>
    <w:rsid w:val="00257FE5"/>
    <w:rsid w:val="00260B54"/>
    <w:rsid w:val="00265FEC"/>
    <w:rsid w:val="00266B50"/>
    <w:rsid w:val="00267C0D"/>
    <w:rsid w:val="002705A4"/>
    <w:rsid w:val="0027064B"/>
    <w:rsid w:val="0027092E"/>
    <w:rsid w:val="00271398"/>
    <w:rsid w:val="002727D5"/>
    <w:rsid w:val="002812A8"/>
    <w:rsid w:val="00290277"/>
    <w:rsid w:val="00291873"/>
    <w:rsid w:val="002942A0"/>
    <w:rsid w:val="002A67F3"/>
    <w:rsid w:val="002A7971"/>
    <w:rsid w:val="002B7E3B"/>
    <w:rsid w:val="002C1235"/>
    <w:rsid w:val="002D2106"/>
    <w:rsid w:val="002D334E"/>
    <w:rsid w:val="002D465B"/>
    <w:rsid w:val="002D5D2B"/>
    <w:rsid w:val="002E06C9"/>
    <w:rsid w:val="002E1F3A"/>
    <w:rsid w:val="002E6239"/>
    <w:rsid w:val="002E6C1A"/>
    <w:rsid w:val="002E7FFB"/>
    <w:rsid w:val="002F3751"/>
    <w:rsid w:val="002F3DED"/>
    <w:rsid w:val="002F44EA"/>
    <w:rsid w:val="002F64E0"/>
    <w:rsid w:val="00302726"/>
    <w:rsid w:val="003039ED"/>
    <w:rsid w:val="0030723B"/>
    <w:rsid w:val="00312EED"/>
    <w:rsid w:val="0031415F"/>
    <w:rsid w:val="003143C7"/>
    <w:rsid w:val="0032531A"/>
    <w:rsid w:val="003261AC"/>
    <w:rsid w:val="00326492"/>
    <w:rsid w:val="00327276"/>
    <w:rsid w:val="003272CE"/>
    <w:rsid w:val="003329BF"/>
    <w:rsid w:val="00342FE1"/>
    <w:rsid w:val="00343250"/>
    <w:rsid w:val="0034336B"/>
    <w:rsid w:val="00344FF8"/>
    <w:rsid w:val="00346001"/>
    <w:rsid w:val="00346D1C"/>
    <w:rsid w:val="00347783"/>
    <w:rsid w:val="003532B7"/>
    <w:rsid w:val="00357A90"/>
    <w:rsid w:val="00360789"/>
    <w:rsid w:val="00367064"/>
    <w:rsid w:val="0036777E"/>
    <w:rsid w:val="003775D9"/>
    <w:rsid w:val="00377BA9"/>
    <w:rsid w:val="00381335"/>
    <w:rsid w:val="003839DE"/>
    <w:rsid w:val="00384569"/>
    <w:rsid w:val="00390954"/>
    <w:rsid w:val="0039457C"/>
    <w:rsid w:val="0039690D"/>
    <w:rsid w:val="00397353"/>
    <w:rsid w:val="003A11AA"/>
    <w:rsid w:val="003A141D"/>
    <w:rsid w:val="003A774A"/>
    <w:rsid w:val="003B0A45"/>
    <w:rsid w:val="003B4403"/>
    <w:rsid w:val="003C3A5A"/>
    <w:rsid w:val="003D0DC7"/>
    <w:rsid w:val="003D6DEE"/>
    <w:rsid w:val="003D7992"/>
    <w:rsid w:val="003D7EAE"/>
    <w:rsid w:val="003E204B"/>
    <w:rsid w:val="003E4D7A"/>
    <w:rsid w:val="003F052C"/>
    <w:rsid w:val="003F0A61"/>
    <w:rsid w:val="003F4882"/>
    <w:rsid w:val="003F559E"/>
    <w:rsid w:val="003F58D8"/>
    <w:rsid w:val="0040002A"/>
    <w:rsid w:val="00404085"/>
    <w:rsid w:val="0040490A"/>
    <w:rsid w:val="00404F57"/>
    <w:rsid w:val="00410F04"/>
    <w:rsid w:val="0042141C"/>
    <w:rsid w:val="004268F6"/>
    <w:rsid w:val="00427C65"/>
    <w:rsid w:val="00431C93"/>
    <w:rsid w:val="00431DB2"/>
    <w:rsid w:val="00434837"/>
    <w:rsid w:val="004360EE"/>
    <w:rsid w:val="004371AA"/>
    <w:rsid w:val="00445C1B"/>
    <w:rsid w:val="004578D5"/>
    <w:rsid w:val="004625D7"/>
    <w:rsid w:val="0046330A"/>
    <w:rsid w:val="00467984"/>
    <w:rsid w:val="00474EB5"/>
    <w:rsid w:val="00482799"/>
    <w:rsid w:val="00482FDD"/>
    <w:rsid w:val="00483C06"/>
    <w:rsid w:val="00484AFE"/>
    <w:rsid w:val="0049527F"/>
    <w:rsid w:val="004A0A05"/>
    <w:rsid w:val="004B2EF7"/>
    <w:rsid w:val="004B3D4C"/>
    <w:rsid w:val="004B4BA7"/>
    <w:rsid w:val="004B7AC7"/>
    <w:rsid w:val="004C239E"/>
    <w:rsid w:val="004C297B"/>
    <w:rsid w:val="004C6640"/>
    <w:rsid w:val="004D24A8"/>
    <w:rsid w:val="004E06F2"/>
    <w:rsid w:val="004E142A"/>
    <w:rsid w:val="004E5E41"/>
    <w:rsid w:val="004F6101"/>
    <w:rsid w:val="004F700E"/>
    <w:rsid w:val="004F790A"/>
    <w:rsid w:val="005007C7"/>
    <w:rsid w:val="00504A10"/>
    <w:rsid w:val="00506C3F"/>
    <w:rsid w:val="005160C6"/>
    <w:rsid w:val="00516591"/>
    <w:rsid w:val="00516610"/>
    <w:rsid w:val="005179CA"/>
    <w:rsid w:val="00522735"/>
    <w:rsid w:val="005335D2"/>
    <w:rsid w:val="005412BF"/>
    <w:rsid w:val="00542EDC"/>
    <w:rsid w:val="00544126"/>
    <w:rsid w:val="00546D3A"/>
    <w:rsid w:val="0055017B"/>
    <w:rsid w:val="0055448E"/>
    <w:rsid w:val="00556033"/>
    <w:rsid w:val="005563D6"/>
    <w:rsid w:val="00562465"/>
    <w:rsid w:val="0056422D"/>
    <w:rsid w:val="005668CF"/>
    <w:rsid w:val="005670D9"/>
    <w:rsid w:val="00570E11"/>
    <w:rsid w:val="00571108"/>
    <w:rsid w:val="005714D6"/>
    <w:rsid w:val="0057403C"/>
    <w:rsid w:val="005805CE"/>
    <w:rsid w:val="00581218"/>
    <w:rsid w:val="0058483F"/>
    <w:rsid w:val="005865B6"/>
    <w:rsid w:val="00587560"/>
    <w:rsid w:val="00590FE1"/>
    <w:rsid w:val="00594A5B"/>
    <w:rsid w:val="00594BF3"/>
    <w:rsid w:val="005A1BA7"/>
    <w:rsid w:val="005A4AF4"/>
    <w:rsid w:val="005A5ABF"/>
    <w:rsid w:val="005A7FB0"/>
    <w:rsid w:val="005B01C8"/>
    <w:rsid w:val="005B0BD7"/>
    <w:rsid w:val="005B1DAA"/>
    <w:rsid w:val="005B1DED"/>
    <w:rsid w:val="005B6BE6"/>
    <w:rsid w:val="005C1D9A"/>
    <w:rsid w:val="005C530E"/>
    <w:rsid w:val="005C6545"/>
    <w:rsid w:val="005C7ADF"/>
    <w:rsid w:val="005D3665"/>
    <w:rsid w:val="005D4CDE"/>
    <w:rsid w:val="005D5DC7"/>
    <w:rsid w:val="005D6567"/>
    <w:rsid w:val="005E097D"/>
    <w:rsid w:val="005E0BF9"/>
    <w:rsid w:val="005E2E87"/>
    <w:rsid w:val="005E310E"/>
    <w:rsid w:val="005E3302"/>
    <w:rsid w:val="005E3C2F"/>
    <w:rsid w:val="005E3E82"/>
    <w:rsid w:val="005E42CD"/>
    <w:rsid w:val="005F137B"/>
    <w:rsid w:val="005F4F55"/>
    <w:rsid w:val="005F70AC"/>
    <w:rsid w:val="005F7C61"/>
    <w:rsid w:val="00603185"/>
    <w:rsid w:val="00605F19"/>
    <w:rsid w:val="00613D7E"/>
    <w:rsid w:val="0061429F"/>
    <w:rsid w:val="00620C54"/>
    <w:rsid w:val="00626A0F"/>
    <w:rsid w:val="00627B6E"/>
    <w:rsid w:val="00630158"/>
    <w:rsid w:val="00630372"/>
    <w:rsid w:val="006315BD"/>
    <w:rsid w:val="006318B0"/>
    <w:rsid w:val="0063356C"/>
    <w:rsid w:val="00634FF7"/>
    <w:rsid w:val="00635338"/>
    <w:rsid w:val="00643BEA"/>
    <w:rsid w:val="006446F6"/>
    <w:rsid w:val="0065132B"/>
    <w:rsid w:val="0065616E"/>
    <w:rsid w:val="00660F2B"/>
    <w:rsid w:val="00662D73"/>
    <w:rsid w:val="00663B19"/>
    <w:rsid w:val="00664CED"/>
    <w:rsid w:val="00665B02"/>
    <w:rsid w:val="006710B7"/>
    <w:rsid w:val="00675701"/>
    <w:rsid w:val="00675E52"/>
    <w:rsid w:val="00676622"/>
    <w:rsid w:val="006834EB"/>
    <w:rsid w:val="00683E55"/>
    <w:rsid w:val="00686812"/>
    <w:rsid w:val="006905DC"/>
    <w:rsid w:val="006907B6"/>
    <w:rsid w:val="00691A41"/>
    <w:rsid w:val="006930BD"/>
    <w:rsid w:val="00693412"/>
    <w:rsid w:val="00696A93"/>
    <w:rsid w:val="006A17EA"/>
    <w:rsid w:val="006A18F9"/>
    <w:rsid w:val="006A23E6"/>
    <w:rsid w:val="006A37A4"/>
    <w:rsid w:val="006A6C7A"/>
    <w:rsid w:val="006B4385"/>
    <w:rsid w:val="006B6740"/>
    <w:rsid w:val="006B763E"/>
    <w:rsid w:val="006C6053"/>
    <w:rsid w:val="006C7587"/>
    <w:rsid w:val="006D0C8B"/>
    <w:rsid w:val="006D3AF9"/>
    <w:rsid w:val="006D414F"/>
    <w:rsid w:val="006D5829"/>
    <w:rsid w:val="006E01C1"/>
    <w:rsid w:val="006E09AE"/>
    <w:rsid w:val="006E308D"/>
    <w:rsid w:val="00701DBC"/>
    <w:rsid w:val="007050ED"/>
    <w:rsid w:val="007127D0"/>
    <w:rsid w:val="0071531A"/>
    <w:rsid w:val="007200BA"/>
    <w:rsid w:val="0072197E"/>
    <w:rsid w:val="007223D7"/>
    <w:rsid w:val="00722FE5"/>
    <w:rsid w:val="00723C22"/>
    <w:rsid w:val="00730F74"/>
    <w:rsid w:val="007321D5"/>
    <w:rsid w:val="00735289"/>
    <w:rsid w:val="00742607"/>
    <w:rsid w:val="00744F12"/>
    <w:rsid w:val="007454CC"/>
    <w:rsid w:val="00746D58"/>
    <w:rsid w:val="00747BB6"/>
    <w:rsid w:val="00747C4C"/>
    <w:rsid w:val="00750D41"/>
    <w:rsid w:val="0075243D"/>
    <w:rsid w:val="00753C9D"/>
    <w:rsid w:val="0076033A"/>
    <w:rsid w:val="00763595"/>
    <w:rsid w:val="00763F73"/>
    <w:rsid w:val="00773610"/>
    <w:rsid w:val="00777A69"/>
    <w:rsid w:val="00782C04"/>
    <w:rsid w:val="00784C1C"/>
    <w:rsid w:val="007869E9"/>
    <w:rsid w:val="007919DC"/>
    <w:rsid w:val="00792EFF"/>
    <w:rsid w:val="007A2C61"/>
    <w:rsid w:val="007A5289"/>
    <w:rsid w:val="007A6CA1"/>
    <w:rsid w:val="007A7952"/>
    <w:rsid w:val="007B1646"/>
    <w:rsid w:val="007B2258"/>
    <w:rsid w:val="007B263E"/>
    <w:rsid w:val="007B3E45"/>
    <w:rsid w:val="007B5D69"/>
    <w:rsid w:val="007B6445"/>
    <w:rsid w:val="007C05FE"/>
    <w:rsid w:val="007C40E4"/>
    <w:rsid w:val="007C5F22"/>
    <w:rsid w:val="007C6439"/>
    <w:rsid w:val="007C7624"/>
    <w:rsid w:val="007D1F8F"/>
    <w:rsid w:val="007D2017"/>
    <w:rsid w:val="007D39E7"/>
    <w:rsid w:val="007D7798"/>
    <w:rsid w:val="007E0338"/>
    <w:rsid w:val="007E1AA3"/>
    <w:rsid w:val="007E4410"/>
    <w:rsid w:val="007F00D4"/>
    <w:rsid w:val="007F0501"/>
    <w:rsid w:val="007F5AEF"/>
    <w:rsid w:val="00800175"/>
    <w:rsid w:val="00804EE7"/>
    <w:rsid w:val="00807864"/>
    <w:rsid w:val="00812061"/>
    <w:rsid w:val="00812445"/>
    <w:rsid w:val="00812607"/>
    <w:rsid w:val="00812F46"/>
    <w:rsid w:val="00813A1E"/>
    <w:rsid w:val="00814E38"/>
    <w:rsid w:val="00820B1D"/>
    <w:rsid w:val="00822568"/>
    <w:rsid w:val="00827621"/>
    <w:rsid w:val="00831AAA"/>
    <w:rsid w:val="00831CCE"/>
    <w:rsid w:val="00834CBA"/>
    <w:rsid w:val="00835C1E"/>
    <w:rsid w:val="008367DB"/>
    <w:rsid w:val="00854966"/>
    <w:rsid w:val="00856961"/>
    <w:rsid w:val="00862129"/>
    <w:rsid w:val="00863DE7"/>
    <w:rsid w:val="00865F7F"/>
    <w:rsid w:val="0087553E"/>
    <w:rsid w:val="008811C6"/>
    <w:rsid w:val="008847B3"/>
    <w:rsid w:val="008956CD"/>
    <w:rsid w:val="00895D47"/>
    <w:rsid w:val="008A0825"/>
    <w:rsid w:val="008A09E7"/>
    <w:rsid w:val="008A4679"/>
    <w:rsid w:val="008A5030"/>
    <w:rsid w:val="008B0D14"/>
    <w:rsid w:val="008B1360"/>
    <w:rsid w:val="008B1603"/>
    <w:rsid w:val="008B1E71"/>
    <w:rsid w:val="008B4DE3"/>
    <w:rsid w:val="008C1FED"/>
    <w:rsid w:val="008D0855"/>
    <w:rsid w:val="008D1481"/>
    <w:rsid w:val="008D2115"/>
    <w:rsid w:val="008D580D"/>
    <w:rsid w:val="008D72C5"/>
    <w:rsid w:val="008D7D9D"/>
    <w:rsid w:val="008E0434"/>
    <w:rsid w:val="008E2DFB"/>
    <w:rsid w:val="008E655D"/>
    <w:rsid w:val="008F01E3"/>
    <w:rsid w:val="008F0719"/>
    <w:rsid w:val="008F0EA2"/>
    <w:rsid w:val="008F58FE"/>
    <w:rsid w:val="00904495"/>
    <w:rsid w:val="0090797A"/>
    <w:rsid w:val="009162B5"/>
    <w:rsid w:val="00916FE2"/>
    <w:rsid w:val="00920DEE"/>
    <w:rsid w:val="00923DFB"/>
    <w:rsid w:val="009257B1"/>
    <w:rsid w:val="009332CD"/>
    <w:rsid w:val="00934E98"/>
    <w:rsid w:val="00935CBD"/>
    <w:rsid w:val="009422A4"/>
    <w:rsid w:val="00952875"/>
    <w:rsid w:val="00952D39"/>
    <w:rsid w:val="00952DD8"/>
    <w:rsid w:val="00955A07"/>
    <w:rsid w:val="00956F3B"/>
    <w:rsid w:val="00961122"/>
    <w:rsid w:val="00964EF6"/>
    <w:rsid w:val="00965A60"/>
    <w:rsid w:val="00971B9E"/>
    <w:rsid w:val="00972858"/>
    <w:rsid w:val="00973032"/>
    <w:rsid w:val="00973717"/>
    <w:rsid w:val="00976E01"/>
    <w:rsid w:val="00981B8B"/>
    <w:rsid w:val="00984206"/>
    <w:rsid w:val="009860B8"/>
    <w:rsid w:val="00993898"/>
    <w:rsid w:val="00994B3E"/>
    <w:rsid w:val="0099755A"/>
    <w:rsid w:val="009A0BD2"/>
    <w:rsid w:val="009A641A"/>
    <w:rsid w:val="009C0051"/>
    <w:rsid w:val="009C2CB6"/>
    <w:rsid w:val="009C3733"/>
    <w:rsid w:val="009C3980"/>
    <w:rsid w:val="009C53A5"/>
    <w:rsid w:val="009C6FD2"/>
    <w:rsid w:val="009D4685"/>
    <w:rsid w:val="009D524E"/>
    <w:rsid w:val="009E2269"/>
    <w:rsid w:val="009E39AE"/>
    <w:rsid w:val="009E3AF9"/>
    <w:rsid w:val="009E3D53"/>
    <w:rsid w:val="009F0F46"/>
    <w:rsid w:val="009F25DC"/>
    <w:rsid w:val="009F72C8"/>
    <w:rsid w:val="00A01FAD"/>
    <w:rsid w:val="00A05662"/>
    <w:rsid w:val="00A13654"/>
    <w:rsid w:val="00A164C6"/>
    <w:rsid w:val="00A205A8"/>
    <w:rsid w:val="00A20EA3"/>
    <w:rsid w:val="00A25726"/>
    <w:rsid w:val="00A34103"/>
    <w:rsid w:val="00A35C53"/>
    <w:rsid w:val="00A37B43"/>
    <w:rsid w:val="00A46C11"/>
    <w:rsid w:val="00A46CF0"/>
    <w:rsid w:val="00A50F7E"/>
    <w:rsid w:val="00A52293"/>
    <w:rsid w:val="00A5375F"/>
    <w:rsid w:val="00A56173"/>
    <w:rsid w:val="00A56F98"/>
    <w:rsid w:val="00A6130E"/>
    <w:rsid w:val="00A62F1F"/>
    <w:rsid w:val="00A6740D"/>
    <w:rsid w:val="00A746D4"/>
    <w:rsid w:val="00A75D75"/>
    <w:rsid w:val="00A80D18"/>
    <w:rsid w:val="00A81A14"/>
    <w:rsid w:val="00A90D61"/>
    <w:rsid w:val="00A94EB1"/>
    <w:rsid w:val="00A95541"/>
    <w:rsid w:val="00AA125B"/>
    <w:rsid w:val="00AA2CF6"/>
    <w:rsid w:val="00AA4DCA"/>
    <w:rsid w:val="00AB6731"/>
    <w:rsid w:val="00AC2013"/>
    <w:rsid w:val="00AC20BB"/>
    <w:rsid w:val="00AC3BD4"/>
    <w:rsid w:val="00AD0475"/>
    <w:rsid w:val="00AD15B5"/>
    <w:rsid w:val="00AE02AE"/>
    <w:rsid w:val="00AF4A43"/>
    <w:rsid w:val="00AF703F"/>
    <w:rsid w:val="00AF76F2"/>
    <w:rsid w:val="00B0546A"/>
    <w:rsid w:val="00B05DAE"/>
    <w:rsid w:val="00B07C1B"/>
    <w:rsid w:val="00B10DA6"/>
    <w:rsid w:val="00B119A3"/>
    <w:rsid w:val="00B1440C"/>
    <w:rsid w:val="00B24AC3"/>
    <w:rsid w:val="00B25DCA"/>
    <w:rsid w:val="00B277F7"/>
    <w:rsid w:val="00B301C2"/>
    <w:rsid w:val="00B3044F"/>
    <w:rsid w:val="00B30591"/>
    <w:rsid w:val="00B3063C"/>
    <w:rsid w:val="00B34F97"/>
    <w:rsid w:val="00B411CE"/>
    <w:rsid w:val="00B42DCB"/>
    <w:rsid w:val="00B43B78"/>
    <w:rsid w:val="00B45062"/>
    <w:rsid w:val="00B5062B"/>
    <w:rsid w:val="00B50C50"/>
    <w:rsid w:val="00B52DFF"/>
    <w:rsid w:val="00B53014"/>
    <w:rsid w:val="00B562F2"/>
    <w:rsid w:val="00B56EC8"/>
    <w:rsid w:val="00B604D8"/>
    <w:rsid w:val="00B60BD3"/>
    <w:rsid w:val="00B61052"/>
    <w:rsid w:val="00B77B06"/>
    <w:rsid w:val="00B84D4B"/>
    <w:rsid w:val="00B85FD7"/>
    <w:rsid w:val="00B87642"/>
    <w:rsid w:val="00B94930"/>
    <w:rsid w:val="00B9584F"/>
    <w:rsid w:val="00B95C30"/>
    <w:rsid w:val="00BA1111"/>
    <w:rsid w:val="00BA2F7D"/>
    <w:rsid w:val="00BB0615"/>
    <w:rsid w:val="00BB2377"/>
    <w:rsid w:val="00BB4306"/>
    <w:rsid w:val="00BC054D"/>
    <w:rsid w:val="00BC25CB"/>
    <w:rsid w:val="00BC3C2D"/>
    <w:rsid w:val="00BC5EDC"/>
    <w:rsid w:val="00BD0CF0"/>
    <w:rsid w:val="00BD1087"/>
    <w:rsid w:val="00BD1F9D"/>
    <w:rsid w:val="00BD4D1C"/>
    <w:rsid w:val="00BD7FDE"/>
    <w:rsid w:val="00BE0105"/>
    <w:rsid w:val="00BE014A"/>
    <w:rsid w:val="00BE1C0C"/>
    <w:rsid w:val="00BE1F57"/>
    <w:rsid w:val="00BE1FAF"/>
    <w:rsid w:val="00BE76A9"/>
    <w:rsid w:val="00BF1C74"/>
    <w:rsid w:val="00BF334F"/>
    <w:rsid w:val="00BF492A"/>
    <w:rsid w:val="00BF501A"/>
    <w:rsid w:val="00BF57B1"/>
    <w:rsid w:val="00C018C1"/>
    <w:rsid w:val="00C02314"/>
    <w:rsid w:val="00C028B3"/>
    <w:rsid w:val="00C02F5A"/>
    <w:rsid w:val="00C139B1"/>
    <w:rsid w:val="00C14453"/>
    <w:rsid w:val="00C15B4C"/>
    <w:rsid w:val="00C30836"/>
    <w:rsid w:val="00C34010"/>
    <w:rsid w:val="00C34368"/>
    <w:rsid w:val="00C418B1"/>
    <w:rsid w:val="00C46B12"/>
    <w:rsid w:val="00C51A41"/>
    <w:rsid w:val="00C51BE4"/>
    <w:rsid w:val="00C554E6"/>
    <w:rsid w:val="00C5631C"/>
    <w:rsid w:val="00C56FE5"/>
    <w:rsid w:val="00C57BD8"/>
    <w:rsid w:val="00C57E3C"/>
    <w:rsid w:val="00C70778"/>
    <w:rsid w:val="00C77CBC"/>
    <w:rsid w:val="00C8258D"/>
    <w:rsid w:val="00C842B4"/>
    <w:rsid w:val="00C84589"/>
    <w:rsid w:val="00C904CC"/>
    <w:rsid w:val="00C92C98"/>
    <w:rsid w:val="00C94DD5"/>
    <w:rsid w:val="00C97CD6"/>
    <w:rsid w:val="00CA1107"/>
    <w:rsid w:val="00CA4548"/>
    <w:rsid w:val="00CA6591"/>
    <w:rsid w:val="00CB36B1"/>
    <w:rsid w:val="00CC0F17"/>
    <w:rsid w:val="00CC324A"/>
    <w:rsid w:val="00CC78FB"/>
    <w:rsid w:val="00CD08D1"/>
    <w:rsid w:val="00CD2559"/>
    <w:rsid w:val="00CD620B"/>
    <w:rsid w:val="00CE12BF"/>
    <w:rsid w:val="00CE4DF2"/>
    <w:rsid w:val="00CF0D79"/>
    <w:rsid w:val="00CF0EFF"/>
    <w:rsid w:val="00CF21DB"/>
    <w:rsid w:val="00CF4013"/>
    <w:rsid w:val="00CF7804"/>
    <w:rsid w:val="00D00B19"/>
    <w:rsid w:val="00D026AE"/>
    <w:rsid w:val="00D03728"/>
    <w:rsid w:val="00D03B87"/>
    <w:rsid w:val="00D04A6E"/>
    <w:rsid w:val="00D057D4"/>
    <w:rsid w:val="00D106FC"/>
    <w:rsid w:val="00D122F1"/>
    <w:rsid w:val="00D307DB"/>
    <w:rsid w:val="00D3223C"/>
    <w:rsid w:val="00D41A26"/>
    <w:rsid w:val="00D45FDD"/>
    <w:rsid w:val="00D46252"/>
    <w:rsid w:val="00D46E83"/>
    <w:rsid w:val="00D47789"/>
    <w:rsid w:val="00D47981"/>
    <w:rsid w:val="00D47A13"/>
    <w:rsid w:val="00D51CA4"/>
    <w:rsid w:val="00D54688"/>
    <w:rsid w:val="00D61523"/>
    <w:rsid w:val="00D66F6B"/>
    <w:rsid w:val="00D672FA"/>
    <w:rsid w:val="00D711A0"/>
    <w:rsid w:val="00D717A1"/>
    <w:rsid w:val="00D7355B"/>
    <w:rsid w:val="00D74278"/>
    <w:rsid w:val="00D75763"/>
    <w:rsid w:val="00D76CE7"/>
    <w:rsid w:val="00D7717B"/>
    <w:rsid w:val="00D77B16"/>
    <w:rsid w:val="00D80F56"/>
    <w:rsid w:val="00D827DF"/>
    <w:rsid w:val="00D83F55"/>
    <w:rsid w:val="00D869FF"/>
    <w:rsid w:val="00D87B3D"/>
    <w:rsid w:val="00D90297"/>
    <w:rsid w:val="00D93A15"/>
    <w:rsid w:val="00D9449C"/>
    <w:rsid w:val="00D971CB"/>
    <w:rsid w:val="00DA1BFD"/>
    <w:rsid w:val="00DA3396"/>
    <w:rsid w:val="00DA38F3"/>
    <w:rsid w:val="00DA3B9F"/>
    <w:rsid w:val="00DA4E9B"/>
    <w:rsid w:val="00DA7000"/>
    <w:rsid w:val="00DB0D74"/>
    <w:rsid w:val="00DB504D"/>
    <w:rsid w:val="00DB5497"/>
    <w:rsid w:val="00DB56CB"/>
    <w:rsid w:val="00DB76AB"/>
    <w:rsid w:val="00DC4C81"/>
    <w:rsid w:val="00DC6926"/>
    <w:rsid w:val="00DC6C09"/>
    <w:rsid w:val="00DD1445"/>
    <w:rsid w:val="00DD56C8"/>
    <w:rsid w:val="00DE4856"/>
    <w:rsid w:val="00DE5215"/>
    <w:rsid w:val="00DE70D8"/>
    <w:rsid w:val="00DE7B49"/>
    <w:rsid w:val="00DF03D3"/>
    <w:rsid w:val="00DF1326"/>
    <w:rsid w:val="00E01F6C"/>
    <w:rsid w:val="00E029FA"/>
    <w:rsid w:val="00E05078"/>
    <w:rsid w:val="00E106C7"/>
    <w:rsid w:val="00E1669D"/>
    <w:rsid w:val="00E17737"/>
    <w:rsid w:val="00E2323A"/>
    <w:rsid w:val="00E255F8"/>
    <w:rsid w:val="00E26AF5"/>
    <w:rsid w:val="00E26F1D"/>
    <w:rsid w:val="00E32EAB"/>
    <w:rsid w:val="00E33BDD"/>
    <w:rsid w:val="00E41B01"/>
    <w:rsid w:val="00E454E9"/>
    <w:rsid w:val="00E5055B"/>
    <w:rsid w:val="00E52629"/>
    <w:rsid w:val="00E54552"/>
    <w:rsid w:val="00E557C9"/>
    <w:rsid w:val="00E57CF3"/>
    <w:rsid w:val="00E75078"/>
    <w:rsid w:val="00E8413C"/>
    <w:rsid w:val="00E849FE"/>
    <w:rsid w:val="00EA1A25"/>
    <w:rsid w:val="00EA33A8"/>
    <w:rsid w:val="00EA4F1A"/>
    <w:rsid w:val="00EA54C0"/>
    <w:rsid w:val="00EB0DCA"/>
    <w:rsid w:val="00EB17EC"/>
    <w:rsid w:val="00EB27D3"/>
    <w:rsid w:val="00EB390B"/>
    <w:rsid w:val="00EB4056"/>
    <w:rsid w:val="00EB47B2"/>
    <w:rsid w:val="00EB57CE"/>
    <w:rsid w:val="00EB62F4"/>
    <w:rsid w:val="00EC47D3"/>
    <w:rsid w:val="00EC6417"/>
    <w:rsid w:val="00EC68F9"/>
    <w:rsid w:val="00EC761D"/>
    <w:rsid w:val="00ED20F7"/>
    <w:rsid w:val="00ED3525"/>
    <w:rsid w:val="00ED4DEA"/>
    <w:rsid w:val="00EE39F6"/>
    <w:rsid w:val="00EE4551"/>
    <w:rsid w:val="00EE5AA8"/>
    <w:rsid w:val="00EE62D2"/>
    <w:rsid w:val="00EF2394"/>
    <w:rsid w:val="00F07F5C"/>
    <w:rsid w:val="00F1140C"/>
    <w:rsid w:val="00F178A3"/>
    <w:rsid w:val="00F24315"/>
    <w:rsid w:val="00F24F48"/>
    <w:rsid w:val="00F2614C"/>
    <w:rsid w:val="00F31C19"/>
    <w:rsid w:val="00F37050"/>
    <w:rsid w:val="00F45678"/>
    <w:rsid w:val="00F46918"/>
    <w:rsid w:val="00F5120B"/>
    <w:rsid w:val="00F6538B"/>
    <w:rsid w:val="00F74FA4"/>
    <w:rsid w:val="00F76DB2"/>
    <w:rsid w:val="00F77293"/>
    <w:rsid w:val="00F7752D"/>
    <w:rsid w:val="00F808DD"/>
    <w:rsid w:val="00F819C3"/>
    <w:rsid w:val="00F908B0"/>
    <w:rsid w:val="00F90968"/>
    <w:rsid w:val="00F931D2"/>
    <w:rsid w:val="00F93B8F"/>
    <w:rsid w:val="00F95450"/>
    <w:rsid w:val="00F97355"/>
    <w:rsid w:val="00FA0E7D"/>
    <w:rsid w:val="00FA5250"/>
    <w:rsid w:val="00FB0CEA"/>
    <w:rsid w:val="00FB2BA4"/>
    <w:rsid w:val="00FB2D77"/>
    <w:rsid w:val="00FB2E87"/>
    <w:rsid w:val="00FB5ECF"/>
    <w:rsid w:val="00FC4E79"/>
    <w:rsid w:val="00FD1A80"/>
    <w:rsid w:val="00FD2034"/>
    <w:rsid w:val="00FD2E21"/>
    <w:rsid w:val="00FE2CF8"/>
    <w:rsid w:val="00FE76F1"/>
    <w:rsid w:val="00FF04C6"/>
    <w:rsid w:val="00FF412B"/>
    <w:rsid w:val="00FF44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qFormat/>
    <w:rsid w:val="00862129"/>
    <w:pPr>
      <w:keepNext/>
      <w:outlineLvl w:val="1"/>
    </w:pPr>
    <w:rPr>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6B1"/>
    <w:pPr>
      <w:spacing w:after="200" w:line="276" w:lineRule="auto"/>
      <w:ind w:left="720"/>
      <w:contextualSpacing/>
    </w:pPr>
    <w:rPr>
      <w:rFonts w:asciiTheme="minorHAnsi" w:eastAsiaTheme="minorEastAsia" w:hAnsiTheme="minorHAnsi" w:cstheme="minorBidi"/>
      <w:sz w:val="22"/>
      <w:szCs w:val="22"/>
      <w:lang w:eastAsia="zh-CN"/>
    </w:rPr>
  </w:style>
  <w:style w:type="character" w:customStyle="1" w:styleId="Heading2Char">
    <w:name w:val="Heading 2 Char"/>
    <w:basedOn w:val="DefaultParagraphFont"/>
    <w:link w:val="Heading2"/>
    <w:rsid w:val="00862129"/>
    <w:rPr>
      <w:b/>
      <w:bCs/>
      <w:sz w:val="24"/>
      <w:lang w:eastAsia="en-US"/>
    </w:rPr>
  </w:style>
  <w:style w:type="paragraph" w:customStyle="1" w:styleId="dashpoint">
    <w:name w:val="dash_point"/>
    <w:basedOn w:val="Normal"/>
    <w:rsid w:val="00862129"/>
    <w:pPr>
      <w:numPr>
        <w:numId w:val="3"/>
      </w:numPr>
    </w:pPr>
    <w:rPr>
      <w:sz w:val="20"/>
      <w:szCs w:val="20"/>
      <w:lang w:eastAsia="en-US"/>
    </w:rPr>
  </w:style>
  <w:style w:type="paragraph" w:styleId="FootnoteText">
    <w:name w:val="footnote text"/>
    <w:basedOn w:val="Normal"/>
    <w:link w:val="FootnoteTextChar"/>
    <w:unhideWhenUsed/>
    <w:rsid w:val="00D04A6E"/>
    <w:rPr>
      <w:rFonts w:asciiTheme="minorHAnsi" w:eastAsiaTheme="minorEastAsia" w:hAnsiTheme="minorHAnsi" w:cstheme="minorBidi"/>
      <w:sz w:val="20"/>
      <w:szCs w:val="20"/>
      <w:lang w:eastAsia="zh-CN"/>
    </w:rPr>
  </w:style>
  <w:style w:type="character" w:customStyle="1" w:styleId="FootnoteTextChar">
    <w:name w:val="Footnote Text Char"/>
    <w:basedOn w:val="DefaultParagraphFont"/>
    <w:link w:val="FootnoteText"/>
    <w:rsid w:val="00D04A6E"/>
    <w:rPr>
      <w:rFonts w:asciiTheme="minorHAnsi" w:eastAsiaTheme="minorEastAsia" w:hAnsiTheme="minorHAnsi" w:cstheme="minorBidi"/>
      <w:lang w:eastAsia="zh-CN"/>
    </w:rPr>
  </w:style>
  <w:style w:type="character" w:styleId="FootnoteReference">
    <w:name w:val="footnote reference"/>
    <w:basedOn w:val="DefaultParagraphFont"/>
    <w:unhideWhenUsed/>
    <w:rsid w:val="00D04A6E"/>
    <w:rPr>
      <w:vertAlign w:val="superscript"/>
    </w:rPr>
  </w:style>
  <w:style w:type="character" w:styleId="Hyperlink">
    <w:name w:val="Hyperlink"/>
    <w:basedOn w:val="DefaultParagraphFont"/>
    <w:rsid w:val="00F90968"/>
    <w:rPr>
      <w:color w:val="0000FF" w:themeColor="hyperlink"/>
      <w:u w:val="single"/>
    </w:rPr>
  </w:style>
  <w:style w:type="table" w:styleId="TableGrid">
    <w:name w:val="Table Grid"/>
    <w:basedOn w:val="TableNormal"/>
    <w:rsid w:val="00574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E09AE"/>
    <w:rPr>
      <w:rFonts w:ascii="Tahoma" w:hAnsi="Tahoma" w:cs="Tahoma"/>
      <w:sz w:val="16"/>
      <w:szCs w:val="16"/>
    </w:rPr>
  </w:style>
  <w:style w:type="character" w:customStyle="1" w:styleId="BalloonTextChar">
    <w:name w:val="Balloon Text Char"/>
    <w:basedOn w:val="DefaultParagraphFont"/>
    <w:link w:val="BalloonText"/>
    <w:rsid w:val="006E09AE"/>
    <w:rPr>
      <w:rFonts w:ascii="Tahoma" w:hAnsi="Tahoma" w:cs="Tahoma"/>
      <w:sz w:val="16"/>
      <w:szCs w:val="16"/>
    </w:rPr>
  </w:style>
  <w:style w:type="paragraph" w:styleId="Header">
    <w:name w:val="header"/>
    <w:basedOn w:val="Normal"/>
    <w:link w:val="HeaderChar"/>
    <w:rsid w:val="004A0A05"/>
    <w:pPr>
      <w:tabs>
        <w:tab w:val="center" w:pos="4513"/>
        <w:tab w:val="right" w:pos="9026"/>
      </w:tabs>
    </w:pPr>
  </w:style>
  <w:style w:type="character" w:customStyle="1" w:styleId="HeaderChar">
    <w:name w:val="Header Char"/>
    <w:basedOn w:val="DefaultParagraphFont"/>
    <w:link w:val="Header"/>
    <w:rsid w:val="004A0A05"/>
    <w:rPr>
      <w:sz w:val="24"/>
      <w:szCs w:val="24"/>
    </w:rPr>
  </w:style>
  <w:style w:type="paragraph" w:styleId="Footer">
    <w:name w:val="footer"/>
    <w:basedOn w:val="Normal"/>
    <w:link w:val="FooterChar"/>
    <w:uiPriority w:val="99"/>
    <w:rsid w:val="004A0A05"/>
    <w:pPr>
      <w:tabs>
        <w:tab w:val="center" w:pos="4513"/>
        <w:tab w:val="right" w:pos="9026"/>
      </w:tabs>
    </w:pPr>
  </w:style>
  <w:style w:type="character" w:customStyle="1" w:styleId="FooterChar">
    <w:name w:val="Footer Char"/>
    <w:basedOn w:val="DefaultParagraphFont"/>
    <w:link w:val="Footer"/>
    <w:uiPriority w:val="99"/>
    <w:rsid w:val="004A0A05"/>
    <w:rPr>
      <w:sz w:val="24"/>
      <w:szCs w:val="24"/>
    </w:rPr>
  </w:style>
  <w:style w:type="paragraph" w:customStyle="1" w:styleId="Default">
    <w:name w:val="Default"/>
    <w:rsid w:val="003F559E"/>
    <w:pPr>
      <w:autoSpaceDE w:val="0"/>
      <w:autoSpaceDN w:val="0"/>
      <w:adjustRightInd w:val="0"/>
    </w:pPr>
    <w:rPr>
      <w:color w:val="000000"/>
      <w:sz w:val="24"/>
      <w:szCs w:val="24"/>
    </w:rPr>
  </w:style>
  <w:style w:type="paragraph" w:customStyle="1" w:styleId="Bullet">
    <w:name w:val="Bullet"/>
    <w:basedOn w:val="Normal"/>
    <w:link w:val="BulletChar"/>
    <w:rsid w:val="00A746D4"/>
    <w:pPr>
      <w:numPr>
        <w:numId w:val="8"/>
      </w:numPr>
      <w:spacing w:after="200" w:line="276" w:lineRule="auto"/>
    </w:pPr>
    <w:rPr>
      <w:rFonts w:asciiTheme="minorHAnsi" w:eastAsiaTheme="minorHAnsi" w:hAnsiTheme="minorHAnsi" w:cstheme="minorBidi"/>
      <w:sz w:val="22"/>
      <w:szCs w:val="22"/>
      <w:lang w:eastAsia="en-US"/>
    </w:rPr>
  </w:style>
  <w:style w:type="character" w:customStyle="1" w:styleId="BulletChar">
    <w:name w:val="Bullet Char"/>
    <w:basedOn w:val="DefaultParagraphFont"/>
    <w:link w:val="Bullet"/>
    <w:rsid w:val="00A746D4"/>
    <w:rPr>
      <w:rFonts w:asciiTheme="minorHAnsi" w:eastAsiaTheme="minorHAnsi" w:hAnsiTheme="minorHAnsi" w:cstheme="minorBidi"/>
      <w:sz w:val="22"/>
      <w:szCs w:val="22"/>
      <w:lang w:eastAsia="en-US"/>
    </w:rPr>
  </w:style>
  <w:style w:type="paragraph" w:customStyle="1" w:styleId="Dash">
    <w:name w:val="Dash"/>
    <w:basedOn w:val="Normal"/>
    <w:rsid w:val="00A746D4"/>
    <w:pPr>
      <w:numPr>
        <w:ilvl w:val="1"/>
        <w:numId w:val="8"/>
      </w:numPr>
      <w:spacing w:after="200" w:line="276" w:lineRule="auto"/>
    </w:pPr>
    <w:rPr>
      <w:rFonts w:asciiTheme="minorHAnsi" w:eastAsiaTheme="minorHAnsi" w:hAnsiTheme="minorHAnsi" w:cstheme="minorBidi"/>
      <w:sz w:val="22"/>
      <w:szCs w:val="22"/>
      <w:lang w:eastAsia="en-US"/>
    </w:rPr>
  </w:style>
  <w:style w:type="paragraph" w:customStyle="1" w:styleId="DoubleDot">
    <w:name w:val="Double Dot"/>
    <w:basedOn w:val="Normal"/>
    <w:rsid w:val="00A746D4"/>
    <w:pPr>
      <w:numPr>
        <w:ilvl w:val="2"/>
        <w:numId w:val="8"/>
      </w:numPr>
      <w:spacing w:after="200" w:line="276" w:lineRule="auto"/>
    </w:pPr>
    <w:rPr>
      <w:rFonts w:asciiTheme="minorHAnsi" w:eastAsiaTheme="minorHAnsi" w:hAnsiTheme="minorHAnsi" w:cstheme="minorBidi"/>
      <w:sz w:val="22"/>
      <w:szCs w:val="22"/>
      <w:lang w:eastAsia="en-US"/>
    </w:rPr>
  </w:style>
  <w:style w:type="paragraph" w:styleId="Revision">
    <w:name w:val="Revision"/>
    <w:hidden/>
    <w:uiPriority w:val="99"/>
    <w:semiHidden/>
    <w:rsid w:val="00BE76A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qFormat/>
    <w:rsid w:val="00862129"/>
    <w:pPr>
      <w:keepNext/>
      <w:outlineLvl w:val="1"/>
    </w:pPr>
    <w:rPr>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6B1"/>
    <w:pPr>
      <w:spacing w:after="200" w:line="276" w:lineRule="auto"/>
      <w:ind w:left="720"/>
      <w:contextualSpacing/>
    </w:pPr>
    <w:rPr>
      <w:rFonts w:asciiTheme="minorHAnsi" w:eastAsiaTheme="minorEastAsia" w:hAnsiTheme="minorHAnsi" w:cstheme="minorBidi"/>
      <w:sz w:val="22"/>
      <w:szCs w:val="22"/>
      <w:lang w:eastAsia="zh-CN"/>
    </w:rPr>
  </w:style>
  <w:style w:type="character" w:customStyle="1" w:styleId="Heading2Char">
    <w:name w:val="Heading 2 Char"/>
    <w:basedOn w:val="DefaultParagraphFont"/>
    <w:link w:val="Heading2"/>
    <w:rsid w:val="00862129"/>
    <w:rPr>
      <w:b/>
      <w:bCs/>
      <w:sz w:val="24"/>
      <w:lang w:eastAsia="en-US"/>
    </w:rPr>
  </w:style>
  <w:style w:type="paragraph" w:customStyle="1" w:styleId="dashpoint">
    <w:name w:val="dash_point"/>
    <w:basedOn w:val="Normal"/>
    <w:rsid w:val="00862129"/>
    <w:pPr>
      <w:numPr>
        <w:numId w:val="3"/>
      </w:numPr>
    </w:pPr>
    <w:rPr>
      <w:sz w:val="20"/>
      <w:szCs w:val="20"/>
      <w:lang w:eastAsia="en-US"/>
    </w:rPr>
  </w:style>
  <w:style w:type="paragraph" w:styleId="FootnoteText">
    <w:name w:val="footnote text"/>
    <w:basedOn w:val="Normal"/>
    <w:link w:val="FootnoteTextChar"/>
    <w:unhideWhenUsed/>
    <w:rsid w:val="00D04A6E"/>
    <w:rPr>
      <w:rFonts w:asciiTheme="minorHAnsi" w:eastAsiaTheme="minorEastAsia" w:hAnsiTheme="minorHAnsi" w:cstheme="minorBidi"/>
      <w:sz w:val="20"/>
      <w:szCs w:val="20"/>
      <w:lang w:eastAsia="zh-CN"/>
    </w:rPr>
  </w:style>
  <w:style w:type="character" w:customStyle="1" w:styleId="FootnoteTextChar">
    <w:name w:val="Footnote Text Char"/>
    <w:basedOn w:val="DefaultParagraphFont"/>
    <w:link w:val="FootnoteText"/>
    <w:rsid w:val="00D04A6E"/>
    <w:rPr>
      <w:rFonts w:asciiTheme="minorHAnsi" w:eastAsiaTheme="minorEastAsia" w:hAnsiTheme="minorHAnsi" w:cstheme="minorBidi"/>
      <w:lang w:eastAsia="zh-CN"/>
    </w:rPr>
  </w:style>
  <w:style w:type="character" w:styleId="FootnoteReference">
    <w:name w:val="footnote reference"/>
    <w:basedOn w:val="DefaultParagraphFont"/>
    <w:unhideWhenUsed/>
    <w:rsid w:val="00D04A6E"/>
    <w:rPr>
      <w:vertAlign w:val="superscript"/>
    </w:rPr>
  </w:style>
  <w:style w:type="character" w:styleId="Hyperlink">
    <w:name w:val="Hyperlink"/>
    <w:basedOn w:val="DefaultParagraphFont"/>
    <w:rsid w:val="00F90968"/>
    <w:rPr>
      <w:color w:val="0000FF" w:themeColor="hyperlink"/>
      <w:u w:val="single"/>
    </w:rPr>
  </w:style>
  <w:style w:type="table" w:styleId="TableGrid">
    <w:name w:val="Table Grid"/>
    <w:basedOn w:val="TableNormal"/>
    <w:rsid w:val="00574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E09AE"/>
    <w:rPr>
      <w:rFonts w:ascii="Tahoma" w:hAnsi="Tahoma" w:cs="Tahoma"/>
      <w:sz w:val="16"/>
      <w:szCs w:val="16"/>
    </w:rPr>
  </w:style>
  <w:style w:type="character" w:customStyle="1" w:styleId="BalloonTextChar">
    <w:name w:val="Balloon Text Char"/>
    <w:basedOn w:val="DefaultParagraphFont"/>
    <w:link w:val="BalloonText"/>
    <w:rsid w:val="006E09AE"/>
    <w:rPr>
      <w:rFonts w:ascii="Tahoma" w:hAnsi="Tahoma" w:cs="Tahoma"/>
      <w:sz w:val="16"/>
      <w:szCs w:val="16"/>
    </w:rPr>
  </w:style>
  <w:style w:type="paragraph" w:styleId="Header">
    <w:name w:val="header"/>
    <w:basedOn w:val="Normal"/>
    <w:link w:val="HeaderChar"/>
    <w:rsid w:val="004A0A05"/>
    <w:pPr>
      <w:tabs>
        <w:tab w:val="center" w:pos="4513"/>
        <w:tab w:val="right" w:pos="9026"/>
      </w:tabs>
    </w:pPr>
  </w:style>
  <w:style w:type="character" w:customStyle="1" w:styleId="HeaderChar">
    <w:name w:val="Header Char"/>
    <w:basedOn w:val="DefaultParagraphFont"/>
    <w:link w:val="Header"/>
    <w:rsid w:val="004A0A05"/>
    <w:rPr>
      <w:sz w:val="24"/>
      <w:szCs w:val="24"/>
    </w:rPr>
  </w:style>
  <w:style w:type="paragraph" w:styleId="Footer">
    <w:name w:val="footer"/>
    <w:basedOn w:val="Normal"/>
    <w:link w:val="FooterChar"/>
    <w:uiPriority w:val="99"/>
    <w:rsid w:val="004A0A05"/>
    <w:pPr>
      <w:tabs>
        <w:tab w:val="center" w:pos="4513"/>
        <w:tab w:val="right" w:pos="9026"/>
      </w:tabs>
    </w:pPr>
  </w:style>
  <w:style w:type="character" w:customStyle="1" w:styleId="FooterChar">
    <w:name w:val="Footer Char"/>
    <w:basedOn w:val="DefaultParagraphFont"/>
    <w:link w:val="Footer"/>
    <w:uiPriority w:val="99"/>
    <w:rsid w:val="004A0A05"/>
    <w:rPr>
      <w:sz w:val="24"/>
      <w:szCs w:val="24"/>
    </w:rPr>
  </w:style>
  <w:style w:type="paragraph" w:customStyle="1" w:styleId="Default">
    <w:name w:val="Default"/>
    <w:rsid w:val="003F559E"/>
    <w:pPr>
      <w:autoSpaceDE w:val="0"/>
      <w:autoSpaceDN w:val="0"/>
      <w:adjustRightInd w:val="0"/>
    </w:pPr>
    <w:rPr>
      <w:color w:val="000000"/>
      <w:sz w:val="24"/>
      <w:szCs w:val="24"/>
    </w:rPr>
  </w:style>
  <w:style w:type="paragraph" w:customStyle="1" w:styleId="Bullet">
    <w:name w:val="Bullet"/>
    <w:basedOn w:val="Normal"/>
    <w:link w:val="BulletChar"/>
    <w:rsid w:val="00A746D4"/>
    <w:pPr>
      <w:numPr>
        <w:numId w:val="8"/>
      </w:numPr>
      <w:spacing w:after="200" w:line="276" w:lineRule="auto"/>
    </w:pPr>
    <w:rPr>
      <w:rFonts w:asciiTheme="minorHAnsi" w:eastAsiaTheme="minorHAnsi" w:hAnsiTheme="minorHAnsi" w:cstheme="minorBidi"/>
      <w:sz w:val="22"/>
      <w:szCs w:val="22"/>
      <w:lang w:eastAsia="en-US"/>
    </w:rPr>
  </w:style>
  <w:style w:type="character" w:customStyle="1" w:styleId="BulletChar">
    <w:name w:val="Bullet Char"/>
    <w:basedOn w:val="DefaultParagraphFont"/>
    <w:link w:val="Bullet"/>
    <w:rsid w:val="00A746D4"/>
    <w:rPr>
      <w:rFonts w:asciiTheme="minorHAnsi" w:eastAsiaTheme="minorHAnsi" w:hAnsiTheme="minorHAnsi" w:cstheme="minorBidi"/>
      <w:sz w:val="22"/>
      <w:szCs w:val="22"/>
      <w:lang w:eastAsia="en-US"/>
    </w:rPr>
  </w:style>
  <w:style w:type="paragraph" w:customStyle="1" w:styleId="Dash">
    <w:name w:val="Dash"/>
    <w:basedOn w:val="Normal"/>
    <w:rsid w:val="00A746D4"/>
    <w:pPr>
      <w:numPr>
        <w:ilvl w:val="1"/>
        <w:numId w:val="8"/>
      </w:numPr>
      <w:spacing w:after="200" w:line="276" w:lineRule="auto"/>
    </w:pPr>
    <w:rPr>
      <w:rFonts w:asciiTheme="minorHAnsi" w:eastAsiaTheme="minorHAnsi" w:hAnsiTheme="minorHAnsi" w:cstheme="minorBidi"/>
      <w:sz w:val="22"/>
      <w:szCs w:val="22"/>
      <w:lang w:eastAsia="en-US"/>
    </w:rPr>
  </w:style>
  <w:style w:type="paragraph" w:customStyle="1" w:styleId="DoubleDot">
    <w:name w:val="Double Dot"/>
    <w:basedOn w:val="Normal"/>
    <w:rsid w:val="00A746D4"/>
    <w:pPr>
      <w:numPr>
        <w:ilvl w:val="2"/>
        <w:numId w:val="8"/>
      </w:numPr>
      <w:spacing w:after="200" w:line="276" w:lineRule="auto"/>
    </w:pPr>
    <w:rPr>
      <w:rFonts w:asciiTheme="minorHAnsi" w:eastAsiaTheme="minorHAnsi" w:hAnsiTheme="minorHAnsi" w:cstheme="minorBidi"/>
      <w:sz w:val="22"/>
      <w:szCs w:val="22"/>
      <w:lang w:eastAsia="en-US"/>
    </w:rPr>
  </w:style>
  <w:style w:type="paragraph" w:styleId="Revision">
    <w:name w:val="Revision"/>
    <w:hidden/>
    <w:uiPriority w:val="99"/>
    <w:semiHidden/>
    <w:rsid w:val="00BE76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09170">
      <w:bodyDiv w:val="1"/>
      <w:marLeft w:val="0"/>
      <w:marRight w:val="0"/>
      <w:marTop w:val="0"/>
      <w:marBottom w:val="0"/>
      <w:divBdr>
        <w:top w:val="none" w:sz="0" w:space="0" w:color="auto"/>
        <w:left w:val="none" w:sz="0" w:space="0" w:color="auto"/>
        <w:bottom w:val="none" w:sz="0" w:space="0" w:color="auto"/>
        <w:right w:val="none" w:sz="0" w:space="0" w:color="auto"/>
      </w:divBdr>
    </w:div>
    <w:div w:id="274216971">
      <w:bodyDiv w:val="1"/>
      <w:marLeft w:val="0"/>
      <w:marRight w:val="0"/>
      <w:marTop w:val="0"/>
      <w:marBottom w:val="0"/>
      <w:divBdr>
        <w:top w:val="none" w:sz="0" w:space="0" w:color="auto"/>
        <w:left w:val="none" w:sz="0" w:space="0" w:color="auto"/>
        <w:bottom w:val="none" w:sz="0" w:space="0" w:color="auto"/>
        <w:right w:val="none" w:sz="0" w:space="0" w:color="auto"/>
      </w:divBdr>
    </w:div>
    <w:div w:id="538320064">
      <w:bodyDiv w:val="1"/>
      <w:marLeft w:val="0"/>
      <w:marRight w:val="0"/>
      <w:marTop w:val="0"/>
      <w:marBottom w:val="0"/>
      <w:divBdr>
        <w:top w:val="none" w:sz="0" w:space="0" w:color="auto"/>
        <w:left w:val="none" w:sz="0" w:space="0" w:color="auto"/>
        <w:bottom w:val="none" w:sz="0" w:space="0" w:color="auto"/>
        <w:right w:val="none" w:sz="0" w:space="0" w:color="auto"/>
      </w:divBdr>
    </w:div>
    <w:div w:id="583342808">
      <w:bodyDiv w:val="1"/>
      <w:marLeft w:val="0"/>
      <w:marRight w:val="0"/>
      <w:marTop w:val="0"/>
      <w:marBottom w:val="0"/>
      <w:divBdr>
        <w:top w:val="none" w:sz="0" w:space="0" w:color="auto"/>
        <w:left w:val="none" w:sz="0" w:space="0" w:color="auto"/>
        <w:bottom w:val="none" w:sz="0" w:space="0" w:color="auto"/>
        <w:right w:val="none" w:sz="0" w:space="0" w:color="auto"/>
      </w:divBdr>
    </w:div>
    <w:div w:id="623921994">
      <w:bodyDiv w:val="1"/>
      <w:marLeft w:val="0"/>
      <w:marRight w:val="0"/>
      <w:marTop w:val="0"/>
      <w:marBottom w:val="0"/>
      <w:divBdr>
        <w:top w:val="none" w:sz="0" w:space="0" w:color="auto"/>
        <w:left w:val="none" w:sz="0" w:space="0" w:color="auto"/>
        <w:bottom w:val="none" w:sz="0" w:space="0" w:color="auto"/>
        <w:right w:val="none" w:sz="0" w:space="0" w:color="auto"/>
      </w:divBdr>
    </w:div>
    <w:div w:id="631980872">
      <w:bodyDiv w:val="1"/>
      <w:marLeft w:val="0"/>
      <w:marRight w:val="0"/>
      <w:marTop w:val="0"/>
      <w:marBottom w:val="0"/>
      <w:divBdr>
        <w:top w:val="none" w:sz="0" w:space="0" w:color="auto"/>
        <w:left w:val="none" w:sz="0" w:space="0" w:color="auto"/>
        <w:bottom w:val="none" w:sz="0" w:space="0" w:color="auto"/>
        <w:right w:val="none" w:sz="0" w:space="0" w:color="auto"/>
      </w:divBdr>
    </w:div>
    <w:div w:id="661078983">
      <w:bodyDiv w:val="1"/>
      <w:marLeft w:val="0"/>
      <w:marRight w:val="0"/>
      <w:marTop w:val="0"/>
      <w:marBottom w:val="0"/>
      <w:divBdr>
        <w:top w:val="none" w:sz="0" w:space="0" w:color="auto"/>
        <w:left w:val="none" w:sz="0" w:space="0" w:color="auto"/>
        <w:bottom w:val="none" w:sz="0" w:space="0" w:color="auto"/>
        <w:right w:val="none" w:sz="0" w:space="0" w:color="auto"/>
      </w:divBdr>
    </w:div>
    <w:div w:id="744378967">
      <w:bodyDiv w:val="1"/>
      <w:marLeft w:val="0"/>
      <w:marRight w:val="0"/>
      <w:marTop w:val="0"/>
      <w:marBottom w:val="0"/>
      <w:divBdr>
        <w:top w:val="none" w:sz="0" w:space="0" w:color="auto"/>
        <w:left w:val="none" w:sz="0" w:space="0" w:color="auto"/>
        <w:bottom w:val="none" w:sz="0" w:space="0" w:color="auto"/>
        <w:right w:val="none" w:sz="0" w:space="0" w:color="auto"/>
      </w:divBdr>
    </w:div>
    <w:div w:id="745959690">
      <w:bodyDiv w:val="1"/>
      <w:marLeft w:val="0"/>
      <w:marRight w:val="0"/>
      <w:marTop w:val="0"/>
      <w:marBottom w:val="0"/>
      <w:divBdr>
        <w:top w:val="none" w:sz="0" w:space="0" w:color="auto"/>
        <w:left w:val="none" w:sz="0" w:space="0" w:color="auto"/>
        <w:bottom w:val="none" w:sz="0" w:space="0" w:color="auto"/>
        <w:right w:val="none" w:sz="0" w:space="0" w:color="auto"/>
      </w:divBdr>
    </w:div>
    <w:div w:id="819465394">
      <w:bodyDiv w:val="1"/>
      <w:marLeft w:val="0"/>
      <w:marRight w:val="0"/>
      <w:marTop w:val="0"/>
      <w:marBottom w:val="0"/>
      <w:divBdr>
        <w:top w:val="none" w:sz="0" w:space="0" w:color="auto"/>
        <w:left w:val="none" w:sz="0" w:space="0" w:color="auto"/>
        <w:bottom w:val="none" w:sz="0" w:space="0" w:color="auto"/>
        <w:right w:val="none" w:sz="0" w:space="0" w:color="auto"/>
      </w:divBdr>
    </w:div>
    <w:div w:id="883254637">
      <w:bodyDiv w:val="1"/>
      <w:marLeft w:val="0"/>
      <w:marRight w:val="0"/>
      <w:marTop w:val="96"/>
      <w:marBottom w:val="0"/>
      <w:divBdr>
        <w:top w:val="none" w:sz="0" w:space="0" w:color="auto"/>
        <w:left w:val="none" w:sz="0" w:space="0" w:color="auto"/>
        <w:bottom w:val="none" w:sz="0" w:space="0" w:color="auto"/>
        <w:right w:val="none" w:sz="0" w:space="0" w:color="auto"/>
      </w:divBdr>
      <w:divsChild>
        <w:div w:id="1032224578">
          <w:marLeft w:val="0"/>
          <w:marRight w:val="0"/>
          <w:marTop w:val="0"/>
          <w:marBottom w:val="0"/>
          <w:divBdr>
            <w:top w:val="none" w:sz="0" w:space="0" w:color="auto"/>
            <w:left w:val="none" w:sz="0" w:space="0" w:color="auto"/>
            <w:bottom w:val="none" w:sz="0" w:space="0" w:color="auto"/>
            <w:right w:val="none" w:sz="0" w:space="0" w:color="auto"/>
          </w:divBdr>
          <w:divsChild>
            <w:div w:id="953097066">
              <w:marLeft w:val="0"/>
              <w:marRight w:val="0"/>
              <w:marTop w:val="780"/>
              <w:marBottom w:val="0"/>
              <w:divBdr>
                <w:top w:val="none" w:sz="0" w:space="0" w:color="auto"/>
                <w:left w:val="none" w:sz="0" w:space="0" w:color="auto"/>
                <w:bottom w:val="none" w:sz="0" w:space="0" w:color="auto"/>
                <w:right w:val="none" w:sz="0" w:space="0" w:color="auto"/>
              </w:divBdr>
              <w:divsChild>
                <w:div w:id="2000765708">
                  <w:marLeft w:val="0"/>
                  <w:marRight w:val="0"/>
                  <w:marTop w:val="0"/>
                  <w:marBottom w:val="0"/>
                  <w:divBdr>
                    <w:top w:val="none" w:sz="0" w:space="0" w:color="auto"/>
                    <w:left w:val="none" w:sz="0" w:space="0" w:color="auto"/>
                    <w:bottom w:val="none" w:sz="0" w:space="0" w:color="auto"/>
                    <w:right w:val="none" w:sz="0" w:space="0" w:color="auto"/>
                  </w:divBdr>
                  <w:divsChild>
                    <w:div w:id="1985693554">
                      <w:marLeft w:val="0"/>
                      <w:marRight w:val="0"/>
                      <w:marTop w:val="0"/>
                      <w:marBottom w:val="0"/>
                      <w:divBdr>
                        <w:top w:val="none" w:sz="0" w:space="0" w:color="auto"/>
                        <w:left w:val="none" w:sz="0" w:space="0" w:color="auto"/>
                        <w:bottom w:val="none" w:sz="0" w:space="0" w:color="auto"/>
                        <w:right w:val="none" w:sz="0" w:space="0" w:color="auto"/>
                      </w:divBdr>
                      <w:divsChild>
                        <w:div w:id="748305942">
                          <w:marLeft w:val="0"/>
                          <w:marRight w:val="0"/>
                          <w:marTop w:val="0"/>
                          <w:marBottom w:val="0"/>
                          <w:divBdr>
                            <w:top w:val="none" w:sz="0" w:space="0" w:color="auto"/>
                            <w:left w:val="none" w:sz="0" w:space="0" w:color="auto"/>
                            <w:bottom w:val="none" w:sz="0" w:space="0" w:color="auto"/>
                            <w:right w:val="none" w:sz="0" w:space="0" w:color="auto"/>
                          </w:divBdr>
                          <w:divsChild>
                            <w:div w:id="1056392998">
                              <w:marLeft w:val="0"/>
                              <w:marRight w:val="0"/>
                              <w:marTop w:val="0"/>
                              <w:marBottom w:val="0"/>
                              <w:divBdr>
                                <w:top w:val="none" w:sz="0" w:space="0" w:color="auto"/>
                                <w:left w:val="none" w:sz="0" w:space="0" w:color="auto"/>
                                <w:bottom w:val="none" w:sz="0" w:space="0" w:color="auto"/>
                                <w:right w:val="none" w:sz="0" w:space="0" w:color="auto"/>
                              </w:divBdr>
                              <w:divsChild>
                                <w:div w:id="3540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361948">
      <w:bodyDiv w:val="1"/>
      <w:marLeft w:val="0"/>
      <w:marRight w:val="0"/>
      <w:marTop w:val="0"/>
      <w:marBottom w:val="0"/>
      <w:divBdr>
        <w:top w:val="none" w:sz="0" w:space="0" w:color="auto"/>
        <w:left w:val="none" w:sz="0" w:space="0" w:color="auto"/>
        <w:bottom w:val="none" w:sz="0" w:space="0" w:color="auto"/>
        <w:right w:val="none" w:sz="0" w:space="0" w:color="auto"/>
      </w:divBdr>
    </w:div>
    <w:div w:id="918172052">
      <w:bodyDiv w:val="1"/>
      <w:marLeft w:val="0"/>
      <w:marRight w:val="0"/>
      <w:marTop w:val="0"/>
      <w:marBottom w:val="0"/>
      <w:divBdr>
        <w:top w:val="none" w:sz="0" w:space="0" w:color="auto"/>
        <w:left w:val="none" w:sz="0" w:space="0" w:color="auto"/>
        <w:bottom w:val="none" w:sz="0" w:space="0" w:color="auto"/>
        <w:right w:val="none" w:sz="0" w:space="0" w:color="auto"/>
      </w:divBdr>
    </w:div>
    <w:div w:id="991720435">
      <w:bodyDiv w:val="1"/>
      <w:marLeft w:val="0"/>
      <w:marRight w:val="0"/>
      <w:marTop w:val="0"/>
      <w:marBottom w:val="0"/>
      <w:divBdr>
        <w:top w:val="none" w:sz="0" w:space="0" w:color="auto"/>
        <w:left w:val="none" w:sz="0" w:space="0" w:color="auto"/>
        <w:bottom w:val="none" w:sz="0" w:space="0" w:color="auto"/>
        <w:right w:val="none" w:sz="0" w:space="0" w:color="auto"/>
      </w:divBdr>
    </w:div>
    <w:div w:id="1078483141">
      <w:bodyDiv w:val="1"/>
      <w:marLeft w:val="0"/>
      <w:marRight w:val="0"/>
      <w:marTop w:val="0"/>
      <w:marBottom w:val="0"/>
      <w:divBdr>
        <w:top w:val="none" w:sz="0" w:space="0" w:color="auto"/>
        <w:left w:val="none" w:sz="0" w:space="0" w:color="auto"/>
        <w:bottom w:val="none" w:sz="0" w:space="0" w:color="auto"/>
        <w:right w:val="none" w:sz="0" w:space="0" w:color="auto"/>
      </w:divBdr>
    </w:div>
    <w:div w:id="1222248347">
      <w:bodyDiv w:val="1"/>
      <w:marLeft w:val="0"/>
      <w:marRight w:val="0"/>
      <w:marTop w:val="0"/>
      <w:marBottom w:val="0"/>
      <w:divBdr>
        <w:top w:val="none" w:sz="0" w:space="0" w:color="auto"/>
        <w:left w:val="none" w:sz="0" w:space="0" w:color="auto"/>
        <w:bottom w:val="none" w:sz="0" w:space="0" w:color="auto"/>
        <w:right w:val="none" w:sz="0" w:space="0" w:color="auto"/>
      </w:divBdr>
    </w:div>
    <w:div w:id="1280718653">
      <w:bodyDiv w:val="1"/>
      <w:marLeft w:val="0"/>
      <w:marRight w:val="0"/>
      <w:marTop w:val="0"/>
      <w:marBottom w:val="0"/>
      <w:divBdr>
        <w:top w:val="none" w:sz="0" w:space="0" w:color="auto"/>
        <w:left w:val="none" w:sz="0" w:space="0" w:color="auto"/>
        <w:bottom w:val="none" w:sz="0" w:space="0" w:color="auto"/>
        <w:right w:val="none" w:sz="0" w:space="0" w:color="auto"/>
      </w:divBdr>
    </w:div>
    <w:div w:id="1594512248">
      <w:bodyDiv w:val="1"/>
      <w:marLeft w:val="0"/>
      <w:marRight w:val="0"/>
      <w:marTop w:val="0"/>
      <w:marBottom w:val="0"/>
      <w:divBdr>
        <w:top w:val="none" w:sz="0" w:space="0" w:color="auto"/>
        <w:left w:val="none" w:sz="0" w:space="0" w:color="auto"/>
        <w:bottom w:val="none" w:sz="0" w:space="0" w:color="auto"/>
        <w:right w:val="none" w:sz="0" w:space="0" w:color="auto"/>
      </w:divBdr>
    </w:div>
    <w:div w:id="1600479829">
      <w:bodyDiv w:val="1"/>
      <w:marLeft w:val="0"/>
      <w:marRight w:val="0"/>
      <w:marTop w:val="0"/>
      <w:marBottom w:val="0"/>
      <w:divBdr>
        <w:top w:val="none" w:sz="0" w:space="0" w:color="auto"/>
        <w:left w:val="none" w:sz="0" w:space="0" w:color="auto"/>
        <w:bottom w:val="none" w:sz="0" w:space="0" w:color="auto"/>
        <w:right w:val="none" w:sz="0" w:space="0" w:color="auto"/>
      </w:divBdr>
    </w:div>
    <w:div w:id="1740055663">
      <w:bodyDiv w:val="1"/>
      <w:marLeft w:val="0"/>
      <w:marRight w:val="0"/>
      <w:marTop w:val="0"/>
      <w:marBottom w:val="0"/>
      <w:divBdr>
        <w:top w:val="none" w:sz="0" w:space="0" w:color="auto"/>
        <w:left w:val="none" w:sz="0" w:space="0" w:color="auto"/>
        <w:bottom w:val="none" w:sz="0" w:space="0" w:color="auto"/>
        <w:right w:val="none" w:sz="0" w:space="0" w:color="auto"/>
      </w:divBdr>
    </w:div>
    <w:div w:id="196326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yperlink" Target="http://www.employment.gov.au/calculating-department-employments-leading-indicator-employment" TargetMode="External"/><Relationship Id="rId3" Type="http://schemas.openxmlformats.org/officeDocument/2006/relationships/styles" Target="styles.xml"/><Relationship Id="rId21" Type="http://schemas.openxmlformats.org/officeDocument/2006/relationships/hyperlink" Target="http://www.stanford.edu/~arjunw/LaggedDVs.pdf"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http://www.employment.gov.au/calculating-department-employments-leading-indicator-employment" TargetMode="Externa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yperlink" Target="mailto:greg.connolly@employment.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mailto:greg.connolly@employment.gov.a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en.wikipedia.org/wiki/Succinctness" TargetMode="External"/><Relationship Id="rId2" Type="http://schemas.openxmlformats.org/officeDocument/2006/relationships/hyperlink" Target="http://en.wikipedia.org/wiki/Occam%27s_razor" TargetMode="External"/><Relationship Id="rId1" Type="http://schemas.openxmlformats.org/officeDocument/2006/relationships/hyperlink" Target="mailto:greg.connolly@employment.gov.au" TargetMode="External"/><Relationship Id="rId4" Type="http://schemas.openxmlformats.org/officeDocument/2006/relationships/hyperlink" Target="http://en.wikipedia.org/wiki/William_of_Ockh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3CF39-381F-4321-896E-950ECDA0C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75860685.dotm</Template>
  <TotalTime>980</TotalTime>
  <Pages>33</Pages>
  <Words>10577</Words>
  <Characters>60291</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70727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Connolly</dc:creator>
  <cp:lastModifiedBy>Declan Trott</cp:lastModifiedBy>
  <cp:revision>16</cp:revision>
  <cp:lastPrinted>2014-10-10T00:36:00Z</cp:lastPrinted>
  <dcterms:created xsi:type="dcterms:W3CDTF">2015-01-08T03:41:00Z</dcterms:created>
  <dcterms:modified xsi:type="dcterms:W3CDTF">2015-01-13T04:52:00Z</dcterms:modified>
</cp:coreProperties>
</file>