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7A" w:rsidRPr="00DD7CC1" w:rsidRDefault="00E9027A" w:rsidP="007F3983">
      <w:pPr>
        <w:pStyle w:val="Department"/>
        <w:spacing w:before="1320"/>
      </w:pPr>
      <w:bookmarkStart w:id="0" w:name="_Toc190766151"/>
      <w:r w:rsidRPr="00DD7CC1">
        <w:t>Office of the Fair Work Building Industry Inspectorate</w:t>
      </w:r>
    </w:p>
    <w:p w:rsidR="00ED6081" w:rsidRDefault="00ED6081" w:rsidP="00ED6081">
      <w:pPr>
        <w:pStyle w:val="DepartmentSubtitle"/>
        <w:spacing w:before="2080"/>
      </w:pPr>
      <w:r>
        <w:t>Entity resources and planned performance</w:t>
      </w:r>
    </w:p>
    <w:p w:rsidR="00F64B73" w:rsidRDefault="00F64B73" w:rsidP="00F64B73">
      <w:pPr>
        <w:pStyle w:val="ContentsHeading"/>
        <w:jc w:val="left"/>
      </w:pPr>
    </w:p>
    <w:p w:rsidR="00DD7CC1" w:rsidRPr="00DD7CC1" w:rsidRDefault="00DD7CC1" w:rsidP="00DD7CC1">
      <w:pPr>
        <w:sectPr w:rsidR="00DD7CC1" w:rsidRPr="00DD7CC1" w:rsidSect="00DD7CC1">
          <w:footerReference w:type="even" r:id="rId14"/>
          <w:footerReference w:type="default" r:id="rId15"/>
          <w:type w:val="oddPage"/>
          <w:pgSz w:w="9979" w:h="14175" w:code="259"/>
          <w:pgMar w:top="1418" w:right="1418" w:bottom="1418" w:left="1418" w:header="680" w:footer="1418" w:gutter="0"/>
          <w:cols w:space="708"/>
          <w:titlePg/>
          <w:docGrid w:linePitch="360"/>
        </w:sectPr>
      </w:pPr>
    </w:p>
    <w:p w:rsidR="00E9027A" w:rsidRPr="00F64B73" w:rsidRDefault="00E9027A" w:rsidP="00F64B73">
      <w:pPr>
        <w:pStyle w:val="ContentsHeading"/>
      </w:pPr>
      <w:r w:rsidRPr="00F64B73">
        <w:lastRenderedPageBreak/>
        <w:t>Office of the Fair Work Building Industry Inspectorate</w:t>
      </w:r>
    </w:p>
    <w:p w:rsidR="00E9027A" w:rsidRPr="00AA2983" w:rsidRDefault="00E9027A" w:rsidP="00560562">
      <w:pPr>
        <w:pStyle w:val="TOC3"/>
        <w:rPr>
          <w:rFonts w:cs="Arial"/>
          <w:b w:val="0"/>
          <w:noProof/>
          <w:sz w:val="24"/>
          <w:szCs w:val="24"/>
        </w:rPr>
      </w:pPr>
      <w:r w:rsidRPr="00AA2983">
        <w:rPr>
          <w:rFonts w:cs="Arial"/>
          <w:noProof/>
        </w:rPr>
        <w:t xml:space="preserve">Section 1: </w:t>
      </w:r>
      <w:r w:rsidR="00EF1185">
        <w:rPr>
          <w:rFonts w:cs="Arial"/>
          <w:noProof/>
        </w:rPr>
        <w:t>Entity</w:t>
      </w:r>
      <w:r w:rsidRPr="00AA2983">
        <w:rPr>
          <w:rFonts w:cs="Arial"/>
          <w:noProof/>
        </w:rPr>
        <w:t xml:space="preserve"> overview and resources</w:t>
      </w:r>
      <w:r w:rsidRPr="00AA2983">
        <w:rPr>
          <w:rFonts w:cs="Arial"/>
          <w:noProof/>
        </w:rPr>
        <w:tab/>
      </w:r>
      <w:r w:rsidR="00E90AEC">
        <w:rPr>
          <w:rFonts w:cs="Arial"/>
          <w:noProof/>
        </w:rPr>
        <w:t>18</w:t>
      </w:r>
      <w:r w:rsidR="00EF1185">
        <w:rPr>
          <w:rFonts w:cs="Arial"/>
          <w:noProof/>
        </w:rPr>
        <w:t>5</w:t>
      </w:r>
    </w:p>
    <w:p w:rsidR="00E9027A" w:rsidRPr="00AA2983" w:rsidRDefault="00E9027A" w:rsidP="00560562">
      <w:pPr>
        <w:pStyle w:val="TOC4"/>
        <w:tabs>
          <w:tab w:val="left" w:pos="800"/>
        </w:tabs>
        <w:rPr>
          <w:rFonts w:cs="Arial"/>
          <w:noProof/>
          <w:sz w:val="24"/>
          <w:szCs w:val="24"/>
        </w:rPr>
      </w:pPr>
      <w:r w:rsidRPr="00AA2983">
        <w:rPr>
          <w:rFonts w:cs="Arial"/>
          <w:noProof/>
        </w:rPr>
        <w:t>1.1</w:t>
      </w:r>
      <w:r w:rsidRPr="00AA2983">
        <w:rPr>
          <w:rFonts w:cs="Arial"/>
          <w:noProof/>
          <w:sz w:val="24"/>
          <w:szCs w:val="24"/>
        </w:rPr>
        <w:tab/>
      </w:r>
      <w:r w:rsidRPr="00AA2983">
        <w:rPr>
          <w:rFonts w:cs="Arial"/>
          <w:noProof/>
        </w:rPr>
        <w:t>Strategic direction</w:t>
      </w:r>
      <w:r w:rsidR="00E90AEC">
        <w:rPr>
          <w:rFonts w:cs="Arial"/>
          <w:noProof/>
        </w:rPr>
        <w:t xml:space="preserve"> statement</w:t>
      </w:r>
      <w:r w:rsidR="00E90AEC">
        <w:rPr>
          <w:rFonts w:cs="Arial"/>
          <w:noProof/>
        </w:rPr>
        <w:tab/>
        <w:t>18</w:t>
      </w:r>
      <w:r w:rsidR="00EF1185">
        <w:rPr>
          <w:rFonts w:cs="Arial"/>
          <w:noProof/>
        </w:rPr>
        <w:t>5</w:t>
      </w:r>
    </w:p>
    <w:p w:rsidR="00E9027A" w:rsidRPr="00AA2983" w:rsidRDefault="00E9027A" w:rsidP="00560562">
      <w:pPr>
        <w:pStyle w:val="TOC4"/>
        <w:tabs>
          <w:tab w:val="left" w:pos="800"/>
        </w:tabs>
        <w:rPr>
          <w:rFonts w:cs="Arial"/>
          <w:noProof/>
          <w:sz w:val="24"/>
          <w:szCs w:val="24"/>
        </w:rPr>
      </w:pPr>
      <w:r w:rsidRPr="00AA2983">
        <w:rPr>
          <w:rFonts w:cs="Arial"/>
          <w:noProof/>
        </w:rPr>
        <w:t>1.2</w:t>
      </w:r>
      <w:r w:rsidRPr="00AA2983">
        <w:rPr>
          <w:rFonts w:cs="Arial"/>
          <w:noProof/>
          <w:sz w:val="24"/>
          <w:szCs w:val="24"/>
        </w:rPr>
        <w:tab/>
      </w:r>
      <w:r w:rsidR="00EF1185">
        <w:rPr>
          <w:rFonts w:cs="Arial"/>
          <w:noProof/>
        </w:rPr>
        <w:t>Entity</w:t>
      </w:r>
      <w:r>
        <w:rPr>
          <w:rFonts w:cs="Arial"/>
          <w:noProof/>
        </w:rPr>
        <w:t xml:space="preserve"> resource statement</w:t>
      </w:r>
      <w:r>
        <w:rPr>
          <w:rFonts w:cs="Arial"/>
          <w:noProof/>
        </w:rPr>
        <w:tab/>
        <w:t>1</w:t>
      </w:r>
      <w:r w:rsidR="00E90AEC">
        <w:rPr>
          <w:rFonts w:cs="Arial"/>
          <w:noProof/>
        </w:rPr>
        <w:t>8</w:t>
      </w:r>
      <w:r w:rsidR="00EF1185">
        <w:rPr>
          <w:rFonts w:cs="Arial"/>
          <w:noProof/>
        </w:rPr>
        <w:t>6</w:t>
      </w:r>
    </w:p>
    <w:p w:rsidR="00E9027A" w:rsidRPr="00AA2983" w:rsidRDefault="00E9027A" w:rsidP="00560562">
      <w:pPr>
        <w:pStyle w:val="TOC4"/>
        <w:tabs>
          <w:tab w:val="left" w:pos="800"/>
        </w:tabs>
        <w:rPr>
          <w:rFonts w:cs="Arial"/>
          <w:noProof/>
        </w:rPr>
      </w:pPr>
      <w:r w:rsidRPr="00AA2983">
        <w:rPr>
          <w:rFonts w:cs="Arial"/>
          <w:noProof/>
        </w:rPr>
        <w:t>1.3</w:t>
      </w:r>
      <w:r w:rsidRPr="00AA2983">
        <w:rPr>
          <w:rFonts w:cs="Arial"/>
          <w:noProof/>
          <w:sz w:val="24"/>
          <w:szCs w:val="24"/>
        </w:rPr>
        <w:tab/>
      </w:r>
      <w:r w:rsidR="00EF1185">
        <w:rPr>
          <w:rFonts w:cs="Arial"/>
          <w:noProof/>
        </w:rPr>
        <w:t>Budget measures</w:t>
      </w:r>
      <w:r w:rsidR="00EF1185">
        <w:rPr>
          <w:rFonts w:cs="Arial"/>
          <w:noProof/>
        </w:rPr>
        <w:tab/>
        <w:t>188</w:t>
      </w:r>
    </w:p>
    <w:p w:rsidR="00E9027A" w:rsidRPr="00AA2983" w:rsidRDefault="00E9027A" w:rsidP="00560562">
      <w:pPr>
        <w:pStyle w:val="TOC3"/>
        <w:rPr>
          <w:rFonts w:cs="Arial"/>
          <w:b w:val="0"/>
          <w:noProof/>
          <w:sz w:val="24"/>
          <w:szCs w:val="24"/>
        </w:rPr>
      </w:pPr>
      <w:r w:rsidRPr="00AA2983">
        <w:rPr>
          <w:rFonts w:cs="Arial"/>
          <w:noProof/>
        </w:rPr>
        <w:t>Section 2: Out</w:t>
      </w:r>
      <w:r>
        <w:rPr>
          <w:rFonts w:cs="Arial"/>
          <w:noProof/>
        </w:rPr>
        <w:t>c</w:t>
      </w:r>
      <w:r w:rsidR="00EF1185">
        <w:rPr>
          <w:rFonts w:cs="Arial"/>
          <w:noProof/>
        </w:rPr>
        <w:t>omes and planned performance</w:t>
      </w:r>
      <w:r w:rsidR="00EF1185">
        <w:rPr>
          <w:rFonts w:cs="Arial"/>
          <w:noProof/>
        </w:rPr>
        <w:tab/>
        <w:t>189</w:t>
      </w:r>
    </w:p>
    <w:p w:rsidR="00E9027A" w:rsidRPr="00AA2983" w:rsidRDefault="00E9027A" w:rsidP="00560562">
      <w:pPr>
        <w:pStyle w:val="TOC4"/>
        <w:tabs>
          <w:tab w:val="left" w:pos="800"/>
        </w:tabs>
        <w:rPr>
          <w:rFonts w:cs="Arial"/>
          <w:noProof/>
          <w:sz w:val="24"/>
          <w:szCs w:val="24"/>
        </w:rPr>
      </w:pPr>
      <w:r w:rsidRPr="00AA2983">
        <w:rPr>
          <w:rFonts w:cs="Arial"/>
          <w:noProof/>
        </w:rPr>
        <w:t>2.1</w:t>
      </w:r>
      <w:r w:rsidRPr="00AA2983">
        <w:rPr>
          <w:rFonts w:cs="Arial"/>
          <w:noProof/>
          <w:sz w:val="24"/>
          <w:szCs w:val="24"/>
        </w:rPr>
        <w:tab/>
      </w:r>
      <w:r w:rsidRPr="00AA2983">
        <w:rPr>
          <w:rFonts w:cs="Arial"/>
          <w:noProof/>
        </w:rPr>
        <w:t>Outcome</w:t>
      </w:r>
      <w:r>
        <w:rPr>
          <w:rFonts w:cs="Arial"/>
          <w:noProof/>
        </w:rPr>
        <w:t>s</w:t>
      </w:r>
      <w:r w:rsidR="00EF1185">
        <w:rPr>
          <w:rFonts w:cs="Arial"/>
          <w:noProof/>
        </w:rPr>
        <w:t xml:space="preserve"> and performance information</w:t>
      </w:r>
      <w:r w:rsidR="00EF1185">
        <w:rPr>
          <w:rFonts w:cs="Arial"/>
          <w:noProof/>
        </w:rPr>
        <w:tab/>
        <w:t>189</w:t>
      </w:r>
    </w:p>
    <w:p w:rsidR="00E9027A" w:rsidRPr="00AA2983" w:rsidRDefault="00E9027A" w:rsidP="00560562">
      <w:pPr>
        <w:pStyle w:val="TOC3"/>
        <w:rPr>
          <w:rFonts w:cs="Arial"/>
          <w:b w:val="0"/>
          <w:noProof/>
          <w:sz w:val="24"/>
          <w:szCs w:val="24"/>
        </w:rPr>
      </w:pPr>
      <w:r w:rsidRPr="00AA2983">
        <w:rPr>
          <w:rFonts w:cs="Arial"/>
          <w:noProof/>
        </w:rPr>
        <w:t xml:space="preserve">Section 3: Explanatory tables and </w:t>
      </w:r>
      <w:r>
        <w:rPr>
          <w:rFonts w:cs="Arial"/>
          <w:noProof/>
        </w:rPr>
        <w:t>budgeted financial st</w:t>
      </w:r>
      <w:r w:rsidR="00EF1185">
        <w:rPr>
          <w:rFonts w:cs="Arial"/>
          <w:noProof/>
        </w:rPr>
        <w:t>atements</w:t>
      </w:r>
      <w:r w:rsidR="00EF1185">
        <w:rPr>
          <w:rFonts w:cs="Arial"/>
          <w:noProof/>
        </w:rPr>
        <w:tab/>
        <w:t>193</w:t>
      </w:r>
    </w:p>
    <w:p w:rsidR="00E9027A" w:rsidRPr="00AA2983" w:rsidRDefault="00E9027A" w:rsidP="00560562">
      <w:pPr>
        <w:pStyle w:val="TOC4"/>
        <w:tabs>
          <w:tab w:val="left" w:pos="800"/>
        </w:tabs>
        <w:rPr>
          <w:rFonts w:cs="Arial"/>
          <w:noProof/>
        </w:rPr>
      </w:pPr>
      <w:r w:rsidRPr="00AA2983">
        <w:rPr>
          <w:rFonts w:cs="Arial"/>
          <w:noProof/>
        </w:rPr>
        <w:t>3.1</w:t>
      </w:r>
      <w:r w:rsidRPr="00AA2983">
        <w:rPr>
          <w:rFonts w:cs="Arial"/>
          <w:noProof/>
          <w:sz w:val="24"/>
          <w:szCs w:val="24"/>
        </w:rPr>
        <w:tab/>
      </w:r>
      <w:r w:rsidR="00EF1185">
        <w:rPr>
          <w:rFonts w:cs="Arial"/>
          <w:noProof/>
        </w:rPr>
        <w:t>Explanatory tables</w:t>
      </w:r>
      <w:r w:rsidR="00EF1185">
        <w:rPr>
          <w:rFonts w:cs="Arial"/>
          <w:noProof/>
        </w:rPr>
        <w:tab/>
        <w:t>193</w:t>
      </w:r>
    </w:p>
    <w:p w:rsidR="00E9027A" w:rsidRPr="00AA2983" w:rsidRDefault="00E9027A" w:rsidP="00560562">
      <w:pPr>
        <w:pStyle w:val="TOC4"/>
        <w:tabs>
          <w:tab w:val="left" w:pos="800"/>
        </w:tabs>
        <w:rPr>
          <w:rFonts w:cs="Arial"/>
          <w:noProof/>
        </w:rPr>
      </w:pPr>
      <w:r w:rsidRPr="00AA2983">
        <w:rPr>
          <w:rFonts w:cs="Arial"/>
          <w:noProof/>
        </w:rPr>
        <w:t>3.2</w:t>
      </w:r>
      <w:r w:rsidRPr="00AA2983">
        <w:rPr>
          <w:rFonts w:cs="Arial"/>
          <w:noProof/>
          <w:sz w:val="24"/>
          <w:szCs w:val="24"/>
        </w:rPr>
        <w:tab/>
      </w:r>
      <w:r w:rsidRPr="00AA2983">
        <w:rPr>
          <w:rFonts w:cs="Arial"/>
          <w:noProof/>
        </w:rPr>
        <w:t xml:space="preserve">Budgeted </w:t>
      </w:r>
      <w:r>
        <w:rPr>
          <w:rFonts w:cs="Arial"/>
          <w:noProof/>
        </w:rPr>
        <w:t>f</w:t>
      </w:r>
      <w:r w:rsidRPr="00AA2983">
        <w:rPr>
          <w:rFonts w:cs="Arial"/>
          <w:noProof/>
        </w:rPr>
        <w:t xml:space="preserve">inancial </w:t>
      </w:r>
      <w:r w:rsidR="00EF1185">
        <w:rPr>
          <w:rFonts w:cs="Arial"/>
          <w:noProof/>
        </w:rPr>
        <w:t>statements</w:t>
      </w:r>
      <w:r w:rsidR="00EF1185">
        <w:rPr>
          <w:rFonts w:cs="Arial"/>
          <w:noProof/>
        </w:rPr>
        <w:tab/>
        <w:t>193</w:t>
      </w:r>
    </w:p>
    <w:p w:rsidR="00F64B73" w:rsidRDefault="00F64B73" w:rsidP="00F64B73">
      <w:pPr>
        <w:pStyle w:val="Heading1"/>
        <w:jc w:val="left"/>
        <w:rPr>
          <w:rFonts w:cs="Arial"/>
        </w:rPr>
      </w:pPr>
    </w:p>
    <w:p w:rsidR="00F64B73" w:rsidRPr="00F64B73" w:rsidRDefault="00F64B73" w:rsidP="00F64B73">
      <w:pPr>
        <w:sectPr w:rsidR="00F64B73" w:rsidRPr="00F64B73" w:rsidSect="00AF26F8">
          <w:headerReference w:type="first" r:id="rId16"/>
          <w:footerReference w:type="first" r:id="rId17"/>
          <w:type w:val="oddPage"/>
          <w:pgSz w:w="9979" w:h="14175" w:code="259"/>
          <w:pgMar w:top="1418" w:right="1418" w:bottom="1418" w:left="1418" w:header="680" w:footer="1418" w:gutter="0"/>
          <w:pgNumType w:start="183"/>
          <w:cols w:space="708"/>
          <w:titlePg/>
          <w:docGrid w:linePitch="360"/>
        </w:sectPr>
      </w:pPr>
    </w:p>
    <w:p w:rsidR="00E9027A" w:rsidRPr="00F64B73" w:rsidRDefault="00E9027A" w:rsidP="00F64B73">
      <w:pPr>
        <w:pStyle w:val="Heading1"/>
      </w:pPr>
      <w:r w:rsidRPr="00F64B73">
        <w:lastRenderedPageBreak/>
        <w:t>Office of the Fair Work Building Industry Inspectorate</w:t>
      </w:r>
    </w:p>
    <w:p w:rsidR="00E9027A" w:rsidRPr="00AA2983" w:rsidRDefault="00E9027A" w:rsidP="00560562">
      <w:pPr>
        <w:pStyle w:val="Heading2"/>
        <w:rPr>
          <w:rFonts w:cs="Arial"/>
        </w:rPr>
      </w:pPr>
      <w:r w:rsidRPr="00AA2983">
        <w:rPr>
          <w:rFonts w:cs="Arial"/>
        </w:rPr>
        <w:t xml:space="preserve">Section 1: </w:t>
      </w:r>
      <w:r w:rsidR="00A20D02">
        <w:rPr>
          <w:rFonts w:cs="Arial"/>
        </w:rPr>
        <w:t>Entity</w:t>
      </w:r>
      <w:r w:rsidRPr="00AA2983">
        <w:rPr>
          <w:rFonts w:cs="Arial"/>
        </w:rPr>
        <w:t xml:space="preserve"> overview and resources</w:t>
      </w:r>
    </w:p>
    <w:p w:rsidR="00E9027A" w:rsidRPr="00AA2983" w:rsidRDefault="00E9027A" w:rsidP="002E1531">
      <w:pPr>
        <w:pStyle w:val="Heading3"/>
        <w:numPr>
          <w:ilvl w:val="1"/>
          <w:numId w:val="16"/>
        </w:numPr>
        <w:rPr>
          <w:rFonts w:cs="Arial"/>
        </w:rPr>
      </w:pPr>
      <w:r w:rsidRPr="00AA2983">
        <w:rPr>
          <w:rFonts w:cs="Arial"/>
        </w:rPr>
        <w:t>Strategic directio</w:t>
      </w:r>
      <w:r>
        <w:rPr>
          <w:rFonts w:cs="Arial"/>
        </w:rPr>
        <w:t>n statement</w:t>
      </w:r>
    </w:p>
    <w:p w:rsidR="00E9027A" w:rsidRPr="007619AD" w:rsidRDefault="00E9027A" w:rsidP="00560562">
      <w:r w:rsidRPr="007619AD">
        <w:t xml:space="preserve">The </w:t>
      </w:r>
      <w:r>
        <w:t xml:space="preserve">Office of the </w:t>
      </w:r>
      <w:r w:rsidRPr="007619AD">
        <w:t xml:space="preserve">Fair Work </w:t>
      </w:r>
      <w:r>
        <w:t>Building Industry Inspectorate</w:t>
      </w:r>
      <w:r w:rsidRPr="007619AD">
        <w:t xml:space="preserve"> </w:t>
      </w:r>
      <w:r>
        <w:t>(</w:t>
      </w:r>
      <w:proofErr w:type="spellStart"/>
      <w:r>
        <w:t>FWBII</w:t>
      </w:r>
      <w:proofErr w:type="spellEnd"/>
      <w:r>
        <w:t>) was established</w:t>
      </w:r>
      <w:r w:rsidRPr="007619AD">
        <w:t xml:space="preserve"> by the </w:t>
      </w:r>
      <w:r w:rsidRPr="007619AD">
        <w:rPr>
          <w:i/>
          <w:iCs/>
        </w:rPr>
        <w:t xml:space="preserve">Fair Work </w:t>
      </w:r>
      <w:r>
        <w:rPr>
          <w:i/>
          <w:iCs/>
        </w:rPr>
        <w:t xml:space="preserve">(Building Industry) </w:t>
      </w:r>
      <w:r w:rsidRPr="007619AD">
        <w:rPr>
          <w:i/>
          <w:iCs/>
        </w:rPr>
        <w:t>Act 20</w:t>
      </w:r>
      <w:r>
        <w:rPr>
          <w:i/>
          <w:iCs/>
        </w:rPr>
        <w:t>12</w:t>
      </w:r>
      <w:r>
        <w:t xml:space="preserve"> on 1 June 2012. </w:t>
      </w:r>
      <w:proofErr w:type="spellStart"/>
      <w:r>
        <w:t>FWBII</w:t>
      </w:r>
      <w:proofErr w:type="spellEnd"/>
      <w:r>
        <w:t xml:space="preserve"> began operations on 1 June 2012.</w:t>
      </w:r>
      <w:r w:rsidR="00FC1F17">
        <w:t xml:space="preserve"> It operates under the name Fair Work Building and Construction.</w:t>
      </w:r>
    </w:p>
    <w:p w:rsidR="00E9027A" w:rsidRPr="007619AD" w:rsidRDefault="00E9027A" w:rsidP="00560562">
      <w:r>
        <w:t xml:space="preserve">In respect of the building and construction industry, </w:t>
      </w:r>
      <w:proofErr w:type="spellStart"/>
      <w:r>
        <w:t>FWBII</w:t>
      </w:r>
      <w:proofErr w:type="spellEnd"/>
      <w:r>
        <w:t xml:space="preserve"> is primarily responsible for:</w:t>
      </w:r>
    </w:p>
    <w:p w:rsidR="00E9027A" w:rsidRPr="007619AD" w:rsidRDefault="00E9027A" w:rsidP="00E9027A">
      <w:pPr>
        <w:pStyle w:val="Bullets"/>
      </w:pPr>
      <w:r>
        <w:t>the provision of education, assistance and advice to industry participants regarding their rights and obligations</w:t>
      </w:r>
    </w:p>
    <w:p w:rsidR="00E9027A" w:rsidRPr="007619AD" w:rsidRDefault="00E9027A" w:rsidP="00E9027A">
      <w:pPr>
        <w:pStyle w:val="Bullets"/>
      </w:pPr>
      <w:r>
        <w:t>inquiring into and investigating alleged breaches of relevant workplace laws</w:t>
      </w:r>
    </w:p>
    <w:p w:rsidR="00E9027A" w:rsidRPr="00EC5A89" w:rsidRDefault="00E9027A" w:rsidP="00E9027A">
      <w:pPr>
        <w:pStyle w:val="Bullets"/>
      </w:pPr>
      <w:r w:rsidRPr="00EC5A89">
        <w:t>commencing civil penalty litigation, or making submissions to the Fair Work Commission, to enforce compliance by industry participants</w:t>
      </w:r>
    </w:p>
    <w:p w:rsidR="00E9027A" w:rsidRPr="00EC5A89" w:rsidRDefault="00E23015" w:rsidP="00E9027A">
      <w:pPr>
        <w:pStyle w:val="Bullets"/>
      </w:pPr>
      <w:r>
        <w:t xml:space="preserve">and </w:t>
      </w:r>
      <w:r w:rsidR="00E9027A" w:rsidRPr="00EC5A89">
        <w:t xml:space="preserve">referring matters to relevant authorities where appropriate </w:t>
      </w:r>
      <w:r w:rsidR="00FC1F17">
        <w:t xml:space="preserve">including </w:t>
      </w:r>
      <w:r w:rsidR="00E9027A" w:rsidRPr="00EC5A89">
        <w:t>in relation to:</w:t>
      </w:r>
    </w:p>
    <w:p w:rsidR="00E9027A" w:rsidRPr="00D17F80" w:rsidRDefault="00E9027A" w:rsidP="00E9027A">
      <w:pPr>
        <w:pStyle w:val="Dash"/>
        <w:spacing w:after="120"/>
        <w:rPr>
          <w:i/>
        </w:rPr>
      </w:pPr>
      <w:r w:rsidRPr="00D17F80">
        <w:rPr>
          <w:i/>
        </w:rPr>
        <w:t>Fair Work (Building Industry) Act 2012</w:t>
      </w:r>
    </w:p>
    <w:p w:rsidR="00E9027A" w:rsidRPr="00D17F80" w:rsidRDefault="00E9027A" w:rsidP="00E9027A">
      <w:pPr>
        <w:pStyle w:val="Dash"/>
        <w:spacing w:after="120"/>
        <w:rPr>
          <w:i/>
        </w:rPr>
      </w:pPr>
      <w:r w:rsidRPr="00D17F80">
        <w:rPr>
          <w:i/>
        </w:rPr>
        <w:t>Fair Work Act 2009, the</w:t>
      </w:r>
      <w:r w:rsidRPr="00D17F80">
        <w:t xml:space="preserve"> </w:t>
      </w:r>
      <w:r w:rsidRPr="00D17F80">
        <w:rPr>
          <w:i/>
        </w:rPr>
        <w:t xml:space="preserve">Fair Work (Transitional Provisions and Consequential Amendments) Act 2009 </w:t>
      </w:r>
      <w:r w:rsidRPr="00D17F80">
        <w:t xml:space="preserve">and </w:t>
      </w:r>
      <w:r w:rsidRPr="00D17F80">
        <w:rPr>
          <w:i/>
        </w:rPr>
        <w:t>the Independent Contractors Act 2006</w:t>
      </w:r>
    </w:p>
    <w:p w:rsidR="00E9027A" w:rsidRDefault="00E9027A" w:rsidP="00E9027A">
      <w:pPr>
        <w:pStyle w:val="Dash"/>
        <w:spacing w:after="120"/>
      </w:pPr>
      <w:r w:rsidRPr="00EC5A89">
        <w:t>safety net entitlements</w:t>
      </w:r>
    </w:p>
    <w:p w:rsidR="00E9027A" w:rsidRDefault="00E9027A" w:rsidP="00E9027A">
      <w:pPr>
        <w:pStyle w:val="Dash"/>
        <w:spacing w:after="120"/>
      </w:pPr>
      <w:r w:rsidRPr="00EC5A89">
        <w:t>awards, agreements and court and tribunal orders</w:t>
      </w:r>
    </w:p>
    <w:p w:rsidR="00E9027A" w:rsidRDefault="00E9027A" w:rsidP="00E9027A">
      <w:pPr>
        <w:pStyle w:val="Dash"/>
        <w:spacing w:after="120"/>
      </w:pPr>
      <w:r>
        <w:t>the Building Code</w:t>
      </w:r>
    </w:p>
    <w:p w:rsidR="00FC1F17" w:rsidRPr="00E23015" w:rsidRDefault="00FC1F17" w:rsidP="00E9027A">
      <w:pPr>
        <w:pStyle w:val="Dash"/>
        <w:spacing w:after="120"/>
      </w:pPr>
      <w:r>
        <w:rPr>
          <w:i/>
        </w:rPr>
        <w:t>Competition and Consumer Act 2010</w:t>
      </w:r>
    </w:p>
    <w:p w:rsidR="00FC1F17" w:rsidRDefault="00E23015" w:rsidP="00E9027A">
      <w:pPr>
        <w:pStyle w:val="Dash"/>
        <w:spacing w:after="120"/>
      </w:pPr>
      <w:proofErr w:type="gramStart"/>
      <w:r>
        <w:t>a</w:t>
      </w:r>
      <w:r w:rsidR="00FC1F17">
        <w:t>llegations</w:t>
      </w:r>
      <w:proofErr w:type="gramEnd"/>
      <w:r w:rsidR="00FC1F17">
        <w:t xml:space="preserve"> of criminal conduct</w:t>
      </w:r>
      <w:r w:rsidR="00DF70FB">
        <w:t>.</w:t>
      </w:r>
    </w:p>
    <w:p w:rsidR="00E9027A" w:rsidRPr="00EC5A89" w:rsidRDefault="00E9027A" w:rsidP="00560562">
      <w:r>
        <w:t xml:space="preserve">During 2015–16, </w:t>
      </w:r>
      <w:proofErr w:type="spellStart"/>
      <w:r>
        <w:t>FWBII</w:t>
      </w:r>
      <w:proofErr w:type="spellEnd"/>
      <w:r>
        <w:t xml:space="preserve"> plans to achieve the following outcome</w:t>
      </w:r>
      <w:r w:rsidR="00ED6081">
        <w:t>s</w:t>
      </w:r>
      <w:r>
        <w:t>:</w:t>
      </w:r>
    </w:p>
    <w:p w:rsidR="00E9027A" w:rsidRDefault="00E9027A" w:rsidP="00E9027A">
      <w:pPr>
        <w:pStyle w:val="Bullets"/>
      </w:pPr>
      <w:r>
        <w:t>enforce workplace relations laws in the building and construction industry and ensure compliance with those laws by all participants in the building and construction industry through the provision of education, assistance and advice</w:t>
      </w:r>
      <w:r w:rsidR="00FC1F17">
        <w:t xml:space="preserve"> and where necessary, civil penalty litigation in the courts</w:t>
      </w:r>
    </w:p>
    <w:p w:rsidR="00E9027A" w:rsidRPr="00EC5A89" w:rsidRDefault="00E9027A" w:rsidP="00E9027A">
      <w:pPr>
        <w:pStyle w:val="Bullets"/>
      </w:pPr>
      <w:proofErr w:type="gramStart"/>
      <w:r>
        <w:t>ensure</w:t>
      </w:r>
      <w:proofErr w:type="gramEnd"/>
      <w:r>
        <w:t xml:space="preserve"> compliance with building codes of practice through the provision of education, assistance and advice.</w:t>
      </w:r>
    </w:p>
    <w:p w:rsidR="00E9027A" w:rsidRPr="00AA2983" w:rsidRDefault="00E9027A" w:rsidP="00560562">
      <w:pPr>
        <w:pStyle w:val="Heading3"/>
        <w:rPr>
          <w:rFonts w:cs="Arial"/>
        </w:rPr>
      </w:pPr>
      <w:r w:rsidRPr="00AA2983">
        <w:rPr>
          <w:rFonts w:cs="Arial"/>
        </w:rPr>
        <w:br w:type="page"/>
      </w:r>
      <w:r w:rsidR="00A20D02">
        <w:rPr>
          <w:rFonts w:cs="Arial"/>
        </w:rPr>
        <w:lastRenderedPageBreak/>
        <w:t>1.2</w:t>
      </w:r>
      <w:r w:rsidR="00A20D02">
        <w:rPr>
          <w:rFonts w:cs="Arial"/>
        </w:rPr>
        <w:tab/>
        <w:t>Entity</w:t>
      </w:r>
      <w:r w:rsidRPr="00AA2983">
        <w:rPr>
          <w:rFonts w:cs="Arial"/>
        </w:rPr>
        <w:t xml:space="preserve"> resource statement</w:t>
      </w:r>
    </w:p>
    <w:p w:rsidR="00E9027A" w:rsidRPr="00AA2983" w:rsidRDefault="00E9027A" w:rsidP="00560562">
      <w:r w:rsidRPr="00AA2983">
        <w:t xml:space="preserve">Table 1.1 shows the total resources from all </w:t>
      </w:r>
      <w:r>
        <w:t>sources</w:t>
      </w:r>
      <w:r w:rsidRPr="00AA2983">
        <w:t>. The table summarises how resources will be applied by outcome and by administered and departmental classification.</w:t>
      </w:r>
    </w:p>
    <w:p w:rsidR="00E9027A" w:rsidRPr="00AA2983" w:rsidRDefault="00E9027A" w:rsidP="00560562">
      <w:pPr>
        <w:pStyle w:val="TableHeading"/>
      </w:pPr>
      <w:r w:rsidRPr="00AA2983">
        <w:t xml:space="preserve">Table 1.1: </w:t>
      </w:r>
      <w:r>
        <w:t xml:space="preserve">Office of the Fair Work Building Industry Inspectorate resource statement—Budget </w:t>
      </w:r>
      <w:r w:rsidRPr="00AA2983">
        <w:t xml:space="preserve">estimates for </w:t>
      </w:r>
      <w:r>
        <w:t>2015–16</w:t>
      </w:r>
      <w:r w:rsidRPr="00AA2983">
        <w:t xml:space="preserve"> as at Budget May 20</w:t>
      </w:r>
      <w:r>
        <w:t>15</w:t>
      </w:r>
    </w:p>
    <w:p w:rsidR="00AB0B01" w:rsidRDefault="0028681C" w:rsidP="006A7B57">
      <w:pPr>
        <w:pStyle w:val="TableGraphi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51.25pt;height:202.85pt">
            <v:imagedata r:id="rId18" o:title=""/>
          </v:shape>
        </w:pict>
      </w:r>
    </w:p>
    <w:p w:rsidR="00AB0B01" w:rsidRDefault="00AB0B01" w:rsidP="006A7B57">
      <w:pPr>
        <w:pStyle w:val="TableGraphic"/>
      </w:pPr>
      <w:r>
        <w:br w:type="page"/>
      </w:r>
    </w:p>
    <w:p w:rsidR="00AB0B01" w:rsidRDefault="00AB0B01" w:rsidP="00AB0B01">
      <w:pPr>
        <w:pStyle w:val="TableHeading"/>
      </w:pPr>
      <w:r w:rsidRPr="00AA2983">
        <w:lastRenderedPageBreak/>
        <w:t xml:space="preserve">Table 1.1: </w:t>
      </w:r>
      <w:r>
        <w:t xml:space="preserve">Office of the Fair Work Building Industry Inspectorate resource statement—Budget </w:t>
      </w:r>
      <w:r w:rsidRPr="00AA2983">
        <w:t xml:space="preserve">estimates for </w:t>
      </w:r>
      <w:r>
        <w:t>2015–16</w:t>
      </w:r>
      <w:r w:rsidRPr="00AA2983">
        <w:t xml:space="preserve"> as at Budget May 20</w:t>
      </w:r>
      <w:r>
        <w:t>15 (continued)</w:t>
      </w:r>
    </w:p>
    <w:p w:rsidR="00E9027A" w:rsidRDefault="0028681C" w:rsidP="006A7B57">
      <w:pPr>
        <w:pStyle w:val="TableGraphic"/>
        <w:rPr>
          <w:rStyle w:val="Heading3Char"/>
          <w:rFonts w:cs="Arial"/>
        </w:rPr>
      </w:pPr>
      <w:r>
        <w:pict>
          <v:shape id="_x0000_i1115" type="#_x0000_t75" style="width:357.5pt;height:212.25pt">
            <v:imagedata r:id="rId19" o:title=""/>
          </v:shape>
        </w:pict>
      </w:r>
    </w:p>
    <w:p w:rsidR="00DF70FB" w:rsidRPr="00DF70FB" w:rsidRDefault="00DF70FB" w:rsidP="00DF70FB">
      <w:pPr>
        <w:pStyle w:val="FootnoteText"/>
      </w:pPr>
    </w:p>
    <w:p w:rsidR="006A7B57" w:rsidRDefault="006A7B57" w:rsidP="00AB0B01">
      <w:pPr>
        <w:pStyle w:val="FootnoteText"/>
      </w:pPr>
      <w:r w:rsidRPr="006018F6">
        <w:rPr>
          <w:vertAlign w:val="superscript"/>
        </w:rPr>
        <w:t>1</w:t>
      </w:r>
      <w:r>
        <w:t xml:space="preserve"> Appropriation Bill (</w:t>
      </w:r>
      <w:proofErr w:type="spellStart"/>
      <w:r>
        <w:t>No.1</w:t>
      </w:r>
      <w:proofErr w:type="spellEnd"/>
      <w:r>
        <w:t>) 2015</w:t>
      </w:r>
      <w:r w:rsidR="006018F6">
        <w:t>–</w:t>
      </w:r>
      <w:r>
        <w:t>16.</w:t>
      </w:r>
    </w:p>
    <w:p w:rsidR="006A7B57" w:rsidRDefault="006A7B57" w:rsidP="00AB0B01">
      <w:pPr>
        <w:pStyle w:val="FootnoteText"/>
      </w:pPr>
      <w:r w:rsidRPr="006018F6">
        <w:rPr>
          <w:vertAlign w:val="superscript"/>
        </w:rPr>
        <w:t>2</w:t>
      </w:r>
      <w:r>
        <w:t xml:space="preserve"> Estimated adjusted balance carried forward from previous year.</w:t>
      </w:r>
    </w:p>
    <w:p w:rsidR="006A7B57" w:rsidRDefault="006A7B57" w:rsidP="00AB0B01">
      <w:pPr>
        <w:pStyle w:val="FootnoteText"/>
      </w:pPr>
      <w:r w:rsidRPr="006018F6">
        <w:rPr>
          <w:vertAlign w:val="superscript"/>
        </w:rPr>
        <w:t>3</w:t>
      </w:r>
      <w:r>
        <w:t xml:space="preserve"> Includes an amount of $1.601 m in 2015</w:t>
      </w:r>
      <w:r w:rsidR="006018F6">
        <w:t>–</w:t>
      </w:r>
      <w:r>
        <w:t>16 for the Departmental Capital B</w:t>
      </w:r>
      <w:r w:rsidR="00AB0B01">
        <w:t xml:space="preserve">udget (refer to Table 3.2.5 for </w:t>
      </w:r>
      <w:r>
        <w:t>further details). For accounting purposes this amount has been designated as 'contributions by owners'.</w:t>
      </w:r>
    </w:p>
    <w:p w:rsidR="006A7B57" w:rsidRDefault="006A7B57" w:rsidP="00AB0B01">
      <w:pPr>
        <w:pStyle w:val="FootnoteText"/>
      </w:pPr>
      <w:proofErr w:type="gramStart"/>
      <w:r w:rsidRPr="006018F6">
        <w:rPr>
          <w:vertAlign w:val="superscript"/>
        </w:rPr>
        <w:t>4</w:t>
      </w:r>
      <w:r>
        <w:t xml:space="preserve"> Estimated Retained revenue receipts under section 74 of the </w:t>
      </w:r>
      <w:proofErr w:type="spellStart"/>
      <w:r>
        <w:t>PGPA</w:t>
      </w:r>
      <w:proofErr w:type="spellEnd"/>
      <w:r>
        <w:t xml:space="preserve"> Act.</w:t>
      </w:r>
      <w:proofErr w:type="gramEnd"/>
    </w:p>
    <w:p w:rsidR="006A7B57" w:rsidRDefault="006A7B57" w:rsidP="00AB0B01">
      <w:pPr>
        <w:pStyle w:val="FootnoteText"/>
      </w:pPr>
      <w:r w:rsidRPr="006018F6">
        <w:rPr>
          <w:vertAlign w:val="superscript"/>
        </w:rPr>
        <w:t>5</w:t>
      </w:r>
      <w:r>
        <w:t xml:space="preserve"> Appropriation Bill (</w:t>
      </w:r>
      <w:proofErr w:type="spellStart"/>
      <w:r>
        <w:t>No.2</w:t>
      </w:r>
      <w:proofErr w:type="spellEnd"/>
      <w:r>
        <w:t>) 2015</w:t>
      </w:r>
      <w:r w:rsidR="006018F6">
        <w:t>–</w:t>
      </w:r>
      <w:r>
        <w:t>16.</w:t>
      </w:r>
    </w:p>
    <w:p w:rsidR="00E9027A" w:rsidRDefault="006A7B57" w:rsidP="00AB0B01">
      <w:pPr>
        <w:pStyle w:val="FootnoteText"/>
      </w:pPr>
      <w:r>
        <w:t>Reader note: All figures are GST exclusive.</w:t>
      </w:r>
    </w:p>
    <w:p w:rsidR="00F64B73" w:rsidRDefault="00F64B73" w:rsidP="0018383E">
      <w:pPr>
        <w:pStyle w:val="Heading3"/>
        <w:rPr>
          <w:rStyle w:val="Heading3Char"/>
        </w:rPr>
      </w:pPr>
      <w:r>
        <w:rPr>
          <w:rStyle w:val="Heading3Char"/>
        </w:rPr>
        <w:br w:type="page"/>
      </w:r>
    </w:p>
    <w:p w:rsidR="00E9027A" w:rsidRPr="0018383E" w:rsidRDefault="00E9027A" w:rsidP="0018383E">
      <w:pPr>
        <w:pStyle w:val="Heading3"/>
        <w:rPr>
          <w:rStyle w:val="Heading3Char"/>
          <w:b/>
          <w:smallCaps/>
        </w:rPr>
      </w:pPr>
      <w:r w:rsidRPr="0018383E">
        <w:rPr>
          <w:rStyle w:val="Heading3Char"/>
          <w:b/>
          <w:smallCaps/>
        </w:rPr>
        <w:lastRenderedPageBreak/>
        <w:t>1.3</w:t>
      </w:r>
      <w:r w:rsidRPr="0018383E">
        <w:rPr>
          <w:rStyle w:val="Heading3Char"/>
          <w:b/>
          <w:smallCaps/>
        </w:rPr>
        <w:tab/>
        <w:t>Budget measures</w:t>
      </w:r>
    </w:p>
    <w:p w:rsidR="00E9027A" w:rsidRPr="00AA2983" w:rsidRDefault="00E9027A" w:rsidP="00560562">
      <w:r w:rsidRPr="00AA2983">
        <w:t xml:space="preserve">Budget measures relating to the </w:t>
      </w:r>
      <w:r>
        <w:t>Office of the Fair Work Building Industry Inspectorate</w:t>
      </w:r>
      <w:r w:rsidRPr="00AA2983">
        <w:t xml:space="preserve"> are detailed in Budget Paper No. 2</w:t>
      </w:r>
      <w:r>
        <w:t xml:space="preserve"> and are summarised below</w:t>
      </w:r>
      <w:r w:rsidRPr="00AA2983">
        <w:t>.</w:t>
      </w:r>
    </w:p>
    <w:p w:rsidR="00E9027A" w:rsidRPr="00D17F80" w:rsidRDefault="00E9027A" w:rsidP="00560562">
      <w:pPr>
        <w:pStyle w:val="TableHeading"/>
      </w:pPr>
      <w:r w:rsidRPr="00D17F80">
        <w:t xml:space="preserve">Table 1.2: </w:t>
      </w:r>
      <w:r>
        <w:t>Office of the Fair Work Building Industry Inspectorate</w:t>
      </w:r>
      <w:r w:rsidRPr="00D17F80">
        <w:t xml:space="preserve"> </w:t>
      </w:r>
      <w:r>
        <w:t>2015–16</w:t>
      </w:r>
      <w:r w:rsidRPr="00D17F80">
        <w:t xml:space="preserve"> Budget measures</w:t>
      </w:r>
    </w:p>
    <w:p w:rsidR="00E9027A" w:rsidRDefault="00E9027A" w:rsidP="00560562">
      <w:pPr>
        <w:pStyle w:val="TableHeadingcontinued"/>
      </w:pPr>
      <w:r w:rsidRPr="00D17F80">
        <w:t xml:space="preserve">Part </w:t>
      </w:r>
      <w:r>
        <w:t>2</w:t>
      </w:r>
      <w:r w:rsidRPr="00D17F80">
        <w:t xml:space="preserve">: </w:t>
      </w:r>
      <w:proofErr w:type="spellStart"/>
      <w:r w:rsidRPr="00D17F80">
        <w:t>M</w:t>
      </w:r>
      <w:r>
        <w:t>YEFO</w:t>
      </w:r>
      <w:proofErr w:type="spellEnd"/>
      <w:r>
        <w:t xml:space="preserve"> m</w:t>
      </w:r>
      <w:r w:rsidRPr="00D17F80">
        <w:t xml:space="preserve">easures </w:t>
      </w:r>
      <w:r>
        <w:t>not previously reported in a portfolio statement</w:t>
      </w:r>
    </w:p>
    <w:p w:rsidR="00E9027A" w:rsidRPr="00AB0B01" w:rsidRDefault="0028681C" w:rsidP="006018F6">
      <w:pPr>
        <w:pStyle w:val="FootnoteText"/>
      </w:pPr>
      <w:r>
        <w:pict>
          <v:shape id="_x0000_i1116" type="#_x0000_t75" style="width:351.25pt;height:115.85pt">
            <v:imagedata r:id="rId20" o:title=""/>
          </v:shape>
        </w:pict>
      </w:r>
    </w:p>
    <w:p w:rsidR="00DF70FB" w:rsidRDefault="00DF70FB" w:rsidP="0018383E">
      <w:pPr>
        <w:pStyle w:val="FootnoteText"/>
      </w:pPr>
    </w:p>
    <w:p w:rsidR="00E9027A" w:rsidRDefault="00E9027A" w:rsidP="0018383E">
      <w:pPr>
        <w:pStyle w:val="FootnoteText"/>
      </w:pPr>
      <w:proofErr w:type="gramStart"/>
      <w:r w:rsidRPr="00A21F5F">
        <w:t>Prepared on a Government Financial Statistics (fiscal) basis.</w:t>
      </w:r>
      <w:proofErr w:type="gramEnd"/>
    </w:p>
    <w:p w:rsidR="00F64B73" w:rsidRDefault="00F64B73" w:rsidP="00560562">
      <w:r>
        <w:br w:type="page"/>
      </w:r>
    </w:p>
    <w:p w:rsidR="00E9027A" w:rsidRPr="00630D14" w:rsidRDefault="00E9027A" w:rsidP="00ED6081">
      <w:pPr>
        <w:pStyle w:val="Heading2"/>
      </w:pPr>
      <w:r w:rsidRPr="00630D14">
        <w:lastRenderedPageBreak/>
        <w:t>Section 2: Outcomes and planned performance</w:t>
      </w:r>
    </w:p>
    <w:p w:rsidR="00E9027A" w:rsidRPr="00AA2983" w:rsidRDefault="00E9027A" w:rsidP="00560562">
      <w:pPr>
        <w:pStyle w:val="Heading3"/>
        <w:rPr>
          <w:rFonts w:cs="Arial"/>
        </w:rPr>
      </w:pPr>
      <w:r w:rsidRPr="00AA2983">
        <w:rPr>
          <w:rFonts w:cs="Arial"/>
        </w:rPr>
        <w:t>2.1</w:t>
      </w:r>
      <w:r w:rsidRPr="00AA2983">
        <w:rPr>
          <w:rFonts w:cs="Arial"/>
        </w:rPr>
        <w:tab/>
        <w:t>Outcomes and performance information</w:t>
      </w:r>
    </w:p>
    <w:p w:rsidR="00E9027A" w:rsidRPr="00AA2983" w:rsidRDefault="00E9027A" w:rsidP="00560562">
      <w:r>
        <w:t>Government</w:t>
      </w:r>
      <w:r w:rsidRPr="00AA2983">
        <w:t xml:space="preserve"> outcomes are the intended results, impacts or consequences of actions by the </w:t>
      </w:r>
      <w:r>
        <w:t>government</w:t>
      </w:r>
      <w:r w:rsidRPr="00AA2983">
        <w:t xml:space="preserve"> on the Australian community. </w:t>
      </w:r>
      <w:r>
        <w:t xml:space="preserve">Commonwealth </w:t>
      </w:r>
      <w:r w:rsidRPr="00AA2983">
        <w:t>program</w:t>
      </w:r>
      <w:r>
        <w:t>me</w:t>
      </w:r>
      <w:r w:rsidRPr="00AA2983">
        <w:t xml:space="preserve">s are the </w:t>
      </w:r>
      <w:r>
        <w:t>primary vehicle by which government</w:t>
      </w:r>
      <w:r w:rsidRPr="00AA2983">
        <w:t xml:space="preserve"> </w:t>
      </w:r>
      <w:r>
        <w:t xml:space="preserve">agencies achieve the intended results of their outcome statements. </w:t>
      </w:r>
      <w:r w:rsidRPr="00AA2983">
        <w:t>Agencies are required to identify the program</w:t>
      </w:r>
      <w:r>
        <w:t>me</w:t>
      </w:r>
      <w:r w:rsidRPr="00AA2983">
        <w:t xml:space="preserve">s which contribute to </w:t>
      </w:r>
      <w:r>
        <w:t>government</w:t>
      </w:r>
      <w:r w:rsidRPr="00AA2983">
        <w:t xml:space="preserve"> outcomes over the Budget and forward years.</w:t>
      </w:r>
    </w:p>
    <w:p w:rsidR="00E9027A" w:rsidRPr="00AA2983" w:rsidRDefault="00E9027A" w:rsidP="00560562">
      <w:r w:rsidRPr="00AA2983">
        <w:t>Each outcome is described below together with its related program</w:t>
      </w:r>
      <w:r>
        <w:t>me</w:t>
      </w:r>
      <w:r w:rsidRPr="00AA2983">
        <w:t xml:space="preserve">s, specifying the performance indicators and targets used to assess and monitor the performance of the </w:t>
      </w:r>
      <w:r>
        <w:t>Fair Work Building Industry Inspectorate</w:t>
      </w:r>
      <w:r w:rsidRPr="00AA2983">
        <w:rPr>
          <w:color w:val="FF0000"/>
        </w:rPr>
        <w:t xml:space="preserve"> </w:t>
      </w:r>
      <w:r w:rsidRPr="00AA2983">
        <w:t xml:space="preserve">in achieving </w:t>
      </w:r>
      <w:r>
        <w:t>government</w:t>
      </w:r>
      <w:r w:rsidRPr="00AA2983">
        <w:t xml:space="preserve"> outcomes.</w:t>
      </w:r>
    </w:p>
    <w:p w:rsidR="00DF70FB" w:rsidRDefault="00DF70FB" w:rsidP="00DF70FB">
      <w:pPr>
        <w:pStyle w:val="ProgramHeading"/>
      </w:pPr>
      <w:r w:rsidRPr="00D17F80">
        <w:t>Outcome 1: Enforce workplace relations laws in the building and construction industry and ensure compliance with those laws by all participants in the building and construction industry through the provision of education, assistance and advice.</w:t>
      </w:r>
    </w:p>
    <w:p w:rsidR="00E9027A" w:rsidRPr="00AA2983" w:rsidRDefault="00E9027A" w:rsidP="00560562">
      <w:pPr>
        <w:pStyle w:val="Heading4"/>
      </w:pPr>
      <w:r w:rsidRPr="00AA2983">
        <w:t>Outcome 1 Strategy</w:t>
      </w:r>
    </w:p>
    <w:p w:rsidR="00E9027A" w:rsidRDefault="00E9027A" w:rsidP="00560562">
      <w:r>
        <w:t xml:space="preserve">Key strategies towards achieving </w:t>
      </w:r>
      <w:proofErr w:type="spellStart"/>
      <w:r>
        <w:t>FWBII’s</w:t>
      </w:r>
      <w:proofErr w:type="spellEnd"/>
      <w:r>
        <w:t xml:space="preserve"> outcome in 2015–16 are to:</w:t>
      </w:r>
    </w:p>
    <w:p w:rsidR="00E9027A" w:rsidRPr="00ED6081" w:rsidRDefault="00E9027A" w:rsidP="00ED6081">
      <w:pPr>
        <w:pStyle w:val="Bullets"/>
      </w:pPr>
      <w:r w:rsidRPr="00ED6081">
        <w:t>provide ready access to information on relevant workplace laws and codes of practice</w:t>
      </w:r>
    </w:p>
    <w:p w:rsidR="00E9027A" w:rsidRPr="00ED6081" w:rsidRDefault="00E9027A" w:rsidP="00ED6081">
      <w:pPr>
        <w:pStyle w:val="Bullets"/>
      </w:pPr>
      <w:r w:rsidRPr="00ED6081">
        <w:t>provide education, assistance and advice to industry participants</w:t>
      </w:r>
    </w:p>
    <w:p w:rsidR="00FC1F17" w:rsidRPr="00ED6081" w:rsidRDefault="00FC1F17" w:rsidP="00FC1F17">
      <w:pPr>
        <w:pStyle w:val="Bullets"/>
      </w:pPr>
      <w:r w:rsidRPr="00ED6081">
        <w:t>conduct site visits, inspections and audits involving the building codes of practice</w:t>
      </w:r>
    </w:p>
    <w:p w:rsidR="00E9027A" w:rsidRPr="00ED6081" w:rsidRDefault="00E9027A" w:rsidP="00ED6081">
      <w:pPr>
        <w:pStyle w:val="Bullets"/>
      </w:pPr>
      <w:r w:rsidRPr="00ED6081">
        <w:t>conduct investigations into alleged breaches of workplace laws</w:t>
      </w:r>
    </w:p>
    <w:p w:rsidR="00E9027A" w:rsidRPr="00ED6081" w:rsidRDefault="00E9027A" w:rsidP="00ED6081">
      <w:pPr>
        <w:pStyle w:val="Bullets"/>
      </w:pPr>
      <w:proofErr w:type="gramStart"/>
      <w:r w:rsidRPr="00ED6081">
        <w:t>undertake</w:t>
      </w:r>
      <w:proofErr w:type="gramEnd"/>
      <w:r w:rsidRPr="00ED6081">
        <w:t xml:space="preserve"> enforcement action, including civil penalty litigation.</w:t>
      </w:r>
    </w:p>
    <w:p w:rsidR="00E9027A" w:rsidRPr="00117B29" w:rsidRDefault="00E9027A" w:rsidP="00560562">
      <w:pPr>
        <w:spacing w:after="0"/>
        <w:rPr>
          <w:rFonts w:ascii="Arial" w:hAnsi="Arial" w:cs="Arial"/>
          <w:b/>
          <w:bCs/>
          <w:iCs/>
          <w:szCs w:val="26"/>
        </w:rPr>
      </w:pPr>
      <w:r>
        <w:rPr>
          <w:rFonts w:cs="Arial"/>
        </w:rPr>
        <w:br w:type="page"/>
      </w:r>
    </w:p>
    <w:p w:rsidR="00E9027A" w:rsidRPr="00D17F80" w:rsidRDefault="00E9027A" w:rsidP="00560562">
      <w:pPr>
        <w:pStyle w:val="Heading5"/>
      </w:pPr>
      <w:r w:rsidRPr="00D17F80">
        <w:lastRenderedPageBreak/>
        <w:t xml:space="preserve">Outcome 1 Budgeted Expenses </w:t>
      </w:r>
    </w:p>
    <w:p w:rsidR="00E9027A" w:rsidRPr="00AA2983" w:rsidRDefault="00E9027A" w:rsidP="00560562">
      <w:r w:rsidRPr="00AA2983">
        <w:t>Table 2.1 provides an overview of the total expenses for Outcome 1, by program</w:t>
      </w:r>
      <w:r>
        <w:t>me</w:t>
      </w:r>
      <w:r w:rsidRPr="00AA2983">
        <w:t>.</w:t>
      </w:r>
    </w:p>
    <w:p w:rsidR="00E9027A" w:rsidRPr="00AA2983" w:rsidRDefault="00E9027A" w:rsidP="00560562">
      <w:pPr>
        <w:pStyle w:val="TableHeading"/>
      </w:pPr>
      <w:r w:rsidRPr="00AA2983">
        <w:rPr>
          <w:rFonts w:cs="Arial"/>
        </w:rPr>
        <w:t>Table 2.1: Budgeted Expenses for Outcome 1</w:t>
      </w:r>
    </w:p>
    <w:p w:rsidR="00E9027A" w:rsidRPr="00AA2983" w:rsidRDefault="0028681C" w:rsidP="00AB0B01">
      <w:pPr>
        <w:pStyle w:val="TableGraphic"/>
      </w:pPr>
      <w:r>
        <w:pict>
          <v:shape id="_x0000_i1117" type="#_x0000_t75" style="width:357.5pt;height:179.05pt">
            <v:imagedata r:id="rId21" o:title=""/>
          </v:shape>
        </w:pict>
      </w:r>
    </w:p>
    <w:p w:rsidR="00DF70FB" w:rsidRPr="00FF6999" w:rsidRDefault="00DF70FB" w:rsidP="00FF6999">
      <w:pPr>
        <w:pStyle w:val="FootnoteText"/>
      </w:pPr>
    </w:p>
    <w:p w:rsidR="00AB0B01" w:rsidRDefault="00AB0B01" w:rsidP="00AB0B01">
      <w:pPr>
        <w:pStyle w:val="FootnoteText"/>
      </w:pPr>
      <w:r w:rsidRPr="00DF70FB">
        <w:rPr>
          <w:vertAlign w:val="superscript"/>
        </w:rPr>
        <w:t>1</w:t>
      </w:r>
      <w:r>
        <w:t xml:space="preserve"> Departmental appropriation combines 'Ordinary annual services (Appropriation Bill No. 1)' and 'Revenue from independent sources (s 74)'.</w:t>
      </w:r>
    </w:p>
    <w:p w:rsidR="00AB0B01" w:rsidRDefault="00AB0B01" w:rsidP="00AB0B01">
      <w:pPr>
        <w:pStyle w:val="FootnoteText"/>
      </w:pPr>
      <w:r w:rsidRPr="00DF70FB">
        <w:rPr>
          <w:vertAlign w:val="superscript"/>
        </w:rPr>
        <w:t>2</w:t>
      </w:r>
      <w:r>
        <w:t xml:space="preserve"> Expenses not requiring appropriation in the Budget year are made up of depreciation expenses, amortisation expenses, and audit fees.</w:t>
      </w:r>
    </w:p>
    <w:p w:rsidR="00F64B73" w:rsidRDefault="00AB0B01" w:rsidP="00DF70FB">
      <w:pPr>
        <w:pStyle w:val="Footnote"/>
      </w:pPr>
      <w:r>
        <w:t>Note: Departmental appropriation splits and totals are indicative estimates and may change in the course of the budget year as government priorities change</w:t>
      </w:r>
      <w:r w:rsidR="00F64B73">
        <w:br w:type="page"/>
      </w:r>
    </w:p>
    <w:p w:rsidR="00E9027A" w:rsidRDefault="00E9027A" w:rsidP="00DF70FB">
      <w:pPr>
        <w:pStyle w:val="Footnote"/>
        <w:sectPr w:rsidR="00E9027A" w:rsidSect="006A009F">
          <w:headerReference w:type="even" r:id="rId22"/>
          <w:headerReference w:type="default" r:id="rId23"/>
          <w:headerReference w:type="first" r:id="rId24"/>
          <w:type w:val="oddPage"/>
          <w:pgSz w:w="9979" w:h="14175" w:code="259"/>
          <w:pgMar w:top="1418" w:right="1418" w:bottom="1418" w:left="1418" w:header="680" w:footer="1190" w:gutter="0"/>
          <w:cols w:space="708"/>
          <w:titlePg/>
          <w:docGrid w:linePitch="360"/>
        </w:sectPr>
      </w:pPr>
    </w:p>
    <w:p w:rsidR="00E9027A" w:rsidRPr="00AA2983" w:rsidRDefault="00E9027A" w:rsidP="0091757C">
      <w:pPr>
        <w:pStyle w:val="Heading4"/>
        <w:rPr>
          <w:rFonts w:cs="Arial"/>
          <w:b w:val="0"/>
          <w:i/>
          <w:color w:val="FF0000"/>
        </w:rPr>
      </w:pPr>
      <w:r w:rsidRPr="00AA2983">
        <w:rPr>
          <w:rFonts w:cs="Arial"/>
        </w:rPr>
        <w:lastRenderedPageBreak/>
        <w:t xml:space="preserve">Contributions to Outcome 1 </w:t>
      </w:r>
    </w:p>
    <w:p w:rsidR="00E9027A" w:rsidRDefault="00E9027A" w:rsidP="00560562">
      <w:pPr>
        <w:pStyle w:val="TableColumnHeadingLeft"/>
        <w:spacing w:before="0" w:after="0"/>
        <w:rPr>
          <w:rFonts w:cs="Arial"/>
          <w:sz w:val="6"/>
          <w:szCs w:val="6"/>
        </w:rPr>
      </w:pPr>
    </w:p>
    <w:p w:rsidR="00DF70FB" w:rsidRDefault="00DF70FB" w:rsidP="00DF70FB">
      <w:pPr>
        <w:pStyle w:val="ProgramHeading"/>
      </w:pPr>
      <w:r w:rsidRPr="00D17F80">
        <w:t>Programme 1</w:t>
      </w:r>
      <w:r w:rsidR="00FF6999">
        <w:t>.1</w:t>
      </w:r>
      <w:r w:rsidRPr="00D17F80">
        <w:t>: Education Services and Compliance Activities</w:t>
      </w:r>
    </w:p>
    <w:p w:rsidR="00E9027A" w:rsidRPr="00287F9B" w:rsidRDefault="00E9027A" w:rsidP="00BA1ED1">
      <w:pPr>
        <w:pStyle w:val="Heading5"/>
      </w:pPr>
      <w:r w:rsidRPr="00287F9B">
        <w:t>Program</w:t>
      </w:r>
      <w:r>
        <w:t>me</w:t>
      </w:r>
      <w:r w:rsidRPr="00287F9B">
        <w:t xml:space="preserve"> objective</w:t>
      </w:r>
    </w:p>
    <w:p w:rsidR="00E9027A" w:rsidRPr="00287F9B" w:rsidRDefault="00E9027A" w:rsidP="00560562">
      <w:r w:rsidRPr="00287F9B">
        <w:t>Enforce workplace relations laws in the building and construction industry and ensure compliance with those laws by all participants in the buil</w:t>
      </w:r>
      <w:r>
        <w:t xml:space="preserve">ding and construction industry </w:t>
      </w:r>
      <w:r w:rsidRPr="00287F9B">
        <w:t>through the provision of education, assistance and advice</w:t>
      </w:r>
      <w:r w:rsidR="00FC1F17">
        <w:t xml:space="preserve"> and where necessary civil penalty litigation in the courts</w:t>
      </w:r>
      <w:r w:rsidRPr="00287F9B">
        <w:t>.</w:t>
      </w:r>
    </w:p>
    <w:p w:rsidR="00E9027A" w:rsidRPr="008573A6" w:rsidRDefault="00E9027A" w:rsidP="00BA1ED1">
      <w:pPr>
        <w:pStyle w:val="TableHeading"/>
      </w:pPr>
      <w:r>
        <w:t xml:space="preserve">Table 2.1.1 </w:t>
      </w:r>
      <w:r w:rsidRPr="00BA1ED1">
        <w:t>Programme</w:t>
      </w:r>
      <w:r w:rsidRPr="008573A6">
        <w:t xml:space="preserve"> </w:t>
      </w:r>
      <w:r>
        <w:t>expenses</w:t>
      </w:r>
    </w:p>
    <w:p w:rsidR="00AB0B01" w:rsidRDefault="0028681C" w:rsidP="00AB0B01">
      <w:pPr>
        <w:pStyle w:val="FootnoteText"/>
      </w:pPr>
      <w:r>
        <w:pict>
          <v:shape id="_x0000_i1118" type="#_x0000_t75" style="width:358.75pt;height:93.9pt">
            <v:imagedata r:id="rId25" o:title=""/>
          </v:shape>
        </w:pict>
      </w:r>
    </w:p>
    <w:p w:rsidR="00E9027A" w:rsidRDefault="00AB0B01" w:rsidP="00AB0B01">
      <w:pPr>
        <w:pStyle w:val="FootnoteText"/>
      </w:pPr>
      <w:r w:rsidRPr="006018F6">
        <w:rPr>
          <w:vertAlign w:val="superscript"/>
        </w:rPr>
        <w:t>1</w:t>
      </w:r>
      <w:r w:rsidRPr="00AB0B01">
        <w:t xml:space="preserve"> Expenses not requiring appropriation in the Budget year are made up of depreciation expenses, amortisation expenses, and audit fees.</w:t>
      </w:r>
    </w:p>
    <w:p w:rsidR="00E9027A" w:rsidRPr="00D17F80" w:rsidRDefault="00E9027A" w:rsidP="00BA1ED1">
      <w:pPr>
        <w:pStyle w:val="Heading5"/>
      </w:pPr>
      <w:r w:rsidRPr="00D17F80">
        <w:t>Program</w:t>
      </w:r>
      <w:r>
        <w:t>me</w:t>
      </w:r>
      <w:r w:rsidRPr="00D17F80">
        <w:t xml:space="preserve"> 1</w:t>
      </w:r>
      <w:r w:rsidR="00FF6999">
        <w:t>.1</w:t>
      </w:r>
      <w:r w:rsidR="00B21E61">
        <w:t xml:space="preserve"> D</w:t>
      </w:r>
      <w:r w:rsidRPr="00D17F80">
        <w:t>eliverables</w:t>
      </w:r>
    </w:p>
    <w:p w:rsidR="00E9027A" w:rsidRPr="008573A6" w:rsidRDefault="00E9027A" w:rsidP="00560562">
      <w:r w:rsidRPr="008573A6">
        <w:t xml:space="preserve">The deliverables of the </w:t>
      </w:r>
      <w:proofErr w:type="spellStart"/>
      <w:r>
        <w:t>FWBII</w:t>
      </w:r>
      <w:proofErr w:type="spellEnd"/>
      <w:r w:rsidRPr="008573A6">
        <w:t xml:space="preserve"> are to:</w:t>
      </w:r>
    </w:p>
    <w:p w:rsidR="00E9027A" w:rsidRPr="00BA1ED1" w:rsidRDefault="00E9027A" w:rsidP="00BA1ED1">
      <w:pPr>
        <w:pStyle w:val="Bullets"/>
      </w:pPr>
      <w:r w:rsidRPr="00BA1ED1">
        <w:t>provide information, advice and education on workplace laws to foster voluntary compliance</w:t>
      </w:r>
    </w:p>
    <w:p w:rsidR="00FC1F17" w:rsidRPr="00BA1ED1" w:rsidRDefault="00FC1F17" w:rsidP="00FC1F17">
      <w:pPr>
        <w:pStyle w:val="Bullets"/>
      </w:pPr>
      <w:r w:rsidRPr="00BA1ED1">
        <w:t>conduct site visits, inspections and audits involving the building codes of practice</w:t>
      </w:r>
    </w:p>
    <w:p w:rsidR="00E9027A" w:rsidRPr="00BA1ED1" w:rsidRDefault="00E9027A" w:rsidP="00BA1ED1">
      <w:pPr>
        <w:pStyle w:val="Bullets"/>
      </w:pPr>
      <w:r w:rsidRPr="00BA1ED1">
        <w:t>investigate claims regarding alleged breaches of workplace laws and undertake targeted activities</w:t>
      </w:r>
    </w:p>
    <w:p w:rsidR="00E9027A" w:rsidRPr="00BA1ED1" w:rsidRDefault="00E9027A" w:rsidP="00BA1ED1">
      <w:pPr>
        <w:pStyle w:val="Bullets"/>
      </w:pPr>
      <w:proofErr w:type="gramStart"/>
      <w:r w:rsidRPr="00BA1ED1">
        <w:t>litigate</w:t>
      </w:r>
      <w:proofErr w:type="gramEnd"/>
      <w:r w:rsidRPr="00BA1ED1">
        <w:t>, where necessary, to enforce compliance with workplace laws.</w:t>
      </w:r>
    </w:p>
    <w:p w:rsidR="00E9027A" w:rsidRPr="008573A6" w:rsidRDefault="00E9027A" w:rsidP="00560562">
      <w:pPr>
        <w:pStyle w:val="TableHeading"/>
      </w:pPr>
      <w:r>
        <w:t xml:space="preserve">Table </w:t>
      </w:r>
      <w:proofErr w:type="spellStart"/>
      <w:r>
        <w:t>2.1.1</w:t>
      </w:r>
      <w:r w:rsidR="009D4D3C">
        <w:t>.</w:t>
      </w:r>
      <w:r>
        <w:t>A</w:t>
      </w:r>
      <w:proofErr w:type="spellEnd"/>
      <w:r>
        <w:t xml:space="preserve"> </w:t>
      </w:r>
      <w:r w:rsidRPr="008573A6">
        <w:t>Program</w:t>
      </w:r>
      <w:r>
        <w:t>me</w:t>
      </w:r>
      <w:r w:rsidRPr="008573A6">
        <w:t xml:space="preserve"> </w:t>
      </w:r>
      <w:r w:rsidR="00FF6999">
        <w:t>1.</w:t>
      </w:r>
      <w:r w:rsidRPr="008573A6">
        <w:t xml:space="preserve">1 </w:t>
      </w:r>
      <w:r w:rsidR="00B21E61">
        <w:t>D</w:t>
      </w:r>
      <w:r>
        <w:t>eliverables</w:t>
      </w:r>
    </w:p>
    <w:p w:rsidR="00E9027A" w:rsidRPr="00AA2983" w:rsidRDefault="0028681C" w:rsidP="00AB0B01">
      <w:pPr>
        <w:pStyle w:val="TableGraphic"/>
      </w:pPr>
      <w:r>
        <w:rPr>
          <w:lang w:val="en-US"/>
        </w:rPr>
        <w:pict>
          <v:shape id="_x0000_i1119" type="#_x0000_t75" style="width:360.65pt;height:61.35pt">
            <v:imagedata r:id="rId26" o:title=""/>
          </v:shape>
        </w:pict>
      </w:r>
    </w:p>
    <w:p w:rsidR="00E9027A" w:rsidRPr="00D17F80" w:rsidRDefault="00E9027A" w:rsidP="00BA1ED1">
      <w:pPr>
        <w:pStyle w:val="Heading5"/>
      </w:pPr>
      <w:r>
        <w:rPr>
          <w:rFonts w:cs="Arial"/>
        </w:rPr>
        <w:br w:type="page"/>
      </w:r>
      <w:r w:rsidRPr="00D17F80">
        <w:lastRenderedPageBreak/>
        <w:t>Programme 1</w:t>
      </w:r>
      <w:r w:rsidR="00FF6999">
        <w:t>.1</w:t>
      </w:r>
      <w:r w:rsidRPr="00D17F80">
        <w:t xml:space="preserve"> Key </w:t>
      </w:r>
      <w:r w:rsidR="0018383E">
        <w:t>p</w:t>
      </w:r>
      <w:r w:rsidRPr="00D17F80">
        <w:t xml:space="preserve">erformance </w:t>
      </w:r>
      <w:r w:rsidR="0018383E">
        <w:t>i</w:t>
      </w:r>
      <w:r w:rsidRPr="00D17F80">
        <w:t>ndicators</w:t>
      </w:r>
    </w:p>
    <w:p w:rsidR="00E9027A" w:rsidRDefault="00E9027A" w:rsidP="00560562">
      <w:r>
        <w:t>The key performance i</w:t>
      </w:r>
      <w:r w:rsidRPr="008573A6">
        <w:t xml:space="preserve">ndicators for the </w:t>
      </w:r>
      <w:proofErr w:type="spellStart"/>
      <w:r>
        <w:t>FWBII</w:t>
      </w:r>
      <w:proofErr w:type="spellEnd"/>
      <w:r>
        <w:t xml:space="preserve"> </w:t>
      </w:r>
      <w:r w:rsidRPr="008573A6">
        <w:t>are outlined in the following table and cover the key activities of education, advice and information services and investigations.</w:t>
      </w:r>
    </w:p>
    <w:p w:rsidR="00E9027A" w:rsidRPr="00B0557E" w:rsidRDefault="00E9027A" w:rsidP="00BA1ED1">
      <w:pPr>
        <w:pStyle w:val="TableHeading"/>
        <w:rPr>
          <w:rFonts w:cs="Arial"/>
          <w:b w:val="0"/>
          <w:sz w:val="4"/>
          <w:szCs w:val="4"/>
        </w:rPr>
      </w:pPr>
      <w:r w:rsidRPr="00025427">
        <w:t xml:space="preserve">Table </w:t>
      </w:r>
      <w:proofErr w:type="spellStart"/>
      <w:r w:rsidRPr="00025427">
        <w:t>2.1.1</w:t>
      </w:r>
      <w:r w:rsidR="009D4D3C">
        <w:t>.</w:t>
      </w:r>
      <w:r>
        <w:t>B</w:t>
      </w:r>
      <w:proofErr w:type="spellEnd"/>
      <w:r w:rsidRPr="00025427">
        <w:t xml:space="preserve"> Program</w:t>
      </w:r>
      <w:r>
        <w:t>me</w:t>
      </w:r>
      <w:r w:rsidRPr="00025427">
        <w:t xml:space="preserve"> 1</w:t>
      </w:r>
      <w:r w:rsidR="00FF6999">
        <w:t>.1</w:t>
      </w:r>
      <w:r w:rsidRPr="00025427">
        <w:t xml:space="preserve"> </w:t>
      </w:r>
      <w:r w:rsidR="00B21E61">
        <w:t>K</w:t>
      </w:r>
      <w:r>
        <w:t xml:space="preserve">ey performance </w:t>
      </w:r>
      <w:r w:rsidRPr="00BA1ED1">
        <w:t>indicators</w:t>
      </w:r>
    </w:p>
    <w:tbl>
      <w:tblPr>
        <w:tblW w:w="7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963"/>
      </w:tblGrid>
      <w:tr w:rsidR="00E9027A" w:rsidTr="00E14B6C">
        <w:trPr>
          <w:tblHeader/>
        </w:trPr>
        <w:tc>
          <w:tcPr>
            <w:tcW w:w="3963" w:type="dxa"/>
            <w:shd w:val="clear" w:color="auto" w:fill="auto"/>
          </w:tcPr>
          <w:p w:rsidR="00E9027A" w:rsidRPr="00B0557E" w:rsidRDefault="00E9027A" w:rsidP="00BA1ED1">
            <w:pPr>
              <w:pStyle w:val="TableTextBold"/>
            </w:pPr>
            <w:r w:rsidRPr="00B0557E">
              <w:t>Quality</w:t>
            </w:r>
          </w:p>
        </w:tc>
        <w:tc>
          <w:tcPr>
            <w:tcW w:w="3963" w:type="dxa"/>
            <w:shd w:val="clear" w:color="auto" w:fill="auto"/>
          </w:tcPr>
          <w:p w:rsidR="00E9027A" w:rsidRPr="00B0557E" w:rsidRDefault="00E9027A" w:rsidP="00257133">
            <w:pPr>
              <w:pStyle w:val="TableTextBold"/>
            </w:pPr>
            <w:r>
              <w:t>2015–16</w:t>
            </w:r>
            <w:r w:rsidRPr="00B0557E">
              <w:t xml:space="preserve"> target</w:t>
            </w:r>
          </w:p>
        </w:tc>
      </w:tr>
      <w:tr w:rsidR="00E9027A" w:rsidTr="00560562">
        <w:tc>
          <w:tcPr>
            <w:tcW w:w="3963" w:type="dxa"/>
            <w:shd w:val="clear" w:color="auto" w:fill="auto"/>
          </w:tcPr>
          <w:p w:rsidR="00E9027A" w:rsidRDefault="00E9027A" w:rsidP="00BA1ED1">
            <w:pPr>
              <w:pStyle w:val="TableText"/>
            </w:pPr>
            <w:r>
              <w:t xml:space="preserve">Level of satisfaction of clients with quality and timeliness of advice and assistance provided by </w:t>
            </w:r>
            <w:proofErr w:type="spellStart"/>
            <w:r>
              <w:t>FWBII</w:t>
            </w:r>
            <w:proofErr w:type="spellEnd"/>
            <w:r>
              <w:t>.</w:t>
            </w:r>
          </w:p>
        </w:tc>
        <w:tc>
          <w:tcPr>
            <w:tcW w:w="3963" w:type="dxa"/>
            <w:shd w:val="clear" w:color="auto" w:fill="auto"/>
          </w:tcPr>
          <w:p w:rsidR="00E9027A" w:rsidRPr="00257133" w:rsidRDefault="00E9027A" w:rsidP="00257133">
            <w:pPr>
              <w:pStyle w:val="TableText"/>
            </w:pPr>
            <w:r w:rsidRPr="00257133">
              <w:t>75% of surveyed clients satisfied or highly satisfied</w:t>
            </w:r>
          </w:p>
        </w:tc>
      </w:tr>
      <w:tr w:rsidR="00E9027A" w:rsidTr="00560562">
        <w:tc>
          <w:tcPr>
            <w:tcW w:w="3963" w:type="dxa"/>
            <w:shd w:val="clear" w:color="auto" w:fill="auto"/>
          </w:tcPr>
          <w:p w:rsidR="00E9027A" w:rsidRPr="00B0557E" w:rsidRDefault="00E9027A" w:rsidP="00FC1F17">
            <w:pPr>
              <w:pStyle w:val="TableText"/>
            </w:pPr>
            <w:r>
              <w:t xml:space="preserve">Timeliness in </w:t>
            </w:r>
            <w:r w:rsidR="00FC1F17">
              <w:t>commencing proceedings over</w:t>
            </w:r>
            <w:r>
              <w:t xml:space="preserve"> contraventions of the </w:t>
            </w:r>
            <w:r w:rsidRPr="00885ADE">
              <w:rPr>
                <w:i/>
              </w:rPr>
              <w:t>Fair Work Act 2009</w:t>
            </w:r>
            <w:r>
              <w:t xml:space="preserve">, the </w:t>
            </w:r>
            <w:r w:rsidRPr="00885ADE">
              <w:rPr>
                <w:i/>
              </w:rPr>
              <w:t>Independent Contractors Act 2006</w:t>
            </w:r>
            <w:r>
              <w:t xml:space="preserve">, the </w:t>
            </w:r>
            <w:r w:rsidRPr="00885ADE">
              <w:rPr>
                <w:i/>
              </w:rPr>
              <w:t>Fair Work (Building Industry) Act 2012</w:t>
            </w:r>
            <w:r>
              <w:t>, agreements, awards and orders.</w:t>
            </w:r>
          </w:p>
        </w:tc>
        <w:tc>
          <w:tcPr>
            <w:tcW w:w="3963" w:type="dxa"/>
            <w:shd w:val="clear" w:color="auto" w:fill="auto"/>
          </w:tcPr>
          <w:p w:rsidR="00E9027A" w:rsidRPr="00257133" w:rsidRDefault="00E9027A" w:rsidP="00257133">
            <w:pPr>
              <w:pStyle w:val="TableText"/>
            </w:pPr>
            <w:r w:rsidRPr="00257133">
              <w:t>File 75% of matters in court within 12 months of the complaint being lodged</w:t>
            </w:r>
          </w:p>
        </w:tc>
      </w:tr>
      <w:tr w:rsidR="00E9027A" w:rsidTr="00560562">
        <w:tc>
          <w:tcPr>
            <w:tcW w:w="3963" w:type="dxa"/>
            <w:shd w:val="clear" w:color="auto" w:fill="auto"/>
          </w:tcPr>
          <w:p w:rsidR="00E9027A" w:rsidRDefault="00E9027A" w:rsidP="00BA1ED1">
            <w:pPr>
              <w:pStyle w:val="TableText"/>
            </w:pPr>
            <w:r>
              <w:t>Level of satisfaction of a range of industry participants with contact aimed at promoting appropriate standards of conduct.</w:t>
            </w:r>
          </w:p>
        </w:tc>
        <w:tc>
          <w:tcPr>
            <w:tcW w:w="3963" w:type="dxa"/>
            <w:shd w:val="clear" w:color="auto" w:fill="auto"/>
          </w:tcPr>
          <w:p w:rsidR="00E9027A" w:rsidRPr="00257133" w:rsidRDefault="00E9027A" w:rsidP="00257133">
            <w:pPr>
              <w:pStyle w:val="TableText"/>
            </w:pPr>
            <w:r w:rsidRPr="00257133">
              <w:t>75% of surveyed industry participants satisfied or highly satisfied</w:t>
            </w:r>
          </w:p>
        </w:tc>
      </w:tr>
    </w:tbl>
    <w:p w:rsidR="00F64B73" w:rsidRDefault="00F64B73" w:rsidP="00560562">
      <w:pPr>
        <w:pStyle w:val="TableTextBullet"/>
        <w:numPr>
          <w:ilvl w:val="0"/>
          <w:numId w:val="0"/>
        </w:numPr>
        <w:rPr>
          <w:rFonts w:cs="Arial"/>
          <w:sz w:val="20"/>
        </w:rPr>
      </w:pPr>
      <w:r>
        <w:rPr>
          <w:rFonts w:cs="Arial"/>
          <w:sz w:val="20"/>
        </w:rPr>
        <w:br w:type="page"/>
      </w:r>
    </w:p>
    <w:p w:rsidR="00E9027A" w:rsidRPr="00B472E1" w:rsidRDefault="00E9027A" w:rsidP="00560562">
      <w:pPr>
        <w:pStyle w:val="Heading2"/>
      </w:pPr>
      <w:r w:rsidRPr="00B472E1">
        <w:lastRenderedPageBreak/>
        <w:t>Section 3: Explanatory tables and budgeted financial statements</w:t>
      </w:r>
    </w:p>
    <w:p w:rsidR="00A81D60" w:rsidRDefault="00A81D60" w:rsidP="00A81D60">
      <w:r>
        <w:t>Section 3 presents explanatory tables and budgeted financial statements which provide a comprehensive snapshot of entity finances for the 2015–16</w:t>
      </w:r>
      <w:r>
        <w:rPr>
          <w:color w:val="00B050"/>
        </w:rPr>
        <w:t xml:space="preserve"> </w:t>
      </w:r>
      <w:r>
        <w:t xml:space="preserve">budget </w:t>
      </w:r>
      <w:proofErr w:type="gramStart"/>
      <w:r>
        <w:t>year</w:t>
      </w:r>
      <w:proofErr w:type="gramEnd"/>
      <w:r>
        <w:t>.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E9027A" w:rsidRPr="00AA2983" w:rsidRDefault="00E9027A" w:rsidP="00560562">
      <w:pPr>
        <w:pStyle w:val="Heading3"/>
        <w:rPr>
          <w:rFonts w:cs="Arial"/>
        </w:rPr>
      </w:pPr>
      <w:r w:rsidRPr="00AA2983">
        <w:rPr>
          <w:rFonts w:cs="Arial"/>
        </w:rPr>
        <w:t>3.1</w:t>
      </w:r>
      <w:r w:rsidRPr="00AA2983">
        <w:rPr>
          <w:rFonts w:cs="Arial"/>
        </w:rPr>
        <w:tab/>
        <w:t>Explanatory tables</w:t>
      </w:r>
    </w:p>
    <w:p w:rsidR="00E9027A" w:rsidRPr="00AA2983" w:rsidRDefault="00E9027A" w:rsidP="00560562">
      <w:pPr>
        <w:pStyle w:val="Heading4"/>
        <w:rPr>
          <w:rFonts w:cs="Arial"/>
        </w:rPr>
      </w:pPr>
      <w:r w:rsidRPr="00AA2983">
        <w:rPr>
          <w:rFonts w:cs="Arial"/>
        </w:rPr>
        <w:t>3.1.1</w:t>
      </w:r>
      <w:r w:rsidRPr="00AA2983">
        <w:rPr>
          <w:rFonts w:cs="Arial"/>
        </w:rPr>
        <w:tab/>
        <w:t>Movement of administered funds between years</w:t>
      </w:r>
    </w:p>
    <w:p w:rsidR="00E9027A" w:rsidRDefault="00E9027A" w:rsidP="00560562">
      <w:r w:rsidRPr="00AA2983">
        <w:t xml:space="preserve">The </w:t>
      </w:r>
      <w:r>
        <w:t xml:space="preserve">Fair Work Building Industry Inspectorate has no </w:t>
      </w:r>
      <w:r w:rsidRPr="00AA2983">
        <w:t>administered funds appropriations</w:t>
      </w:r>
      <w:r>
        <w:t>. For this reason Table 3.1.1 is not presented.</w:t>
      </w:r>
    </w:p>
    <w:p w:rsidR="00E9027A" w:rsidRPr="00AA2983" w:rsidRDefault="00E9027A" w:rsidP="00560562">
      <w:pPr>
        <w:pStyle w:val="Heading4"/>
        <w:rPr>
          <w:rFonts w:cs="Arial"/>
        </w:rPr>
      </w:pPr>
      <w:r w:rsidRPr="00AA2983">
        <w:rPr>
          <w:rFonts w:cs="Arial"/>
        </w:rPr>
        <w:t>3.1.2</w:t>
      </w:r>
      <w:r w:rsidRPr="00AA2983">
        <w:rPr>
          <w:rFonts w:cs="Arial"/>
        </w:rPr>
        <w:tab/>
        <w:t>Special Accounts</w:t>
      </w:r>
    </w:p>
    <w:p w:rsidR="00E9027A" w:rsidRDefault="00E9027A" w:rsidP="00560562">
      <w:r w:rsidRPr="00AA2983">
        <w:t xml:space="preserve">The </w:t>
      </w:r>
      <w:r>
        <w:t>Fair Work Building Industry Inspectorate has no special accounts. For this reason Table 3.1.2 is not presented.</w:t>
      </w:r>
    </w:p>
    <w:p w:rsidR="00E9027A" w:rsidRPr="00AA2983" w:rsidRDefault="00E9027A" w:rsidP="00560562">
      <w:pPr>
        <w:pStyle w:val="Heading4"/>
        <w:rPr>
          <w:rFonts w:cs="Arial"/>
        </w:rPr>
      </w:pPr>
      <w:r w:rsidRPr="00AA2983">
        <w:rPr>
          <w:rFonts w:cs="Arial"/>
        </w:rPr>
        <w:t>3.1.3</w:t>
      </w:r>
      <w:r w:rsidRPr="00AA2983">
        <w:rPr>
          <w:rFonts w:cs="Arial"/>
        </w:rPr>
        <w:tab/>
      </w:r>
      <w:r>
        <w:rPr>
          <w:rFonts w:cs="Arial"/>
        </w:rPr>
        <w:t xml:space="preserve">Australian Government Indigenous </w:t>
      </w:r>
      <w:r w:rsidR="00A81D60">
        <w:rPr>
          <w:rFonts w:cs="Arial"/>
        </w:rPr>
        <w:t>e</w:t>
      </w:r>
      <w:r>
        <w:rPr>
          <w:rFonts w:cs="Arial"/>
        </w:rPr>
        <w:t>xpenditure</w:t>
      </w:r>
    </w:p>
    <w:p w:rsidR="00E9027A" w:rsidRPr="00AA2983" w:rsidRDefault="00E9027A" w:rsidP="00560562">
      <w:r w:rsidRPr="00AA2983">
        <w:t xml:space="preserve">The </w:t>
      </w:r>
      <w:r>
        <w:t>Fair Work Building Industry Inspectorate</w:t>
      </w:r>
      <w:r w:rsidRPr="00AA2983">
        <w:t xml:space="preserve"> has no </w:t>
      </w:r>
      <w:r w:rsidRPr="00AA2983">
        <w:rPr>
          <w:rFonts w:cs="Arial"/>
        </w:rPr>
        <w:t xml:space="preserve">Australian </w:t>
      </w:r>
      <w:r>
        <w:rPr>
          <w:rFonts w:cs="Arial"/>
        </w:rPr>
        <w:t>Government</w:t>
      </w:r>
      <w:r w:rsidRPr="00AA2983">
        <w:rPr>
          <w:rFonts w:cs="Arial"/>
        </w:rPr>
        <w:t xml:space="preserve"> Indigenous </w:t>
      </w:r>
      <w:r w:rsidR="00A81D60">
        <w:rPr>
          <w:rFonts w:cs="Arial"/>
        </w:rPr>
        <w:t>e</w:t>
      </w:r>
      <w:r w:rsidRPr="00AA2983">
        <w:rPr>
          <w:rFonts w:cs="Arial"/>
        </w:rPr>
        <w:t>xpenditure</w:t>
      </w:r>
      <w:r>
        <w:t>. For this reason Table 3.1.3 is not presented.</w:t>
      </w:r>
    </w:p>
    <w:p w:rsidR="00E9027A" w:rsidRPr="00AA2983" w:rsidRDefault="00E9027A" w:rsidP="00560562">
      <w:pPr>
        <w:pStyle w:val="Heading3"/>
        <w:rPr>
          <w:rFonts w:cs="Arial"/>
        </w:rPr>
      </w:pPr>
      <w:r w:rsidRPr="00AA2983">
        <w:rPr>
          <w:rFonts w:cs="Arial"/>
        </w:rPr>
        <w:t>3.2</w:t>
      </w:r>
      <w:r w:rsidRPr="00AA2983">
        <w:rPr>
          <w:rFonts w:cs="Arial"/>
        </w:rPr>
        <w:tab/>
        <w:t>Budgeted financial statements</w:t>
      </w:r>
    </w:p>
    <w:p w:rsidR="00E9027A" w:rsidRPr="00AA2983" w:rsidRDefault="00E9027A" w:rsidP="00560562">
      <w:pPr>
        <w:pStyle w:val="Heading4"/>
        <w:rPr>
          <w:rFonts w:cs="Arial"/>
        </w:rPr>
      </w:pPr>
      <w:r w:rsidRPr="00AA2983">
        <w:rPr>
          <w:rFonts w:cs="Arial"/>
        </w:rPr>
        <w:t>3.2.1</w:t>
      </w:r>
      <w:r w:rsidRPr="00AA2983">
        <w:rPr>
          <w:rFonts w:cs="Arial"/>
        </w:rPr>
        <w:tab/>
        <w:t>Differences in agency resourcing and financial statements</w:t>
      </w:r>
    </w:p>
    <w:p w:rsidR="00E9027A" w:rsidRPr="00AA2983" w:rsidRDefault="00E9027A" w:rsidP="00560562">
      <w:r>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2015–16 Budget year, including amounts related to meeting future employee entitlement obligations.</w:t>
      </w:r>
    </w:p>
    <w:p w:rsidR="00E9027A" w:rsidRPr="00AA2983" w:rsidRDefault="00E9027A" w:rsidP="00560562">
      <w:pPr>
        <w:pStyle w:val="Heading4"/>
        <w:rPr>
          <w:rFonts w:cs="Arial"/>
        </w:rPr>
      </w:pPr>
      <w:r w:rsidRPr="00AA2983">
        <w:rPr>
          <w:rFonts w:cs="Arial"/>
        </w:rPr>
        <w:t>3.2.2</w:t>
      </w:r>
      <w:r w:rsidRPr="00AA2983">
        <w:rPr>
          <w:rFonts w:cs="Arial"/>
        </w:rPr>
        <w:tab/>
        <w:t>Analysis of budgeted financial statements</w:t>
      </w:r>
    </w:p>
    <w:p w:rsidR="00E9027A" w:rsidRPr="00AA2983" w:rsidRDefault="00E9027A" w:rsidP="00560562">
      <w:r w:rsidRPr="00AA2983">
        <w:t xml:space="preserve">The </w:t>
      </w:r>
      <w:r>
        <w:t>Fair Work Building Industry Inspectorate</w:t>
      </w:r>
      <w:r w:rsidRPr="00AA2983">
        <w:t xml:space="preserve"> is budgeting for a</w:t>
      </w:r>
      <w:r>
        <w:t>n operating loss equal to the unappropriated depreciation and amortisation expense of $0.3</w:t>
      </w:r>
      <w:r w:rsidR="00BA1ED1">
        <w:t> </w:t>
      </w:r>
      <w:r>
        <w:t xml:space="preserve">million for the 2015–16 financial </w:t>
      </w:r>
      <w:proofErr w:type="gramStart"/>
      <w:r>
        <w:t>year</w:t>
      </w:r>
      <w:proofErr w:type="gramEnd"/>
      <w:r>
        <w:t>.</w:t>
      </w:r>
    </w:p>
    <w:p w:rsidR="00E9027A" w:rsidRPr="00AA2983" w:rsidRDefault="00E9027A" w:rsidP="00560562">
      <w:r w:rsidRPr="00AA2983">
        <w:lastRenderedPageBreak/>
        <w:t>Total revenue</w:t>
      </w:r>
      <w:r>
        <w:t>s are estimated to be $33.</w:t>
      </w:r>
      <w:r w:rsidR="00B364D0">
        <w:t>6</w:t>
      </w:r>
      <w:r>
        <w:t xml:space="preserve"> million</w:t>
      </w:r>
      <w:r w:rsidRPr="00AA2983">
        <w:t xml:space="preserve"> and </w:t>
      </w:r>
      <w:r>
        <w:t xml:space="preserve">total </w:t>
      </w:r>
      <w:r w:rsidRPr="00AA2983">
        <w:t>expenses $</w:t>
      </w:r>
      <w:r>
        <w:t>34.0</w:t>
      </w:r>
      <w:r w:rsidRPr="00AA2983">
        <w:t xml:space="preserve"> </w:t>
      </w:r>
      <w:r>
        <w:t>million.</w:t>
      </w:r>
      <w:r w:rsidRPr="00AA2983">
        <w:t xml:space="preserve"> </w:t>
      </w:r>
    </w:p>
    <w:p w:rsidR="00E9027A" w:rsidRPr="00AA2983" w:rsidRDefault="00E9027A" w:rsidP="00560562">
      <w:r w:rsidRPr="00AA2983">
        <w:t xml:space="preserve">Total assets </w:t>
      </w:r>
      <w:r>
        <w:t>at the end of the</w:t>
      </w:r>
      <w:r w:rsidRPr="00AA2983">
        <w:t xml:space="preserve"> 20</w:t>
      </w:r>
      <w:r>
        <w:t>15–</w:t>
      </w:r>
      <w:r w:rsidRPr="00AA2983">
        <w:t>1</w:t>
      </w:r>
      <w:r>
        <w:t>6</w:t>
      </w:r>
      <w:r w:rsidRPr="00AA2983">
        <w:t xml:space="preserve"> </w:t>
      </w:r>
      <w:r>
        <w:t xml:space="preserve">financial </w:t>
      </w:r>
      <w:proofErr w:type="gramStart"/>
      <w:r>
        <w:t>year</w:t>
      </w:r>
      <w:proofErr w:type="gramEnd"/>
      <w:r>
        <w:t xml:space="preserve"> </w:t>
      </w:r>
      <w:r w:rsidRPr="00AA2983">
        <w:t>are estimated to be $</w:t>
      </w:r>
      <w:r>
        <w:t>51.1</w:t>
      </w:r>
      <w:r w:rsidR="00BA1ED1">
        <w:t> </w:t>
      </w:r>
      <w:r>
        <w:t>million.</w:t>
      </w:r>
      <w:r w:rsidRPr="00AA2983">
        <w:t xml:space="preserve"> The majority of the assets represent receivables (appropriations receivable)</w:t>
      </w:r>
      <w:r>
        <w:t xml:space="preserve"> and property fit outs</w:t>
      </w:r>
      <w:r w:rsidRPr="00AA2983">
        <w:t xml:space="preserve">. Asset acquisitions are </w:t>
      </w:r>
      <w:r>
        <w:t>planned</w:t>
      </w:r>
      <w:r w:rsidRPr="00AA2983">
        <w:t xml:space="preserve"> in I</w:t>
      </w:r>
      <w:r>
        <w:t xml:space="preserve">nformation </w:t>
      </w:r>
      <w:r w:rsidRPr="00AA2983">
        <w:t>T</w:t>
      </w:r>
      <w:r>
        <w:t>echnology equipment and systems</w:t>
      </w:r>
      <w:r w:rsidRPr="00AA2983">
        <w:t xml:space="preserve"> and on office accommodation fit outs.</w:t>
      </w:r>
    </w:p>
    <w:p w:rsidR="00E9027A" w:rsidRPr="00AA2983" w:rsidRDefault="00E9027A" w:rsidP="00560562">
      <w:r w:rsidRPr="00AA2983">
        <w:t>Total liabilities for 20</w:t>
      </w:r>
      <w:r>
        <w:t>15–</w:t>
      </w:r>
      <w:r w:rsidRPr="00AA2983">
        <w:t>1</w:t>
      </w:r>
      <w:r>
        <w:t>6</w:t>
      </w:r>
      <w:r w:rsidRPr="00AA2983">
        <w:t xml:space="preserve"> are estimated at $</w:t>
      </w:r>
      <w:r w:rsidR="00C03A93">
        <w:t>6</w:t>
      </w:r>
      <w:r>
        <w:t xml:space="preserve"> million. </w:t>
      </w:r>
      <w:r w:rsidRPr="00AA2983">
        <w:t>The largest liability item is accrued employee entitlements.</w:t>
      </w:r>
    </w:p>
    <w:p w:rsidR="00F64B73" w:rsidRDefault="00F64B73" w:rsidP="00560562">
      <w:pPr>
        <w:pStyle w:val="Heading4"/>
        <w:rPr>
          <w:rFonts w:cs="Arial"/>
        </w:rPr>
      </w:pPr>
      <w:r>
        <w:rPr>
          <w:rFonts w:cs="Arial"/>
        </w:rPr>
        <w:br w:type="page"/>
      </w:r>
    </w:p>
    <w:p w:rsidR="00E9027A" w:rsidRPr="00AA2983" w:rsidRDefault="00E9027A" w:rsidP="00560562">
      <w:pPr>
        <w:pStyle w:val="Heading4"/>
        <w:rPr>
          <w:rFonts w:cs="Arial"/>
        </w:rPr>
      </w:pPr>
      <w:r w:rsidRPr="00AA2983">
        <w:rPr>
          <w:rFonts w:cs="Arial"/>
        </w:rPr>
        <w:lastRenderedPageBreak/>
        <w:t>3.2.3</w:t>
      </w:r>
      <w:r w:rsidRPr="00AA2983">
        <w:rPr>
          <w:rFonts w:cs="Arial"/>
        </w:rPr>
        <w:tab/>
        <w:t>Budgeted financial statements tables</w:t>
      </w:r>
    </w:p>
    <w:p w:rsidR="00E9027A" w:rsidRPr="00B472E1" w:rsidRDefault="00E9027A" w:rsidP="00560562">
      <w:pPr>
        <w:pStyle w:val="TableHeading"/>
      </w:pPr>
      <w:r w:rsidRPr="00B472E1">
        <w:t xml:space="preserve">Table 3.2.1: Comprehensive income statement (showing net cost of services) </w:t>
      </w:r>
      <w:r w:rsidR="009F52B8">
        <w:t>for the period ended 30 June</w:t>
      </w:r>
    </w:p>
    <w:p w:rsidR="00E9027A" w:rsidRDefault="0028681C" w:rsidP="00AB0B01">
      <w:pPr>
        <w:pStyle w:val="TableGraphic"/>
      </w:pPr>
      <w:r>
        <w:pict>
          <v:shape id="_x0000_i1120" type="#_x0000_t75" style="width:359.35pt;height:319.95pt">
            <v:imagedata r:id="rId27" o:title=""/>
          </v:shape>
        </w:pict>
      </w:r>
    </w:p>
    <w:p w:rsidR="00AB0B01" w:rsidRDefault="00AB0B01" w:rsidP="00BA1ED1">
      <w:pPr>
        <w:pStyle w:val="FootnoteText"/>
      </w:pPr>
      <w:r>
        <w:br w:type="page"/>
      </w:r>
    </w:p>
    <w:p w:rsidR="00AB0B01" w:rsidRDefault="00AB0B01" w:rsidP="00AB0B01">
      <w:pPr>
        <w:pStyle w:val="TableHeading"/>
      </w:pPr>
      <w:r w:rsidRPr="00B472E1">
        <w:lastRenderedPageBreak/>
        <w:t xml:space="preserve">Table 3.2.1: Comprehensive income statement </w:t>
      </w:r>
      <w:r w:rsidR="009F52B8">
        <w:t>(showing net cost of services) for the period ended 30 June</w:t>
      </w:r>
      <w:r>
        <w:t xml:space="preserve"> (continued)</w:t>
      </w:r>
    </w:p>
    <w:p w:rsidR="00C008F0" w:rsidRPr="00C008F0" w:rsidRDefault="00C008F0" w:rsidP="00C008F0">
      <w:pPr>
        <w:pStyle w:val="TableHeading"/>
      </w:pPr>
      <w:r w:rsidRPr="00C008F0">
        <w:t>Note: Impact of net cash appropriation arrangements</w:t>
      </w:r>
    </w:p>
    <w:p w:rsidR="00C008F0" w:rsidRPr="00C008F0" w:rsidRDefault="0028681C" w:rsidP="00C008F0">
      <w:pPr>
        <w:pStyle w:val="TableGraphic"/>
      </w:pPr>
      <w:r>
        <w:pict>
          <v:shape id="_x0000_i1121" type="#_x0000_t75" style="width:358.75pt;height:126.45pt">
            <v:imagedata r:id="rId28" o:title=""/>
          </v:shape>
        </w:pict>
      </w:r>
    </w:p>
    <w:p w:rsidR="00AB0B01" w:rsidRDefault="00AB0B01" w:rsidP="00C008F0">
      <w:pPr>
        <w:pStyle w:val="FootnoteText"/>
      </w:pPr>
    </w:p>
    <w:p w:rsidR="00AB0B01" w:rsidRDefault="00AB0B01" w:rsidP="00AB0B01">
      <w:pPr>
        <w:pStyle w:val="FootnoteText"/>
      </w:pPr>
      <w:r w:rsidRPr="00844BE8">
        <w:rPr>
          <w:rStyle w:val="FootnoteTextChar"/>
          <w:vertAlign w:val="superscript"/>
        </w:rPr>
        <w:t>1</w:t>
      </w:r>
      <w:r w:rsidRPr="00AB0B01">
        <w:rPr>
          <w:rStyle w:val="FootnoteTextChar"/>
        </w:rPr>
        <w:t xml:space="preserve"> From 2010</w:t>
      </w:r>
      <w:r>
        <w:rPr>
          <w:rStyle w:val="FootnoteTextChar"/>
        </w:rPr>
        <w:t>–</w:t>
      </w:r>
      <w:r w:rsidRPr="00AB0B01">
        <w:rPr>
          <w:rStyle w:val="FootnoteTextChar"/>
        </w:rPr>
        <w:t xml:space="preserve">11, the </w:t>
      </w:r>
      <w:r>
        <w:rPr>
          <w:rStyle w:val="FootnoteTextChar"/>
        </w:rPr>
        <w:t>g</w:t>
      </w:r>
      <w:r w:rsidRPr="00AB0B01">
        <w:rPr>
          <w:rStyle w:val="FootnoteTextChar"/>
        </w:rPr>
        <w:t xml:space="preserve">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w:t>
      </w:r>
      <w:proofErr w:type="spellStart"/>
      <w:r w:rsidRPr="00AB0B01">
        <w:rPr>
          <w:rStyle w:val="FootnoteTextChar"/>
        </w:rPr>
        <w:t>DCB</w:t>
      </w:r>
      <w:proofErr w:type="spellEnd"/>
      <w:r w:rsidRPr="00AB0B01">
        <w:rPr>
          <w:rStyle w:val="FootnoteTextChar"/>
        </w:rPr>
        <w:t xml:space="preserve">) provided through Bill 1 equity appropriations. For information regarding </w:t>
      </w:r>
      <w:proofErr w:type="spellStart"/>
      <w:r w:rsidRPr="00AB0B01">
        <w:rPr>
          <w:rStyle w:val="FootnoteTextChar"/>
        </w:rPr>
        <w:t>DCBs</w:t>
      </w:r>
      <w:proofErr w:type="spellEnd"/>
      <w:r w:rsidRPr="00AB0B01">
        <w:rPr>
          <w:rStyle w:val="FootnoteTextChar"/>
        </w:rPr>
        <w:t>, please refer to Table 3.2.5 Departmental Capital Budget Statement.</w:t>
      </w:r>
    </w:p>
    <w:p w:rsidR="00E9027A" w:rsidRPr="005D4CD1" w:rsidRDefault="00E9027A" w:rsidP="00AB0B01">
      <w:pPr>
        <w:pStyle w:val="FootnoteText"/>
      </w:pPr>
      <w:proofErr w:type="gramStart"/>
      <w:r w:rsidRPr="005D4CD1">
        <w:t>Prepared on Australian Accounting Standards basis.</w:t>
      </w:r>
      <w:proofErr w:type="gramEnd"/>
    </w:p>
    <w:p w:rsidR="00E9027A" w:rsidRPr="00B472E1" w:rsidRDefault="00E9027A" w:rsidP="00560562">
      <w:pPr>
        <w:pStyle w:val="TableHeading"/>
      </w:pPr>
      <w:r w:rsidRPr="00AA2983">
        <w:br w:type="page"/>
      </w:r>
      <w:r w:rsidRPr="00B472E1">
        <w:lastRenderedPageBreak/>
        <w:t>Table 3.2.2: Budgeted departmental balance sheet (as at 30 June)</w:t>
      </w:r>
    </w:p>
    <w:p w:rsidR="00E9027A" w:rsidRPr="005D4CD1" w:rsidRDefault="0028681C" w:rsidP="00AB0B01">
      <w:pPr>
        <w:pStyle w:val="TableGraphic"/>
      </w:pPr>
      <w:r>
        <w:pict>
          <v:shape id="_x0000_i1122" type="#_x0000_t75" style="width:358.75pt;height:279.25pt">
            <v:imagedata r:id="rId29" o:title=""/>
          </v:shape>
        </w:pict>
      </w:r>
    </w:p>
    <w:p w:rsidR="00AB0B01" w:rsidRDefault="00AB0B01" w:rsidP="00BA1ED1">
      <w:pPr>
        <w:pStyle w:val="FootnoteText"/>
      </w:pPr>
      <w:r>
        <w:br w:type="page"/>
      </w:r>
    </w:p>
    <w:p w:rsidR="00AB0B01" w:rsidRDefault="00AB0B01" w:rsidP="007036AE">
      <w:pPr>
        <w:pStyle w:val="TableHeadingNoTable"/>
      </w:pPr>
      <w:r w:rsidRPr="00B472E1">
        <w:lastRenderedPageBreak/>
        <w:t>Table 3.2.2: Budgeted departmental balance sheet (as at 30 June)</w:t>
      </w:r>
      <w:r w:rsidR="007036AE">
        <w:t xml:space="preserve"> (continued)</w:t>
      </w:r>
    </w:p>
    <w:p w:rsidR="007036AE" w:rsidRDefault="0028681C" w:rsidP="006018F6">
      <w:pPr>
        <w:pStyle w:val="FootnoteText"/>
      </w:pPr>
      <w:r>
        <w:pict>
          <v:shape id="_x0000_i1123" type="#_x0000_t75" style="width:354.35pt;height:115.85pt">
            <v:imagedata r:id="rId30" o:title=""/>
          </v:shape>
        </w:pict>
      </w:r>
    </w:p>
    <w:p w:rsidR="00C258F6" w:rsidRDefault="00C258F6" w:rsidP="00BA1ED1">
      <w:pPr>
        <w:pStyle w:val="FootnoteText"/>
      </w:pPr>
    </w:p>
    <w:p w:rsidR="00E9027A" w:rsidRPr="005D4CD1" w:rsidRDefault="00E9027A" w:rsidP="00BA1ED1">
      <w:pPr>
        <w:pStyle w:val="FootnoteText"/>
      </w:pPr>
      <w:r w:rsidRPr="005D4CD1">
        <w:t>*</w:t>
      </w:r>
      <w:r w:rsidRPr="005D4CD1">
        <w:tab/>
        <w:t>'Equity' is the residual interest in assets after deduction of liabilities.</w:t>
      </w:r>
    </w:p>
    <w:p w:rsidR="00E9027A" w:rsidRPr="005D4CD1" w:rsidRDefault="00E9027A" w:rsidP="00BA1ED1">
      <w:pPr>
        <w:pStyle w:val="FootnoteText"/>
      </w:pPr>
      <w:proofErr w:type="gramStart"/>
      <w:r w:rsidRPr="005D4CD1">
        <w:t>Prepared on Australian Accounting Standards basis.</w:t>
      </w:r>
      <w:proofErr w:type="gramEnd"/>
    </w:p>
    <w:p w:rsidR="00E9027A" w:rsidRPr="00B472E1" w:rsidRDefault="00E9027A" w:rsidP="00560562">
      <w:pPr>
        <w:pStyle w:val="TableHeading"/>
      </w:pPr>
      <w:r w:rsidRPr="00AA2983">
        <w:br w:type="page"/>
      </w:r>
      <w:r w:rsidRPr="00B472E1">
        <w:lastRenderedPageBreak/>
        <w:t xml:space="preserve">Table 3.2.3: Departmental statement of changes in equity—summary of movement (Budget year </w:t>
      </w:r>
      <w:r>
        <w:t>2015–16</w:t>
      </w:r>
      <w:r w:rsidRPr="00B472E1">
        <w:t>)</w:t>
      </w:r>
    </w:p>
    <w:p w:rsidR="00E9027A" w:rsidRPr="000825C3" w:rsidRDefault="0028681C" w:rsidP="00C03A93">
      <w:pPr>
        <w:pStyle w:val="TableGraphic"/>
        <w:rPr>
          <w:sz w:val="16"/>
          <w:szCs w:val="16"/>
        </w:rPr>
      </w:pPr>
      <w:r>
        <w:pict>
          <v:shape id="_x0000_i1124" type="#_x0000_t75" style="width:365pt;height:241.65pt">
            <v:imagedata r:id="rId31" o:title=""/>
          </v:shape>
        </w:pict>
      </w:r>
    </w:p>
    <w:p w:rsidR="00E9027A" w:rsidRDefault="00E9027A" w:rsidP="00C258F6">
      <w:pPr>
        <w:pStyle w:val="FootnoteText"/>
      </w:pPr>
    </w:p>
    <w:p w:rsidR="00E9027A" w:rsidRPr="00642F5D" w:rsidRDefault="00E9027A" w:rsidP="00BA1ED1">
      <w:pPr>
        <w:pStyle w:val="FootnoteText"/>
      </w:pPr>
      <w:proofErr w:type="gramStart"/>
      <w:r w:rsidRPr="00642F5D">
        <w:t>Prepared on Australian Accounting Standards basis.</w:t>
      </w:r>
      <w:proofErr w:type="gramEnd"/>
    </w:p>
    <w:p w:rsidR="00E9027A" w:rsidRPr="00B472E1" w:rsidRDefault="00E9027A" w:rsidP="00560562">
      <w:pPr>
        <w:pStyle w:val="TableHeading"/>
      </w:pPr>
      <w:r w:rsidRPr="00AA2983">
        <w:br w:type="page"/>
      </w:r>
      <w:r w:rsidRPr="00B472E1">
        <w:lastRenderedPageBreak/>
        <w:t>Table 3.2.4: Budgeted departmental statement of cash flows</w:t>
      </w:r>
      <w:r w:rsidR="009F52B8">
        <w:t xml:space="preserve"> </w:t>
      </w:r>
      <w:r w:rsidRPr="00B472E1">
        <w:t>(for the period ended 30 June)</w:t>
      </w:r>
    </w:p>
    <w:p w:rsidR="00D05127" w:rsidRDefault="0028681C" w:rsidP="007036AE">
      <w:pPr>
        <w:pStyle w:val="TableGraphic"/>
      </w:pPr>
      <w:r>
        <w:pict>
          <v:shape id="_x0000_i1125" type="#_x0000_t75" style="width:5in;height:262.35pt">
            <v:imagedata r:id="rId32" o:title=""/>
          </v:shape>
        </w:pict>
      </w:r>
    </w:p>
    <w:p w:rsidR="007036AE" w:rsidRDefault="007036AE" w:rsidP="007036AE">
      <w:pPr>
        <w:pStyle w:val="TableGraphic"/>
      </w:pPr>
      <w:r>
        <w:br w:type="page"/>
      </w:r>
    </w:p>
    <w:p w:rsidR="00E9027A" w:rsidRDefault="007036AE" w:rsidP="007036AE">
      <w:pPr>
        <w:pStyle w:val="TableHeadingNoTable"/>
      </w:pPr>
      <w:r w:rsidRPr="00B472E1">
        <w:lastRenderedPageBreak/>
        <w:t>Table 3.2.4: Budgeted departmental statement of cash flows</w:t>
      </w:r>
      <w:r w:rsidR="009F52B8">
        <w:t xml:space="preserve"> </w:t>
      </w:r>
      <w:r w:rsidRPr="00B472E1">
        <w:t>(for the period ended 30 June)</w:t>
      </w:r>
      <w:r>
        <w:t xml:space="preserve"> (continued) </w:t>
      </w:r>
    </w:p>
    <w:p w:rsidR="007036AE" w:rsidRPr="007036AE" w:rsidRDefault="0028681C" w:rsidP="007036AE">
      <w:pPr>
        <w:pStyle w:val="TableGraphic"/>
      </w:pPr>
      <w:r>
        <w:pict>
          <v:shape id="_x0000_i1126" type="#_x0000_t75" style="width:358.75pt;height:196.6pt">
            <v:imagedata r:id="rId33" o:title=""/>
          </v:shape>
        </w:pict>
      </w:r>
    </w:p>
    <w:p w:rsidR="00C258F6" w:rsidRDefault="00C258F6" w:rsidP="00BA1ED1">
      <w:pPr>
        <w:pStyle w:val="FootnoteText"/>
      </w:pPr>
    </w:p>
    <w:p w:rsidR="00E9027A" w:rsidRPr="00642F5D" w:rsidRDefault="00E9027A" w:rsidP="00BA1ED1">
      <w:pPr>
        <w:pStyle w:val="FootnoteText"/>
      </w:pPr>
      <w:proofErr w:type="gramStart"/>
      <w:r w:rsidRPr="00642F5D">
        <w:t>Prepared on Australian Accounting Standards basis.</w:t>
      </w:r>
      <w:proofErr w:type="gramEnd"/>
    </w:p>
    <w:p w:rsidR="007036AE" w:rsidRDefault="007036AE" w:rsidP="00560562">
      <w:pPr>
        <w:pStyle w:val="TableHeading"/>
      </w:pPr>
      <w:r>
        <w:br w:type="page"/>
      </w:r>
    </w:p>
    <w:p w:rsidR="00E9027A" w:rsidRPr="00B472E1" w:rsidRDefault="00E9027A" w:rsidP="00560562">
      <w:pPr>
        <w:pStyle w:val="TableHeading"/>
      </w:pPr>
      <w:r w:rsidRPr="00B472E1">
        <w:lastRenderedPageBreak/>
        <w:t>Table 3.2.5: Departmental capital budget statement</w:t>
      </w:r>
      <w:r w:rsidR="009F52B8">
        <w:t xml:space="preserve"> (for the period ended 30 June)</w:t>
      </w:r>
    </w:p>
    <w:p w:rsidR="00E9027A" w:rsidRPr="00AA2983" w:rsidRDefault="0028681C" w:rsidP="004C4CAE">
      <w:pPr>
        <w:pStyle w:val="TableGraphic"/>
      </w:pPr>
      <w:r>
        <w:pict>
          <v:shape id="_x0000_i1127" type="#_x0000_t75" style="width:356.25pt;height:233.55pt;mso-position-vertical:absolute">
            <v:imagedata r:id="rId34" o:title=""/>
          </v:shape>
        </w:pict>
      </w:r>
    </w:p>
    <w:p w:rsidR="00C258F6" w:rsidRDefault="00C258F6" w:rsidP="00BA1ED1">
      <w:pPr>
        <w:pStyle w:val="FootnoteText"/>
      </w:pPr>
    </w:p>
    <w:p w:rsidR="00E9027A" w:rsidRPr="00BA1ED1" w:rsidRDefault="00E9027A" w:rsidP="00BA1ED1">
      <w:pPr>
        <w:pStyle w:val="FootnoteText"/>
      </w:pPr>
      <w:r w:rsidRPr="00734C7A">
        <w:rPr>
          <w:rStyle w:val="FootnoteReference"/>
        </w:rPr>
        <w:t>1</w:t>
      </w:r>
      <w:r w:rsidRPr="00BA1ED1">
        <w:t xml:space="preserve"> </w:t>
      </w:r>
      <w:proofErr w:type="gramStart"/>
      <w:r w:rsidRPr="00BA1ED1">
        <w:t>Does not include annual finance lease costs.</w:t>
      </w:r>
      <w:proofErr w:type="gramEnd"/>
      <w:r w:rsidRPr="00BA1ED1">
        <w:t xml:space="preserve">  Include purchase from current and previous</w:t>
      </w:r>
      <w:r w:rsidR="00BA1ED1">
        <w:t xml:space="preserve"> </w:t>
      </w:r>
      <w:r w:rsidRPr="00BA1ED1">
        <w:t>years' Departmental Capital Budgets (</w:t>
      </w:r>
      <w:proofErr w:type="spellStart"/>
      <w:r w:rsidRPr="00BA1ED1">
        <w:t>DCBs</w:t>
      </w:r>
      <w:proofErr w:type="spellEnd"/>
      <w:r w:rsidRPr="00BA1ED1">
        <w:t>).</w:t>
      </w:r>
    </w:p>
    <w:p w:rsidR="00063E48" w:rsidRDefault="00E9027A" w:rsidP="00063E48">
      <w:pPr>
        <w:pStyle w:val="FootnoteText"/>
      </w:pPr>
      <w:r w:rsidRPr="00734C7A">
        <w:rPr>
          <w:rStyle w:val="FootnoteReference"/>
        </w:rPr>
        <w:t>2</w:t>
      </w:r>
      <w:r w:rsidRPr="00BA1ED1">
        <w:t xml:space="preserve"> Includes the following sources of funding:</w:t>
      </w:r>
    </w:p>
    <w:p w:rsidR="00E9027A" w:rsidRPr="00BA1ED1" w:rsidRDefault="00063E48" w:rsidP="00063E48">
      <w:pPr>
        <w:pStyle w:val="FootnoteText"/>
      </w:pPr>
      <w:r>
        <w:tab/>
      </w:r>
      <w:r w:rsidR="00E9027A" w:rsidRPr="00BA1ED1">
        <w:t xml:space="preserve">- </w:t>
      </w:r>
      <w:proofErr w:type="gramStart"/>
      <w:r w:rsidR="00E9027A" w:rsidRPr="00BA1ED1">
        <w:t>current</w:t>
      </w:r>
      <w:proofErr w:type="gramEnd"/>
      <w:r w:rsidR="00E9027A" w:rsidRPr="00BA1ED1">
        <w:t xml:space="preserve"> Bill 1 and prior year Act 1/3/5 appropriations (excluding amounts from the </w:t>
      </w:r>
      <w:proofErr w:type="spellStart"/>
      <w:r w:rsidR="00E9027A" w:rsidRPr="00BA1ED1">
        <w:t>DCB</w:t>
      </w:r>
      <w:proofErr w:type="spellEnd"/>
      <w:r w:rsidR="00E9027A" w:rsidRPr="00BA1ED1">
        <w:t>).</w:t>
      </w:r>
    </w:p>
    <w:p w:rsidR="00E9027A" w:rsidRPr="00BA1ED1" w:rsidRDefault="00063E48" w:rsidP="00BA1ED1">
      <w:pPr>
        <w:pStyle w:val="FootnoteText"/>
      </w:pPr>
      <w:r>
        <w:tab/>
      </w:r>
      <w:r w:rsidR="00E9027A" w:rsidRPr="00BA1ED1">
        <w:t xml:space="preserve">- </w:t>
      </w:r>
      <w:proofErr w:type="gramStart"/>
      <w:r w:rsidR="00E9027A" w:rsidRPr="00BA1ED1">
        <w:t>donations</w:t>
      </w:r>
      <w:proofErr w:type="gramEnd"/>
      <w:r w:rsidR="00E9027A" w:rsidRPr="00BA1ED1">
        <w:t xml:space="preserve"> and contributions</w:t>
      </w:r>
    </w:p>
    <w:p w:rsidR="00E9027A" w:rsidRPr="00BA1ED1" w:rsidRDefault="00063E48" w:rsidP="00BA1ED1">
      <w:pPr>
        <w:pStyle w:val="FootnoteText"/>
      </w:pPr>
      <w:r>
        <w:tab/>
      </w:r>
      <w:r w:rsidR="00E9027A" w:rsidRPr="00BA1ED1">
        <w:t xml:space="preserve">- </w:t>
      </w:r>
      <w:proofErr w:type="gramStart"/>
      <w:r w:rsidR="00E9027A" w:rsidRPr="00BA1ED1">
        <w:t>gifts</w:t>
      </w:r>
      <w:proofErr w:type="gramEnd"/>
    </w:p>
    <w:p w:rsidR="00E9027A" w:rsidRPr="00BA1ED1" w:rsidRDefault="00063E48" w:rsidP="00BA1ED1">
      <w:pPr>
        <w:pStyle w:val="FootnoteText"/>
      </w:pPr>
      <w:r>
        <w:tab/>
      </w:r>
      <w:r w:rsidR="00E9027A" w:rsidRPr="00BA1ED1">
        <w:t xml:space="preserve">- </w:t>
      </w:r>
      <w:proofErr w:type="gramStart"/>
      <w:r w:rsidR="00E9027A" w:rsidRPr="00BA1ED1">
        <w:t>internally</w:t>
      </w:r>
      <w:proofErr w:type="gramEnd"/>
      <w:r w:rsidR="00E9027A" w:rsidRPr="00BA1ED1">
        <w:t xml:space="preserve"> developed assets</w:t>
      </w:r>
    </w:p>
    <w:p w:rsidR="00E9027A" w:rsidRPr="00BA1ED1" w:rsidRDefault="00063E48" w:rsidP="00BA1ED1">
      <w:pPr>
        <w:pStyle w:val="FootnoteText"/>
      </w:pPr>
      <w:r>
        <w:tab/>
      </w:r>
      <w:r w:rsidR="00E9027A" w:rsidRPr="00BA1ED1">
        <w:t xml:space="preserve">- </w:t>
      </w:r>
      <w:proofErr w:type="spellStart"/>
      <w:proofErr w:type="gramStart"/>
      <w:r w:rsidR="00E9027A" w:rsidRPr="00BA1ED1">
        <w:t>s</w:t>
      </w:r>
      <w:r w:rsidR="00E56782">
        <w:t>74</w:t>
      </w:r>
      <w:proofErr w:type="spellEnd"/>
      <w:proofErr w:type="gramEnd"/>
      <w:r w:rsidR="00E9027A" w:rsidRPr="00BA1ED1">
        <w:t xml:space="preserve"> relevant agency receipts </w:t>
      </w:r>
    </w:p>
    <w:p w:rsidR="00E9027A" w:rsidRPr="00BA1ED1" w:rsidRDefault="00063E48" w:rsidP="00BA1ED1">
      <w:pPr>
        <w:pStyle w:val="FootnoteText"/>
      </w:pPr>
      <w:r>
        <w:tab/>
      </w:r>
      <w:r w:rsidR="00E9027A" w:rsidRPr="00BA1ED1">
        <w:t xml:space="preserve">- </w:t>
      </w:r>
      <w:proofErr w:type="gramStart"/>
      <w:r w:rsidR="00E9027A" w:rsidRPr="00BA1ED1">
        <w:t>proceeds</w:t>
      </w:r>
      <w:proofErr w:type="gramEnd"/>
      <w:r w:rsidR="00E9027A" w:rsidRPr="00BA1ED1">
        <w:t xml:space="preserve"> from the sale of assets</w:t>
      </w:r>
    </w:p>
    <w:p w:rsidR="00E9027A" w:rsidRPr="00BA1ED1" w:rsidRDefault="00E9027A" w:rsidP="00BA1ED1">
      <w:pPr>
        <w:pStyle w:val="FootnoteText"/>
      </w:pPr>
      <w:proofErr w:type="gramStart"/>
      <w:r w:rsidRPr="00BA1ED1">
        <w:t>Prepared on Australian Accounting Standards basis.</w:t>
      </w:r>
      <w:proofErr w:type="gramEnd"/>
    </w:p>
    <w:p w:rsidR="00E9027A" w:rsidRPr="00AA2983" w:rsidRDefault="00E9027A" w:rsidP="00560562">
      <w:pPr>
        <w:pStyle w:val="TableHeading"/>
        <w:rPr>
          <w:rFonts w:cs="Arial"/>
        </w:rPr>
      </w:pPr>
      <w:r w:rsidRPr="00AA2983">
        <w:rPr>
          <w:rFonts w:cs="Arial"/>
        </w:rPr>
        <w:br w:type="page"/>
      </w:r>
      <w:r w:rsidRPr="00AA2983">
        <w:rPr>
          <w:rFonts w:cs="Arial"/>
        </w:rPr>
        <w:lastRenderedPageBreak/>
        <w:t xml:space="preserve">Table 3.2.6: Statement of </w:t>
      </w:r>
      <w:r>
        <w:rPr>
          <w:rFonts w:cs="Arial"/>
        </w:rPr>
        <w:t>a</w:t>
      </w:r>
      <w:r w:rsidRPr="00AA2983">
        <w:rPr>
          <w:rFonts w:cs="Arial"/>
        </w:rPr>
        <w:t>sset</w:t>
      </w:r>
      <w:r>
        <w:rPr>
          <w:rFonts w:cs="Arial"/>
        </w:rPr>
        <w:t xml:space="preserve"> m</w:t>
      </w:r>
      <w:r w:rsidRPr="00AA2983">
        <w:rPr>
          <w:rFonts w:cs="Arial"/>
        </w:rPr>
        <w:t xml:space="preserve">ovements </w:t>
      </w:r>
      <w:r>
        <w:rPr>
          <w:rFonts w:cs="Arial"/>
        </w:rPr>
        <w:t>(</w:t>
      </w:r>
      <w:r w:rsidR="009F52B8">
        <w:rPr>
          <w:rFonts w:cs="Arial"/>
        </w:rPr>
        <w:t xml:space="preserve">Budget year </w:t>
      </w:r>
      <w:r>
        <w:rPr>
          <w:rFonts w:cs="Arial"/>
        </w:rPr>
        <w:t>2015–16)</w:t>
      </w:r>
    </w:p>
    <w:p w:rsidR="00E9027A" w:rsidRDefault="0028681C" w:rsidP="00560562">
      <w:pPr>
        <w:pStyle w:val="TableGraphic"/>
      </w:pPr>
      <w:r>
        <w:pict>
          <v:shape id="_x0000_i1128" type="#_x0000_t75" style="width:343.1pt;height:221.65pt">
            <v:imagedata r:id="rId35" o:title=""/>
          </v:shape>
        </w:pict>
      </w:r>
    </w:p>
    <w:p w:rsidR="00C258F6" w:rsidRDefault="00C258F6" w:rsidP="007036AE">
      <w:pPr>
        <w:pStyle w:val="FootnoteText"/>
      </w:pPr>
    </w:p>
    <w:p w:rsidR="007036AE" w:rsidRDefault="007036AE" w:rsidP="007036AE">
      <w:pPr>
        <w:pStyle w:val="FootnoteText"/>
      </w:pPr>
      <w:proofErr w:type="gramStart"/>
      <w:r w:rsidRPr="00C258F6">
        <w:rPr>
          <w:vertAlign w:val="superscript"/>
        </w:rPr>
        <w:t>1</w:t>
      </w:r>
      <w:r w:rsidRPr="007036AE">
        <w:t xml:space="preserve"> "Appropriation equity"</w:t>
      </w:r>
      <w:proofErr w:type="gramEnd"/>
      <w:r w:rsidRPr="007036AE">
        <w:t xml:space="preserve"> refers to equity injections appropriations provided through Appropriation Bill (No. 2) 2015-16, including </w:t>
      </w:r>
      <w:proofErr w:type="spellStart"/>
      <w:r w:rsidRPr="007036AE">
        <w:t>CDABs</w:t>
      </w:r>
      <w:proofErr w:type="spellEnd"/>
      <w:r w:rsidRPr="007036AE">
        <w:t>.</w:t>
      </w:r>
    </w:p>
    <w:p w:rsidR="00E9027A" w:rsidRPr="00642F5D" w:rsidRDefault="00E9027A" w:rsidP="00337FAC">
      <w:pPr>
        <w:pStyle w:val="FootnoteText"/>
      </w:pPr>
      <w:proofErr w:type="gramStart"/>
      <w:r w:rsidRPr="00642F5D">
        <w:t>Prepared on Australian Accounting Standards basis.</w:t>
      </w:r>
      <w:proofErr w:type="gramEnd"/>
    </w:p>
    <w:p w:rsidR="004C4CAE" w:rsidRDefault="004C4CAE" w:rsidP="00560562">
      <w:pPr>
        <w:pStyle w:val="TableHeading"/>
        <w:rPr>
          <w:rFonts w:cs="Arial"/>
        </w:rPr>
      </w:pPr>
      <w:r>
        <w:rPr>
          <w:rFonts w:cs="Arial"/>
        </w:rPr>
        <w:br w:type="page"/>
      </w:r>
    </w:p>
    <w:p w:rsidR="00E9027A" w:rsidRPr="00AA2983" w:rsidRDefault="00E9027A" w:rsidP="00560562">
      <w:pPr>
        <w:pStyle w:val="TableHeading"/>
        <w:rPr>
          <w:rFonts w:cs="Arial"/>
        </w:rPr>
      </w:pPr>
      <w:r w:rsidRPr="00AA2983">
        <w:rPr>
          <w:rFonts w:cs="Arial"/>
        </w:rPr>
        <w:lastRenderedPageBreak/>
        <w:t xml:space="preserve">Table 3.2.7: Schedule of budgeted income and expenses administered on behalf of </w:t>
      </w:r>
      <w:r>
        <w:rPr>
          <w:rFonts w:cs="Arial"/>
        </w:rPr>
        <w:t>Government</w:t>
      </w:r>
      <w:r w:rsidRPr="00AA2983">
        <w:rPr>
          <w:rFonts w:cs="Arial"/>
        </w:rPr>
        <w:t xml:space="preserve"> (for the period ended 30 June)</w:t>
      </w:r>
    </w:p>
    <w:p w:rsidR="00E9027A" w:rsidRDefault="00E9027A" w:rsidP="00560562">
      <w:r w:rsidRPr="009A36E5">
        <w:t xml:space="preserve">The </w:t>
      </w:r>
      <w:proofErr w:type="spellStart"/>
      <w:r>
        <w:t>FWBII</w:t>
      </w:r>
      <w:proofErr w:type="spellEnd"/>
      <w:r w:rsidRPr="009A36E5">
        <w:t xml:space="preserve"> has no </w:t>
      </w:r>
      <w:r>
        <w:t xml:space="preserve">budgeted </w:t>
      </w:r>
      <w:r w:rsidRPr="009A36E5">
        <w:t xml:space="preserve">administered </w:t>
      </w:r>
      <w:r>
        <w:t>income or expenses</w:t>
      </w:r>
      <w:r w:rsidRPr="009A36E5">
        <w:t>.</w:t>
      </w:r>
      <w:r>
        <w:t xml:space="preserve"> For this reason Table 3.2.7 is not presented.</w:t>
      </w:r>
    </w:p>
    <w:p w:rsidR="00E9027A" w:rsidRDefault="00E9027A" w:rsidP="00560562">
      <w:pPr>
        <w:pStyle w:val="TableHeading"/>
        <w:rPr>
          <w:rFonts w:cs="Arial"/>
        </w:rPr>
      </w:pPr>
      <w:r w:rsidRPr="00AA2983">
        <w:rPr>
          <w:rFonts w:cs="Arial"/>
        </w:rPr>
        <w:t xml:space="preserve">Table 3.2.8: Schedule of budgeted assets and liabilities administered on behalf of </w:t>
      </w:r>
      <w:r>
        <w:rPr>
          <w:rFonts w:cs="Arial"/>
        </w:rPr>
        <w:t>Government</w:t>
      </w:r>
      <w:r w:rsidRPr="00AA2983">
        <w:rPr>
          <w:rFonts w:cs="Arial"/>
        </w:rPr>
        <w:t xml:space="preserve"> (as at 30 June)</w:t>
      </w:r>
    </w:p>
    <w:p w:rsidR="00E9027A" w:rsidRDefault="00E9027A" w:rsidP="00560562">
      <w:r w:rsidRPr="009A36E5">
        <w:t xml:space="preserve">The </w:t>
      </w:r>
      <w:proofErr w:type="spellStart"/>
      <w:r>
        <w:t>FWBII</w:t>
      </w:r>
      <w:proofErr w:type="spellEnd"/>
      <w:r w:rsidRPr="009A36E5">
        <w:t xml:space="preserve"> has no </w:t>
      </w:r>
      <w:r>
        <w:t xml:space="preserve">budgeted </w:t>
      </w:r>
      <w:r w:rsidRPr="009A36E5">
        <w:t xml:space="preserve">administered </w:t>
      </w:r>
      <w:r>
        <w:t>assets or liabilities</w:t>
      </w:r>
      <w:r w:rsidRPr="009A36E5">
        <w:t>.</w:t>
      </w:r>
      <w:r>
        <w:t xml:space="preserve"> For this reason Table 3.2.8 is not presented.</w:t>
      </w:r>
    </w:p>
    <w:p w:rsidR="00E9027A" w:rsidRDefault="00E9027A" w:rsidP="00337FAC">
      <w:pPr>
        <w:pStyle w:val="TableHeading"/>
      </w:pPr>
      <w:bookmarkStart w:id="1" w:name="OLE_LINK2"/>
      <w:r w:rsidRPr="00AA2983">
        <w:t>Table 3.2.9: Schedule of budgeted administered cash flows</w:t>
      </w:r>
      <w:r w:rsidR="00C258F6">
        <w:t xml:space="preserve"> </w:t>
      </w:r>
      <w:r w:rsidRPr="00AA2983">
        <w:t>(for the period ended 30 June)</w:t>
      </w:r>
      <w:bookmarkEnd w:id="1"/>
    </w:p>
    <w:p w:rsidR="00E9027A" w:rsidRDefault="00E9027A" w:rsidP="00560562">
      <w:r w:rsidRPr="009A36E5">
        <w:t xml:space="preserve">The </w:t>
      </w:r>
      <w:proofErr w:type="spellStart"/>
      <w:r>
        <w:t>FWBII</w:t>
      </w:r>
      <w:proofErr w:type="spellEnd"/>
      <w:r w:rsidRPr="009A36E5">
        <w:t xml:space="preserve"> has no </w:t>
      </w:r>
      <w:r>
        <w:t xml:space="preserve">budgeted </w:t>
      </w:r>
      <w:r w:rsidRPr="009A36E5">
        <w:t xml:space="preserve">administered </w:t>
      </w:r>
      <w:r>
        <w:t>cash flows</w:t>
      </w:r>
      <w:r w:rsidRPr="009A36E5">
        <w:t>.</w:t>
      </w:r>
      <w:r>
        <w:t xml:space="preserve"> For this reason Table 3.2.9 is not presented.</w:t>
      </w:r>
    </w:p>
    <w:p w:rsidR="00E9027A" w:rsidRPr="009A36E5" w:rsidRDefault="00E9027A" w:rsidP="00337FAC">
      <w:pPr>
        <w:pStyle w:val="TableHeading"/>
      </w:pPr>
      <w:r w:rsidRPr="009A36E5">
        <w:t>Table 3.2.1</w:t>
      </w:r>
      <w:r>
        <w:t>0</w:t>
      </w:r>
      <w:r w:rsidRPr="009A36E5">
        <w:t xml:space="preserve">: </w:t>
      </w:r>
      <w:r w:rsidR="00C258F6">
        <w:t>A</w:t>
      </w:r>
      <w:r w:rsidR="00C258F6" w:rsidRPr="00C258F6">
        <w:t>dministered capital budget statement (for the period ended 30 June)</w:t>
      </w:r>
    </w:p>
    <w:p w:rsidR="00E9027A" w:rsidRDefault="00E9027A" w:rsidP="00560562">
      <w:r w:rsidRPr="009A36E5">
        <w:t xml:space="preserve">The </w:t>
      </w:r>
      <w:proofErr w:type="spellStart"/>
      <w:r>
        <w:t>FWBII</w:t>
      </w:r>
      <w:proofErr w:type="spellEnd"/>
      <w:r w:rsidRPr="009A36E5">
        <w:t xml:space="preserve"> has no administered </w:t>
      </w:r>
      <w:r>
        <w:t>capital budget</w:t>
      </w:r>
      <w:r w:rsidRPr="009A36E5">
        <w:t>.</w:t>
      </w:r>
      <w:r>
        <w:t xml:space="preserve"> For this reason Table 3.2.10 is not presented.</w:t>
      </w:r>
    </w:p>
    <w:p w:rsidR="00E9027A" w:rsidRPr="00337FAC" w:rsidRDefault="00E9027A" w:rsidP="00337FAC">
      <w:pPr>
        <w:pStyle w:val="TableHeading"/>
      </w:pPr>
      <w:r w:rsidRPr="00337FAC">
        <w:t xml:space="preserve">Table 3.2.11: </w:t>
      </w:r>
      <w:r w:rsidR="00C258F6">
        <w:t>S</w:t>
      </w:r>
      <w:r w:rsidR="00C258F6" w:rsidRPr="00C258F6">
        <w:t>tatement of administered asset movements (Budget year 2015</w:t>
      </w:r>
      <w:r w:rsidR="00C258F6">
        <w:t>–</w:t>
      </w:r>
      <w:r w:rsidR="00C258F6" w:rsidRPr="00C258F6">
        <w:t>16)</w:t>
      </w:r>
    </w:p>
    <w:p w:rsidR="00E9027A" w:rsidRDefault="00E9027A" w:rsidP="00560562">
      <w:r w:rsidRPr="009A36E5">
        <w:t xml:space="preserve">The </w:t>
      </w:r>
      <w:proofErr w:type="spellStart"/>
      <w:r>
        <w:t>FWBII</w:t>
      </w:r>
      <w:proofErr w:type="spellEnd"/>
      <w:r w:rsidRPr="009A36E5">
        <w:t xml:space="preserve"> has no administered </w:t>
      </w:r>
      <w:r>
        <w:t xml:space="preserve">non-financial </w:t>
      </w:r>
      <w:r w:rsidRPr="009A36E5">
        <w:t>assets.</w:t>
      </w:r>
      <w:r>
        <w:t xml:space="preserve"> For this reason Table 3.2.11 is not presented.</w:t>
      </w:r>
    </w:p>
    <w:p w:rsidR="00E9027A" w:rsidRPr="00AA2983" w:rsidRDefault="00E9027A" w:rsidP="00560562">
      <w:pPr>
        <w:pStyle w:val="Source"/>
        <w:rPr>
          <w:rFonts w:cs="Arial"/>
        </w:rPr>
      </w:pPr>
      <w:r w:rsidRPr="00AA2983">
        <w:rPr>
          <w:rFonts w:cs="Arial"/>
        </w:rPr>
        <w:br w:type="page"/>
      </w:r>
    </w:p>
    <w:p w:rsidR="00E9027A" w:rsidRPr="00AA2983" w:rsidRDefault="00E9027A" w:rsidP="00560562">
      <w:pPr>
        <w:pStyle w:val="Heading4"/>
        <w:rPr>
          <w:rFonts w:cs="Arial"/>
        </w:rPr>
      </w:pPr>
      <w:r>
        <w:rPr>
          <w:rFonts w:cs="Arial"/>
        </w:rPr>
        <w:lastRenderedPageBreak/>
        <w:t>3.2.4</w:t>
      </w:r>
      <w:r>
        <w:rPr>
          <w:rFonts w:cs="Arial"/>
        </w:rPr>
        <w:tab/>
        <w:t>Notes to the F</w:t>
      </w:r>
      <w:r w:rsidRPr="00AA2983">
        <w:rPr>
          <w:rFonts w:cs="Arial"/>
        </w:rPr>
        <w:t xml:space="preserve">inancial </w:t>
      </w:r>
      <w:r>
        <w:rPr>
          <w:rFonts w:cs="Arial"/>
        </w:rPr>
        <w:t>S</w:t>
      </w:r>
      <w:r w:rsidRPr="00AA2983">
        <w:rPr>
          <w:rFonts w:cs="Arial"/>
        </w:rPr>
        <w:t>tatements</w:t>
      </w:r>
    </w:p>
    <w:p w:rsidR="00E9027A" w:rsidRPr="00AA2983" w:rsidRDefault="00E9027A" w:rsidP="00560562">
      <w:pPr>
        <w:pStyle w:val="Heading5"/>
      </w:pPr>
      <w:r w:rsidRPr="00AA2983">
        <w:t>Accounting Policy</w:t>
      </w:r>
    </w:p>
    <w:p w:rsidR="00E9027A" w:rsidRPr="00AA2983" w:rsidRDefault="00E9027A" w:rsidP="00560562">
      <w:r w:rsidRPr="00AA2983">
        <w:t xml:space="preserve">The budgeted financial statements have been prepared in accordance with the requirements of the Finance Minister’s Orders issued </w:t>
      </w:r>
      <w:r>
        <w:t>by the Minister for Finance</w:t>
      </w:r>
      <w:r w:rsidRPr="00AA2983">
        <w:t>.</w:t>
      </w:r>
    </w:p>
    <w:p w:rsidR="00E9027A" w:rsidRPr="00AA2983" w:rsidRDefault="00E9027A" w:rsidP="00560562">
      <w:r w:rsidRPr="00AA2983">
        <w:t>The statements have been prepared:</w:t>
      </w:r>
    </w:p>
    <w:p w:rsidR="00E9027A" w:rsidRPr="00AA2983" w:rsidRDefault="00E9027A" w:rsidP="00E9027A">
      <w:pPr>
        <w:pStyle w:val="Bullets"/>
      </w:pPr>
      <w:r>
        <w:t>On an accrual accounting basis</w:t>
      </w:r>
    </w:p>
    <w:p w:rsidR="00E9027A" w:rsidRPr="00AA2983" w:rsidRDefault="00E9027A" w:rsidP="00E9027A">
      <w:pPr>
        <w:pStyle w:val="Bullets"/>
      </w:pPr>
      <w:r w:rsidRPr="00AA2983">
        <w:t>in compliance with Australian Accounting Standards</w:t>
      </w:r>
      <w:r>
        <w:t xml:space="preserve"> and Australian Equivalents to International Financial Reporting Standards</w:t>
      </w:r>
      <w:r w:rsidRPr="00AA2983">
        <w:t xml:space="preserve"> (</w:t>
      </w:r>
      <w:proofErr w:type="spellStart"/>
      <w:r w:rsidRPr="00AA2983">
        <w:t>AEIFRS</w:t>
      </w:r>
      <w:proofErr w:type="spellEnd"/>
      <w:r w:rsidRPr="00AA2983">
        <w:t>) and other authoritative pronouncements of the Australian Accounting Standards Board and the Consensus Views of the Urgent Issues Group.</w:t>
      </w:r>
    </w:p>
    <w:p w:rsidR="00E9027A" w:rsidRPr="00AA2983" w:rsidRDefault="00E9027A" w:rsidP="00560562">
      <w:pPr>
        <w:pStyle w:val="Heading5"/>
      </w:pPr>
      <w:bookmarkStart w:id="2" w:name="_Toc164501082"/>
      <w:bookmarkStart w:id="3" w:name="_Toc164503257"/>
      <w:r w:rsidRPr="00AA2983">
        <w:t xml:space="preserve">Agency Revenue from </w:t>
      </w:r>
      <w:r>
        <w:t>government</w:t>
      </w:r>
      <w:bookmarkEnd w:id="2"/>
      <w:bookmarkEnd w:id="3"/>
    </w:p>
    <w:p w:rsidR="00E9027A" w:rsidRPr="00AA2983" w:rsidRDefault="00E9027A" w:rsidP="00560562">
      <w:r>
        <w:t>Revenue from government</w:t>
      </w:r>
      <w:r w:rsidRPr="00AA2983">
        <w:t xml:space="preserve"> represents the purchase of outputs from the </w:t>
      </w:r>
      <w:proofErr w:type="spellStart"/>
      <w:r>
        <w:t>FWBII</w:t>
      </w:r>
      <w:proofErr w:type="spellEnd"/>
      <w:r w:rsidRPr="00AA2983">
        <w:t xml:space="preserve"> by the </w:t>
      </w:r>
      <w:r>
        <w:t>government</w:t>
      </w:r>
      <w:r w:rsidRPr="00AA2983">
        <w:t xml:space="preserve">. </w:t>
      </w:r>
    </w:p>
    <w:p w:rsidR="00E9027A" w:rsidRPr="00AA2983" w:rsidRDefault="00E9027A" w:rsidP="00560562">
      <w:pPr>
        <w:pStyle w:val="Heading5"/>
      </w:pPr>
      <w:r w:rsidRPr="00AA2983">
        <w:t xml:space="preserve">Agency </w:t>
      </w:r>
      <w:r>
        <w:t>Revenue – Own Source Income</w:t>
      </w:r>
    </w:p>
    <w:p w:rsidR="00E9027A" w:rsidRPr="00AA2983" w:rsidRDefault="00E9027A" w:rsidP="00560562">
      <w:r w:rsidRPr="00AA2983">
        <w:t>Revenue from the sale of goods and services is recognised upon the delivery of the goods or services to customers.</w:t>
      </w:r>
    </w:p>
    <w:p w:rsidR="00E9027A" w:rsidRPr="00AA2983" w:rsidRDefault="00E9027A" w:rsidP="00560562">
      <w:pPr>
        <w:pStyle w:val="Heading5"/>
      </w:pPr>
      <w:bookmarkStart w:id="4" w:name="_Toc164501084"/>
      <w:bookmarkStart w:id="5" w:name="_Toc164503259"/>
      <w:r w:rsidRPr="00AA2983">
        <w:t>Agency Expenses – Employee</w:t>
      </w:r>
      <w:r>
        <w:t xml:space="preserve"> Benefits</w:t>
      </w:r>
      <w:bookmarkEnd w:id="4"/>
      <w:bookmarkEnd w:id="5"/>
    </w:p>
    <w:p w:rsidR="00E9027A" w:rsidRPr="00AA2983" w:rsidRDefault="00E9027A" w:rsidP="00560562">
      <w:r w:rsidRPr="00AA2983">
        <w:t>This item represents payments made and net increases or decreases in entitlements owed to employees for their services provided in the financial year.</w:t>
      </w:r>
    </w:p>
    <w:p w:rsidR="00E9027A" w:rsidRPr="00AA2983" w:rsidRDefault="00E9027A" w:rsidP="00560562">
      <w:pPr>
        <w:pStyle w:val="Heading5"/>
      </w:pPr>
      <w:bookmarkStart w:id="6" w:name="_Toc164501085"/>
      <w:bookmarkStart w:id="7" w:name="_Toc164503260"/>
      <w:r w:rsidRPr="00AA2983">
        <w:t>Agency Expenses – Suppliers</w:t>
      </w:r>
      <w:bookmarkEnd w:id="6"/>
      <w:bookmarkEnd w:id="7"/>
      <w:r w:rsidRPr="00AA2983">
        <w:t xml:space="preserve"> </w:t>
      </w:r>
    </w:p>
    <w:p w:rsidR="00E9027A" w:rsidRPr="00AA2983" w:rsidRDefault="00E9027A" w:rsidP="00560562">
      <w:r w:rsidRPr="00AA2983">
        <w:t>This item represents payments to suppliers for goods and services.</w:t>
      </w:r>
    </w:p>
    <w:p w:rsidR="00E9027A" w:rsidRPr="00AA2983" w:rsidRDefault="00E9027A" w:rsidP="00560562">
      <w:pPr>
        <w:pStyle w:val="Heading5"/>
      </w:pPr>
      <w:bookmarkStart w:id="8" w:name="_Toc164501086"/>
      <w:bookmarkStart w:id="9" w:name="_Toc164503261"/>
      <w:r w:rsidRPr="00AA2983">
        <w:t>Agency Expenses – Depreciation and Amortisation</w:t>
      </w:r>
      <w:bookmarkEnd w:id="8"/>
      <w:bookmarkEnd w:id="9"/>
    </w:p>
    <w:p w:rsidR="00E9027A" w:rsidRPr="00AA2983" w:rsidRDefault="00E9027A" w:rsidP="00560562">
      <w:r w:rsidRPr="00AA2983">
        <w:t xml:space="preserve">Property, plant, equipment and intangible assets are written-off to their estimated residual values over their estimated useful lives to </w:t>
      </w:r>
      <w:proofErr w:type="spellStart"/>
      <w:r>
        <w:t>FWBII</w:t>
      </w:r>
      <w:proofErr w:type="spellEnd"/>
      <w:r w:rsidRPr="00AA2983">
        <w:t xml:space="preserve"> using</w:t>
      </w:r>
      <w:r>
        <w:t xml:space="preserve"> </w:t>
      </w:r>
      <w:r w:rsidRPr="00AA2983">
        <w:t>the straight-line method of depreciation.</w:t>
      </w:r>
      <w:r>
        <w:t xml:space="preserve"> Forward estimates of depreciation expenses are made using forecasts of net capital acquisitions over the forward years. </w:t>
      </w:r>
    </w:p>
    <w:p w:rsidR="00E9027A" w:rsidRPr="00AA2983" w:rsidRDefault="00E9027A" w:rsidP="00560562">
      <w:pPr>
        <w:pStyle w:val="Heading5"/>
      </w:pPr>
      <w:r w:rsidRPr="00AA2983">
        <w:t>Agency Assets – Financial Assets – Cash</w:t>
      </w:r>
    </w:p>
    <w:p w:rsidR="00E9027A" w:rsidRPr="00AA2983" w:rsidRDefault="00E9027A" w:rsidP="00560562">
      <w:r w:rsidRPr="00AA2983">
        <w:t>Cash represents notes and coins held and deposits at call with a bank or financial institution.</w:t>
      </w:r>
    </w:p>
    <w:p w:rsidR="00E9027A" w:rsidRPr="00AA2983" w:rsidRDefault="00E9027A" w:rsidP="00560562">
      <w:pPr>
        <w:pStyle w:val="Heading5"/>
      </w:pPr>
      <w:bookmarkStart w:id="10" w:name="_Toc164501087"/>
      <w:bookmarkStart w:id="11" w:name="_Toc164503262"/>
      <w:r w:rsidRPr="00AA2983">
        <w:lastRenderedPageBreak/>
        <w:t>Agency Assets – Financial Assets – Receivables</w:t>
      </w:r>
      <w:bookmarkEnd w:id="10"/>
      <w:bookmarkEnd w:id="11"/>
      <w:r w:rsidRPr="00AA2983">
        <w:t xml:space="preserve"> </w:t>
      </w:r>
    </w:p>
    <w:p w:rsidR="00E9027A" w:rsidRPr="00AA2983" w:rsidRDefault="00E9027A" w:rsidP="00560562">
      <w:r w:rsidRPr="00AA2983">
        <w:t xml:space="preserve">Receivables represent amounts owing to </w:t>
      </w:r>
      <w:proofErr w:type="spellStart"/>
      <w:r>
        <w:t>FWBII</w:t>
      </w:r>
      <w:proofErr w:type="spellEnd"/>
      <w:r w:rsidRPr="00AA2983">
        <w:t xml:space="preserve"> for cash reserves held in the Official Public Account</w:t>
      </w:r>
      <w:r>
        <w:t xml:space="preserve"> and prepayments</w:t>
      </w:r>
      <w:r w:rsidRPr="00AA2983">
        <w:t>.</w:t>
      </w:r>
    </w:p>
    <w:p w:rsidR="00E9027A" w:rsidRPr="00AA2983" w:rsidRDefault="00E9027A" w:rsidP="00560562">
      <w:pPr>
        <w:pStyle w:val="Heading5"/>
      </w:pPr>
      <w:bookmarkStart w:id="12" w:name="_Toc164501088"/>
      <w:bookmarkStart w:id="13" w:name="_Toc164503263"/>
      <w:r w:rsidRPr="00AA2983">
        <w:t>Agency Assets – Non-Financial Assets</w:t>
      </w:r>
      <w:bookmarkEnd w:id="12"/>
      <w:bookmarkEnd w:id="13"/>
    </w:p>
    <w:p w:rsidR="00E9027A" w:rsidRPr="00AA2983" w:rsidRDefault="00E9027A" w:rsidP="00560562">
      <w:r w:rsidRPr="00AA2983">
        <w:t xml:space="preserve">These items represent future economic benefits that the </w:t>
      </w:r>
      <w:proofErr w:type="spellStart"/>
      <w:r>
        <w:t>FWBII</w:t>
      </w:r>
      <w:proofErr w:type="spellEnd"/>
      <w:r w:rsidRPr="00AA2983">
        <w:t xml:space="preserve"> will consume in producing outputs.</w:t>
      </w:r>
    </w:p>
    <w:p w:rsidR="00E9027A" w:rsidRPr="00AA2983" w:rsidRDefault="00E9027A" w:rsidP="00560562">
      <w:r>
        <w:t>Property</w:t>
      </w:r>
      <w:r w:rsidRPr="00AA2983">
        <w:t xml:space="preserve">, plant and equipment </w:t>
      </w:r>
      <w:r>
        <w:t>and intangible</w:t>
      </w:r>
      <w:r w:rsidRPr="00AA2983">
        <w:t>s</w:t>
      </w:r>
      <w:r>
        <w:t xml:space="preserve"> are</w:t>
      </w:r>
      <w:r w:rsidRPr="00AA2983">
        <w:t xml:space="preserve"> brought to account at cost, except for purchases costing less than $</w:t>
      </w:r>
      <w:r>
        <w:t>50</w:t>
      </w:r>
      <w:r w:rsidRPr="00AA2983">
        <w:t>,000</w:t>
      </w:r>
      <w:r>
        <w:t xml:space="preserve"> for internally developed computer software</w:t>
      </w:r>
      <w:r w:rsidRPr="00AA2983">
        <w:t xml:space="preserve">, </w:t>
      </w:r>
      <w:r>
        <w:t xml:space="preserve">less than $20,000 for leasehold improvements and less than $2000 for all other classes, </w:t>
      </w:r>
      <w:r w:rsidRPr="00AA2983">
        <w:t>which are expensed in the year of acquisition (other than where they form part of a group of similar items which are significant in total).</w:t>
      </w:r>
    </w:p>
    <w:p w:rsidR="00E9027A" w:rsidRDefault="00E9027A" w:rsidP="00560562">
      <w:r>
        <w:t>Following initial recognition at cost property, plant and equipment are carried at fair value less accumulated depreciation. Valuations are conducted with sufficient frequency to ensure that the carrying amount does not differ materially from the assets’ fair values at reporting date.</w:t>
      </w:r>
    </w:p>
    <w:p w:rsidR="00E9027A" w:rsidRPr="00AA2983" w:rsidRDefault="00E9027A" w:rsidP="00560562">
      <w:pPr>
        <w:pStyle w:val="Heading5"/>
      </w:pPr>
      <w:bookmarkStart w:id="14" w:name="_Toc164501089"/>
      <w:bookmarkStart w:id="15" w:name="_Toc164503264"/>
      <w:r w:rsidRPr="00AA2983">
        <w:t>Agency Liabilities – Provisions – Employees</w:t>
      </w:r>
      <w:bookmarkEnd w:id="14"/>
      <w:bookmarkEnd w:id="15"/>
      <w:r w:rsidRPr="00AA2983">
        <w:t xml:space="preserve"> </w:t>
      </w:r>
    </w:p>
    <w:p w:rsidR="00E9027A" w:rsidRPr="00AA2983" w:rsidRDefault="00E9027A" w:rsidP="00560562">
      <w:r w:rsidRPr="00AA2983">
        <w:t xml:space="preserve">Provision has been made for the </w:t>
      </w:r>
      <w:proofErr w:type="spellStart"/>
      <w:r>
        <w:t>FWBII</w:t>
      </w:r>
      <w:r w:rsidRPr="00AA2983">
        <w:t>’s</w:t>
      </w:r>
      <w:proofErr w:type="spellEnd"/>
      <w:r w:rsidRPr="00AA2983">
        <w:t xml:space="preserve"> liability for employee entitlements arising from services rendered by employees to balance date. This liability encompasses unpaid wages and salaries, annual and long service leave. No provision is made for sick leave.</w:t>
      </w:r>
    </w:p>
    <w:p w:rsidR="00E9027A" w:rsidRPr="00AA2983" w:rsidRDefault="00E9027A" w:rsidP="00560562">
      <w:r>
        <w:t>E</w:t>
      </w:r>
      <w:r w:rsidRPr="00AA2983">
        <w:t xml:space="preserve">mployee entitlements payable </w:t>
      </w:r>
      <w:r>
        <w:t xml:space="preserve">are measured </w:t>
      </w:r>
      <w:r w:rsidRPr="00AA2983">
        <w:t>a</w:t>
      </w:r>
      <w:r>
        <w:t>s</w:t>
      </w:r>
      <w:r w:rsidRPr="00AA2983">
        <w:t xml:space="preserve"> the present value of the e</w:t>
      </w:r>
      <w:r>
        <w:t>stimated</w:t>
      </w:r>
      <w:r w:rsidRPr="00AA2983">
        <w:t xml:space="preserve"> future cash outflows</w:t>
      </w:r>
      <w:r>
        <w:t xml:space="preserve"> to be made </w:t>
      </w:r>
      <w:r w:rsidRPr="00AA2983">
        <w:t>in re</w:t>
      </w:r>
      <w:r>
        <w:t>spect of services provided by employees up to the reporting date</w:t>
      </w:r>
      <w:r w:rsidRPr="00AA2983">
        <w:t xml:space="preserve">. </w:t>
      </w:r>
      <w:r>
        <w:t>Liabilities expected to be settled within twelve months are measured at the nominal amount</w:t>
      </w:r>
      <w:r w:rsidRPr="00AA2983">
        <w:t>.</w:t>
      </w:r>
    </w:p>
    <w:p w:rsidR="00E9027A" w:rsidRPr="00AA2983" w:rsidRDefault="00E9027A" w:rsidP="00560562">
      <w:pPr>
        <w:pStyle w:val="Heading5"/>
      </w:pPr>
      <w:bookmarkStart w:id="16" w:name="_Toc164501090"/>
      <w:bookmarkStart w:id="17" w:name="_Toc164503265"/>
      <w:r w:rsidRPr="00AA2983">
        <w:t>Agency Liabilities – Payables – Suppliers</w:t>
      </w:r>
      <w:bookmarkEnd w:id="16"/>
      <w:bookmarkEnd w:id="17"/>
    </w:p>
    <w:p w:rsidR="00E9027A" w:rsidRDefault="00E9027A">
      <w:r>
        <w:t>Suppliers and other payables are recognised at amortised cost. Liabilities are recognised to the extent that the goods or services have been received (and irrespective of having been invoiced).</w:t>
      </w:r>
      <w:bookmarkStart w:id="18" w:name="_GoBack"/>
      <w:bookmarkEnd w:id="0"/>
      <w:bookmarkEnd w:id="18"/>
    </w:p>
    <w:sectPr w:rsidR="00E9027A" w:rsidSect="00F254ED">
      <w:headerReference w:type="even" r:id="rId36"/>
      <w:headerReference w:type="default" r:id="rId37"/>
      <w:headerReference w:type="first" r:id="rId38"/>
      <w:pgSz w:w="9979" w:h="14175" w:code="259"/>
      <w:pgMar w:top="1418" w:right="1418" w:bottom="1418" w:left="1418"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4ED" w:rsidRDefault="00F254ED" w:rsidP="00C07DEC">
      <w:r>
        <w:separator/>
      </w:r>
    </w:p>
    <w:p w:rsidR="00F254ED" w:rsidRDefault="00F254ED"/>
  </w:endnote>
  <w:endnote w:type="continuationSeparator" w:id="0">
    <w:p w:rsidR="00F254ED" w:rsidRDefault="00F254ED" w:rsidP="00C07DEC">
      <w:r>
        <w:continuationSeparator/>
      </w:r>
    </w:p>
    <w:p w:rsidR="00F254ED" w:rsidRDefault="00F25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321180"/>
      <w:docPartObj>
        <w:docPartGallery w:val="Page Numbers (Bottom of Page)"/>
        <w:docPartUnique/>
      </w:docPartObj>
    </w:sdtPr>
    <w:sdtEndPr>
      <w:rPr>
        <w:noProof/>
      </w:rPr>
    </w:sdtEndPr>
    <w:sdtContent>
      <w:p w:rsidR="00AF26F8" w:rsidRDefault="00AF26F8">
        <w:pPr>
          <w:pStyle w:val="Footer"/>
        </w:pPr>
        <w:r>
          <w:fldChar w:fldCharType="begin"/>
        </w:r>
        <w:r>
          <w:instrText xml:space="preserve"> PAGE   \* MERGEFORMAT </w:instrText>
        </w:r>
        <w:r>
          <w:fldChar w:fldCharType="separate"/>
        </w:r>
        <w:r>
          <w:rPr>
            <w:noProof/>
          </w:rPr>
          <w:t>206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364325"/>
      <w:docPartObj>
        <w:docPartGallery w:val="Page Numbers (Bottom of Page)"/>
        <w:docPartUnique/>
      </w:docPartObj>
    </w:sdtPr>
    <w:sdtEndPr>
      <w:rPr>
        <w:noProof/>
      </w:rPr>
    </w:sdtEndPr>
    <w:sdtContent>
      <w:p w:rsidR="00AF26F8" w:rsidRDefault="00AF26F8">
        <w:pPr>
          <w:pStyle w:val="Footer"/>
        </w:pPr>
        <w:r>
          <w:fldChar w:fldCharType="begin"/>
        </w:r>
        <w:r>
          <w:instrText xml:space="preserve"> PAGE   \* MERGEFORMAT </w:instrText>
        </w:r>
        <w:r>
          <w:fldChar w:fldCharType="separate"/>
        </w:r>
        <w:r>
          <w:rPr>
            <w:noProof/>
          </w:rPr>
          <w:t>205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65581"/>
      <w:docPartObj>
        <w:docPartGallery w:val="Page Numbers (Bottom of Page)"/>
        <w:docPartUnique/>
      </w:docPartObj>
    </w:sdtPr>
    <w:sdtEndPr>
      <w:rPr>
        <w:noProof/>
      </w:rPr>
    </w:sdtEndPr>
    <w:sdtContent>
      <w:p w:rsidR="00F254ED" w:rsidRDefault="00F254ED">
        <w:pPr>
          <w:pStyle w:val="Footer"/>
        </w:pPr>
        <w:r>
          <w:fldChar w:fldCharType="begin"/>
        </w:r>
        <w:r>
          <w:instrText xml:space="preserve"> PAGE   \* MERGEFORMAT </w:instrText>
        </w:r>
        <w:r>
          <w:fldChar w:fldCharType="separate"/>
        </w:r>
        <w:r w:rsidR="00AF26F8">
          <w:rPr>
            <w:noProof/>
          </w:rPr>
          <w:t>191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4ED" w:rsidRDefault="00F254ED" w:rsidP="00C07DEC">
      <w:r>
        <w:separator/>
      </w:r>
    </w:p>
    <w:p w:rsidR="00F254ED" w:rsidRDefault="00F254ED"/>
  </w:footnote>
  <w:footnote w:type="continuationSeparator" w:id="0">
    <w:p w:rsidR="00F254ED" w:rsidRDefault="00F254ED" w:rsidP="00C07DEC">
      <w:r>
        <w:continuationSeparator/>
      </w:r>
    </w:p>
    <w:p w:rsidR="00F254ED" w:rsidRDefault="00F254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ED" w:rsidRDefault="00F254ED" w:rsidP="002D71FB">
    <w:pPr>
      <w:pStyle w:val="HeaderOd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ED" w:rsidRPr="00EC1188" w:rsidRDefault="00F254ED" w:rsidP="00560562">
    <w:pPr>
      <w:pStyle w:val="HeaderEven"/>
    </w:pPr>
    <w:proofErr w:type="spellStart"/>
    <w:r w:rsidRPr="00EC1188">
      <w:t>FWBII</w:t>
    </w:r>
    <w:proofErr w:type="spellEnd"/>
    <w:r w:rsidRPr="00EC1188">
      <w:t xml:space="preserve"> Budget Statements 201</w:t>
    </w:r>
    <w:r>
      <w:t>5</w:t>
    </w:r>
    <w:r w:rsidRPr="00EC1188">
      <w:t>–1</w:t>
    </w:r>
    <w:r>
      <w:t>6</w:t>
    </w:r>
  </w:p>
  <w:p w:rsidR="00F254ED" w:rsidRPr="00552461" w:rsidRDefault="00F254ED" w:rsidP="005605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ED" w:rsidRPr="00F64B73" w:rsidRDefault="00F254ED" w:rsidP="00F64B73">
    <w:pPr>
      <w:pStyle w:val="HeaderOdd"/>
    </w:pPr>
    <w:proofErr w:type="spellStart"/>
    <w:r w:rsidRPr="00F64B73">
      <w:t>FWBII</w:t>
    </w:r>
    <w:proofErr w:type="spellEnd"/>
    <w:r w:rsidRPr="00F64B73">
      <w:t xml:space="preserve"> Budget Statements 2015–16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ED" w:rsidRPr="005F18DD" w:rsidRDefault="00F254ED" w:rsidP="001370C2">
    <w:pPr>
      <w:pStyle w:val="HeaderOdd"/>
    </w:pPr>
    <w:proofErr w:type="spellStart"/>
    <w:r>
      <w:t>FWBII</w:t>
    </w:r>
    <w:proofErr w:type="spellEnd"/>
    <w:r>
      <w:t xml:space="preserve"> Budget Statements</w:t>
    </w:r>
    <w:r w:rsidRPr="005F18DD">
      <w:t xml:space="preserve"> </w:t>
    </w:r>
    <w:r>
      <w:t>2015–16</w:t>
    </w:r>
  </w:p>
  <w:p w:rsidR="00F254ED" w:rsidRDefault="00F254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F8" w:rsidRPr="00F64B73" w:rsidRDefault="00AF26F8" w:rsidP="00AF26F8">
    <w:pPr>
      <w:pStyle w:val="HeaderEven"/>
    </w:pPr>
    <w:proofErr w:type="spellStart"/>
    <w:r w:rsidRPr="00F64B73">
      <w:t>FWBII</w:t>
    </w:r>
    <w:proofErr w:type="spellEnd"/>
    <w:r w:rsidRPr="00F64B73">
      <w:t xml:space="preserve"> Budget Statements 2015–16</w:t>
    </w:r>
  </w:p>
  <w:p w:rsidR="00F254ED" w:rsidRPr="00AF26F8" w:rsidRDefault="00F254ED" w:rsidP="00AF26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F8" w:rsidRPr="00F64B73" w:rsidRDefault="00AF26F8" w:rsidP="00AF26F8">
    <w:pPr>
      <w:pStyle w:val="HeaderOdd"/>
    </w:pPr>
    <w:proofErr w:type="spellStart"/>
    <w:r w:rsidRPr="00F64B73">
      <w:t>FWBII</w:t>
    </w:r>
    <w:proofErr w:type="spellEnd"/>
    <w:r w:rsidRPr="00F64B73">
      <w:t xml:space="preserve"> Budget Statements 2015–16</w:t>
    </w:r>
  </w:p>
  <w:p w:rsidR="00F254ED" w:rsidRPr="00AF26F8" w:rsidRDefault="00F254ED" w:rsidP="00AF26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F8" w:rsidRPr="00F64B73" w:rsidRDefault="00AF26F8" w:rsidP="00AF26F8">
    <w:pPr>
      <w:pStyle w:val="HeaderOdd"/>
    </w:pPr>
    <w:proofErr w:type="spellStart"/>
    <w:r w:rsidRPr="00F64B73">
      <w:t>FWBII</w:t>
    </w:r>
    <w:proofErr w:type="spellEnd"/>
    <w:r w:rsidRPr="00F64B73">
      <w:t xml:space="preserve"> Budget Statements 2015–16</w:t>
    </w:r>
  </w:p>
  <w:p w:rsidR="00F254ED" w:rsidRPr="00AF26F8" w:rsidRDefault="00F254ED" w:rsidP="00AF2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68F83C"/>
    <w:lvl w:ilvl="0">
      <w:start w:val="1"/>
      <w:numFmt w:val="decimal"/>
      <w:pStyle w:val="ListNumber"/>
      <w:lvlText w:val="%1."/>
      <w:lvlJc w:val="left"/>
      <w:pPr>
        <w:tabs>
          <w:tab w:val="num" w:pos="360"/>
        </w:tabs>
        <w:ind w:left="360" w:hanging="360"/>
      </w:pPr>
    </w:lvl>
  </w:abstractNum>
  <w:abstractNum w:abstractNumId="1">
    <w:nsid w:val="00F73062"/>
    <w:multiLevelType w:val="hybridMultilevel"/>
    <w:tmpl w:val="62024918"/>
    <w:lvl w:ilvl="0" w:tplc="F058F4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775260"/>
    <w:multiLevelType w:val="multilevel"/>
    <w:tmpl w:val="7B0E2326"/>
    <w:lvl w:ilvl="0">
      <w:start w:val="1"/>
      <w:numFmt w:val="bullet"/>
      <w:lvlText w:val=""/>
      <w:lvlJc w:val="left"/>
      <w:pPr>
        <w:ind w:left="360" w:hanging="360"/>
      </w:pPr>
      <w:rPr>
        <w:rFonts w:ascii="Wingdings" w:hAnsi="Wingdings" w:hint="default"/>
        <w:color w:val="165788"/>
        <w:sz w:val="20"/>
        <w:vertAlign w:val="baseline"/>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3">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6641DF2"/>
    <w:multiLevelType w:val="hybridMultilevel"/>
    <w:tmpl w:val="F42AA848"/>
    <w:lvl w:ilvl="0" w:tplc="7F847DE4">
      <w:start w:val="1"/>
      <w:numFmt w:val="decimal"/>
      <w:pStyle w:val="numberedpara"/>
      <w:lvlText w:val="%1."/>
      <w:lvlJc w:val="right"/>
      <w:pPr>
        <w:tabs>
          <w:tab w:val="num" w:pos="1134"/>
        </w:tabs>
        <w:ind w:left="567" w:hanging="567"/>
      </w:pPr>
      <w:rPr>
        <w:rFonts w:ascii="Calibri" w:hAnsi="Calibri" w:hint="default"/>
        <w:b w:val="0"/>
        <w:i w:val="0"/>
        <w:color w:val="auto"/>
        <w:sz w:val="22"/>
      </w:rPr>
    </w:lvl>
    <w:lvl w:ilvl="1" w:tplc="0C090005">
      <w:start w:val="1"/>
      <w:numFmt w:val="bullet"/>
      <w:lvlText w:val=""/>
      <w:lvlJc w:val="left"/>
      <w:pPr>
        <w:tabs>
          <w:tab w:val="num" w:pos="1440"/>
        </w:tabs>
        <w:ind w:left="1440" w:hanging="360"/>
      </w:pPr>
      <w:rPr>
        <w:rFonts w:ascii="Wingdings" w:hAnsi="Wingdings" w:hint="default"/>
        <w:b w:val="0"/>
        <w:i w:val="0"/>
        <w:color w:val="auto"/>
        <w:sz w:val="22"/>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B8C0A8D"/>
    <w:multiLevelType w:val="hybridMultilevel"/>
    <w:tmpl w:val="6080A7FC"/>
    <w:lvl w:ilvl="0" w:tplc="F0BAC8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244AB9"/>
    <w:multiLevelType w:val="hybridMultilevel"/>
    <w:tmpl w:val="B9FEE43E"/>
    <w:lvl w:ilvl="0" w:tplc="ADA05F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56203"/>
    <w:multiLevelType w:val="multilevel"/>
    <w:tmpl w:val="533E0A06"/>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11">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nsid w:val="316C2C4D"/>
    <w:multiLevelType w:val="multilevel"/>
    <w:tmpl w:val="53041CA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6">
    <w:nsid w:val="434154AB"/>
    <w:multiLevelType w:val="hybridMultilevel"/>
    <w:tmpl w:val="DCF6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nsid w:val="564608A1"/>
    <w:multiLevelType w:val="hybridMultilevel"/>
    <w:tmpl w:val="61883960"/>
    <w:lvl w:ilvl="0" w:tplc="377E58B0">
      <w:start w:val="1"/>
      <w:numFmt w:val="bullet"/>
      <w:pStyle w:val="Tabletext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AC4D20"/>
    <w:multiLevelType w:val="hybridMultilevel"/>
    <w:tmpl w:val="753A8D6A"/>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6B3F2938"/>
    <w:multiLevelType w:val="hybridMultilevel"/>
    <w:tmpl w:val="59AA5A10"/>
    <w:lvl w:ilvl="0" w:tplc="45567906">
      <w:numFmt w:val="bullet"/>
      <w:lvlText w:val="-"/>
      <w:lvlJc w:val="left"/>
      <w:pPr>
        <w:ind w:left="7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080F86"/>
    <w:multiLevelType w:val="hybridMultilevel"/>
    <w:tmpl w:val="BDECA758"/>
    <w:lvl w:ilvl="0" w:tplc="75A01A1A">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7609771A"/>
    <w:multiLevelType w:val="hybridMultilevel"/>
    <w:tmpl w:val="9C503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3"/>
  </w:num>
  <w:num w:numId="4">
    <w:abstractNumId w:val="15"/>
    <w:lvlOverride w:ilvl="0">
      <w:startOverride w:val="1"/>
    </w:lvlOverride>
  </w:num>
  <w:num w:numId="5">
    <w:abstractNumId w:val="26"/>
  </w:num>
  <w:num w:numId="6">
    <w:abstractNumId w:val="11"/>
  </w:num>
  <w:num w:numId="7">
    <w:abstractNumId w:val="19"/>
  </w:num>
  <w:num w:numId="8">
    <w:abstractNumId w:val="14"/>
  </w:num>
  <w:num w:numId="9">
    <w:abstractNumId w:val="3"/>
  </w:num>
  <w:num w:numId="10">
    <w:abstractNumId w:val="21"/>
  </w:num>
  <w:num w:numId="11">
    <w:abstractNumId w:val="0"/>
  </w:num>
  <w:num w:numId="12">
    <w:abstractNumId w:val="15"/>
    <w:lvlOverride w:ilvl="0">
      <w:startOverride w:val="1"/>
    </w:lvlOverride>
  </w:num>
  <w:num w:numId="13">
    <w:abstractNumId w:val="13"/>
  </w:num>
  <w:num w:numId="14">
    <w:abstractNumId w:val="7"/>
  </w:num>
  <w:num w:numId="15">
    <w:abstractNumId w:val="16"/>
  </w:num>
  <w:num w:numId="16">
    <w:abstractNumId w:val="20"/>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12"/>
  </w:num>
  <w:num w:numId="24">
    <w:abstractNumId w:val="22"/>
  </w:num>
  <w:num w:numId="25">
    <w:abstractNumId w:val="10"/>
  </w:num>
  <w:num w:numId="26">
    <w:abstractNumId w:val="2"/>
  </w:num>
  <w:num w:numId="27">
    <w:abstractNumId w:val="8"/>
  </w:num>
  <w:num w:numId="28">
    <w:abstractNumId w:val="25"/>
  </w:num>
  <w:num w:numId="29">
    <w:abstractNumId w:val="24"/>
  </w:num>
  <w:num w:numId="30">
    <w:abstractNumId w:val="13"/>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390C"/>
    <w:rsid w:val="00003AC4"/>
    <w:rsid w:val="00006AE4"/>
    <w:rsid w:val="0000711B"/>
    <w:rsid w:val="00012BB0"/>
    <w:rsid w:val="00013D25"/>
    <w:rsid w:val="0001438C"/>
    <w:rsid w:val="0001500C"/>
    <w:rsid w:val="00016D95"/>
    <w:rsid w:val="00017619"/>
    <w:rsid w:val="00020567"/>
    <w:rsid w:val="000216BF"/>
    <w:rsid w:val="00021DA6"/>
    <w:rsid w:val="000220B0"/>
    <w:rsid w:val="000300D7"/>
    <w:rsid w:val="00030FDA"/>
    <w:rsid w:val="00034610"/>
    <w:rsid w:val="00036095"/>
    <w:rsid w:val="000364F3"/>
    <w:rsid w:val="000369AC"/>
    <w:rsid w:val="0003724F"/>
    <w:rsid w:val="000402FE"/>
    <w:rsid w:val="000413D4"/>
    <w:rsid w:val="00042D00"/>
    <w:rsid w:val="00042FDD"/>
    <w:rsid w:val="00045667"/>
    <w:rsid w:val="00054A04"/>
    <w:rsid w:val="00054CC3"/>
    <w:rsid w:val="0005600E"/>
    <w:rsid w:val="00056260"/>
    <w:rsid w:val="0005722F"/>
    <w:rsid w:val="00060890"/>
    <w:rsid w:val="00063C44"/>
    <w:rsid w:val="00063CE1"/>
    <w:rsid w:val="00063E48"/>
    <w:rsid w:val="00065053"/>
    <w:rsid w:val="000655E4"/>
    <w:rsid w:val="000656AD"/>
    <w:rsid w:val="00065C71"/>
    <w:rsid w:val="00066BBA"/>
    <w:rsid w:val="00067B6F"/>
    <w:rsid w:val="00067E1D"/>
    <w:rsid w:val="0007064C"/>
    <w:rsid w:val="00070C05"/>
    <w:rsid w:val="000712EE"/>
    <w:rsid w:val="000725C0"/>
    <w:rsid w:val="00074CE6"/>
    <w:rsid w:val="00076C71"/>
    <w:rsid w:val="00077277"/>
    <w:rsid w:val="0007743A"/>
    <w:rsid w:val="00080069"/>
    <w:rsid w:val="00080F4F"/>
    <w:rsid w:val="00082159"/>
    <w:rsid w:val="0008304E"/>
    <w:rsid w:val="0008449F"/>
    <w:rsid w:val="000924A7"/>
    <w:rsid w:val="00094B28"/>
    <w:rsid w:val="00096DEE"/>
    <w:rsid w:val="00097063"/>
    <w:rsid w:val="000A1A89"/>
    <w:rsid w:val="000A1C91"/>
    <w:rsid w:val="000A24C4"/>
    <w:rsid w:val="000A3288"/>
    <w:rsid w:val="000A345B"/>
    <w:rsid w:val="000A372A"/>
    <w:rsid w:val="000A395D"/>
    <w:rsid w:val="000A56A5"/>
    <w:rsid w:val="000A5C86"/>
    <w:rsid w:val="000A6897"/>
    <w:rsid w:val="000A6DBE"/>
    <w:rsid w:val="000B09C1"/>
    <w:rsid w:val="000B0FE3"/>
    <w:rsid w:val="000B1FC4"/>
    <w:rsid w:val="000B2404"/>
    <w:rsid w:val="000B36D8"/>
    <w:rsid w:val="000B3B7D"/>
    <w:rsid w:val="000C19EF"/>
    <w:rsid w:val="000C2A22"/>
    <w:rsid w:val="000C2D7D"/>
    <w:rsid w:val="000C3B86"/>
    <w:rsid w:val="000C6A39"/>
    <w:rsid w:val="000C6FB8"/>
    <w:rsid w:val="000D13E5"/>
    <w:rsid w:val="000D43DE"/>
    <w:rsid w:val="000D58A1"/>
    <w:rsid w:val="000E0A85"/>
    <w:rsid w:val="000E39B7"/>
    <w:rsid w:val="000E68E3"/>
    <w:rsid w:val="000E6DDB"/>
    <w:rsid w:val="000E74A6"/>
    <w:rsid w:val="000F03B1"/>
    <w:rsid w:val="000F08AE"/>
    <w:rsid w:val="000F2D33"/>
    <w:rsid w:val="000F43F4"/>
    <w:rsid w:val="000F440E"/>
    <w:rsid w:val="000F6647"/>
    <w:rsid w:val="000F73B7"/>
    <w:rsid w:val="000F7E7B"/>
    <w:rsid w:val="001002F8"/>
    <w:rsid w:val="00101440"/>
    <w:rsid w:val="00102654"/>
    <w:rsid w:val="001028CC"/>
    <w:rsid w:val="001045F9"/>
    <w:rsid w:val="0010472B"/>
    <w:rsid w:val="0010657F"/>
    <w:rsid w:val="001114A3"/>
    <w:rsid w:val="00112D0F"/>
    <w:rsid w:val="001133E0"/>
    <w:rsid w:val="00115DE5"/>
    <w:rsid w:val="001163D6"/>
    <w:rsid w:val="0011726A"/>
    <w:rsid w:val="0012022D"/>
    <w:rsid w:val="00120B5E"/>
    <w:rsid w:val="00121EB0"/>
    <w:rsid w:val="0012228D"/>
    <w:rsid w:val="00123218"/>
    <w:rsid w:val="00123925"/>
    <w:rsid w:val="00124758"/>
    <w:rsid w:val="00126641"/>
    <w:rsid w:val="001272CD"/>
    <w:rsid w:val="001305B1"/>
    <w:rsid w:val="00131EA7"/>
    <w:rsid w:val="001322AD"/>
    <w:rsid w:val="00133B4E"/>
    <w:rsid w:val="00133D3A"/>
    <w:rsid w:val="001352EE"/>
    <w:rsid w:val="00135505"/>
    <w:rsid w:val="00135CC8"/>
    <w:rsid w:val="00136827"/>
    <w:rsid w:val="001370C2"/>
    <w:rsid w:val="001375D4"/>
    <w:rsid w:val="00143E88"/>
    <w:rsid w:val="001455D8"/>
    <w:rsid w:val="0014790A"/>
    <w:rsid w:val="00151183"/>
    <w:rsid w:val="00151ABB"/>
    <w:rsid w:val="00152B79"/>
    <w:rsid w:val="0015428F"/>
    <w:rsid w:val="00154447"/>
    <w:rsid w:val="001549BE"/>
    <w:rsid w:val="00154CDE"/>
    <w:rsid w:val="00154F5B"/>
    <w:rsid w:val="001612BE"/>
    <w:rsid w:val="00161DAC"/>
    <w:rsid w:val="00162B55"/>
    <w:rsid w:val="00162D8B"/>
    <w:rsid w:val="001638E9"/>
    <w:rsid w:val="00164B49"/>
    <w:rsid w:val="00165824"/>
    <w:rsid w:val="00166F90"/>
    <w:rsid w:val="00171A85"/>
    <w:rsid w:val="00174565"/>
    <w:rsid w:val="00175BB3"/>
    <w:rsid w:val="00176AAA"/>
    <w:rsid w:val="00176E2D"/>
    <w:rsid w:val="00177A9A"/>
    <w:rsid w:val="001808A4"/>
    <w:rsid w:val="001815A5"/>
    <w:rsid w:val="0018383E"/>
    <w:rsid w:val="00186850"/>
    <w:rsid w:val="001904A5"/>
    <w:rsid w:val="001923C8"/>
    <w:rsid w:val="001939FF"/>
    <w:rsid w:val="00193C99"/>
    <w:rsid w:val="00194DE8"/>
    <w:rsid w:val="00197990"/>
    <w:rsid w:val="001A0106"/>
    <w:rsid w:val="001A02CB"/>
    <w:rsid w:val="001A11DB"/>
    <w:rsid w:val="001A33F4"/>
    <w:rsid w:val="001A5E2D"/>
    <w:rsid w:val="001A6256"/>
    <w:rsid w:val="001A6F29"/>
    <w:rsid w:val="001A72AC"/>
    <w:rsid w:val="001A789B"/>
    <w:rsid w:val="001B029D"/>
    <w:rsid w:val="001B03CC"/>
    <w:rsid w:val="001B0C75"/>
    <w:rsid w:val="001B44C2"/>
    <w:rsid w:val="001B4EC1"/>
    <w:rsid w:val="001B659F"/>
    <w:rsid w:val="001B6BD9"/>
    <w:rsid w:val="001B7399"/>
    <w:rsid w:val="001B7655"/>
    <w:rsid w:val="001B7BAD"/>
    <w:rsid w:val="001B7F09"/>
    <w:rsid w:val="001C1166"/>
    <w:rsid w:val="001C1F6A"/>
    <w:rsid w:val="001C261E"/>
    <w:rsid w:val="001C3AC7"/>
    <w:rsid w:val="001C7B78"/>
    <w:rsid w:val="001D0BA6"/>
    <w:rsid w:val="001D1942"/>
    <w:rsid w:val="001D1DDB"/>
    <w:rsid w:val="001D4CAA"/>
    <w:rsid w:val="001D53EA"/>
    <w:rsid w:val="001D6851"/>
    <w:rsid w:val="001D6F7C"/>
    <w:rsid w:val="001E105C"/>
    <w:rsid w:val="001E12A5"/>
    <w:rsid w:val="001E1EDB"/>
    <w:rsid w:val="001E3A18"/>
    <w:rsid w:val="001E6DBA"/>
    <w:rsid w:val="001E717D"/>
    <w:rsid w:val="001E71F5"/>
    <w:rsid w:val="001E7D86"/>
    <w:rsid w:val="001F377B"/>
    <w:rsid w:val="001F3CF9"/>
    <w:rsid w:val="001F4807"/>
    <w:rsid w:val="001F55E5"/>
    <w:rsid w:val="001F5CB9"/>
    <w:rsid w:val="001F76C4"/>
    <w:rsid w:val="00200DC3"/>
    <w:rsid w:val="0020214A"/>
    <w:rsid w:val="00204A87"/>
    <w:rsid w:val="002050B0"/>
    <w:rsid w:val="00205D80"/>
    <w:rsid w:val="0021093F"/>
    <w:rsid w:val="002133CA"/>
    <w:rsid w:val="0021361F"/>
    <w:rsid w:val="00215783"/>
    <w:rsid w:val="0021644B"/>
    <w:rsid w:val="00216DC9"/>
    <w:rsid w:val="00217CA0"/>
    <w:rsid w:val="002202EB"/>
    <w:rsid w:val="00220FCF"/>
    <w:rsid w:val="00221705"/>
    <w:rsid w:val="00221D97"/>
    <w:rsid w:val="00223C87"/>
    <w:rsid w:val="00224BA9"/>
    <w:rsid w:val="0022552E"/>
    <w:rsid w:val="00227458"/>
    <w:rsid w:val="00232729"/>
    <w:rsid w:val="002329C3"/>
    <w:rsid w:val="002332AE"/>
    <w:rsid w:val="002333C2"/>
    <w:rsid w:val="00234040"/>
    <w:rsid w:val="002357B2"/>
    <w:rsid w:val="00235D67"/>
    <w:rsid w:val="00244D22"/>
    <w:rsid w:val="002454A5"/>
    <w:rsid w:val="00246329"/>
    <w:rsid w:val="00246C09"/>
    <w:rsid w:val="00247262"/>
    <w:rsid w:val="002528B9"/>
    <w:rsid w:val="002539DC"/>
    <w:rsid w:val="0025616B"/>
    <w:rsid w:val="00257133"/>
    <w:rsid w:val="00257FF4"/>
    <w:rsid w:val="002608CE"/>
    <w:rsid w:val="0026279C"/>
    <w:rsid w:val="00262CD3"/>
    <w:rsid w:val="00265289"/>
    <w:rsid w:val="00266613"/>
    <w:rsid w:val="00266CBF"/>
    <w:rsid w:val="00266D1A"/>
    <w:rsid w:val="00266EDF"/>
    <w:rsid w:val="00266FE9"/>
    <w:rsid w:val="00272396"/>
    <w:rsid w:val="00274689"/>
    <w:rsid w:val="0027481A"/>
    <w:rsid w:val="0027614D"/>
    <w:rsid w:val="002762BF"/>
    <w:rsid w:val="0027651A"/>
    <w:rsid w:val="0027654F"/>
    <w:rsid w:val="0028081A"/>
    <w:rsid w:val="00281CF6"/>
    <w:rsid w:val="0028309A"/>
    <w:rsid w:val="0028359B"/>
    <w:rsid w:val="00285757"/>
    <w:rsid w:val="002857FE"/>
    <w:rsid w:val="0028681C"/>
    <w:rsid w:val="00292D6A"/>
    <w:rsid w:val="0029312A"/>
    <w:rsid w:val="0029325C"/>
    <w:rsid w:val="00293B2D"/>
    <w:rsid w:val="002960B7"/>
    <w:rsid w:val="00296662"/>
    <w:rsid w:val="00297824"/>
    <w:rsid w:val="002A0877"/>
    <w:rsid w:val="002A153F"/>
    <w:rsid w:val="002A34B0"/>
    <w:rsid w:val="002A3770"/>
    <w:rsid w:val="002A40DC"/>
    <w:rsid w:val="002A4D8B"/>
    <w:rsid w:val="002A5329"/>
    <w:rsid w:val="002A5C2D"/>
    <w:rsid w:val="002A61E5"/>
    <w:rsid w:val="002A6AE8"/>
    <w:rsid w:val="002A7FC8"/>
    <w:rsid w:val="002B0A81"/>
    <w:rsid w:val="002B0C48"/>
    <w:rsid w:val="002B15C8"/>
    <w:rsid w:val="002B1CE7"/>
    <w:rsid w:val="002B2AF9"/>
    <w:rsid w:val="002B2F0F"/>
    <w:rsid w:val="002B595D"/>
    <w:rsid w:val="002B5F6A"/>
    <w:rsid w:val="002B779E"/>
    <w:rsid w:val="002B7D6F"/>
    <w:rsid w:val="002B7D78"/>
    <w:rsid w:val="002C0552"/>
    <w:rsid w:val="002C25D0"/>
    <w:rsid w:val="002C280B"/>
    <w:rsid w:val="002C2DB0"/>
    <w:rsid w:val="002C44C3"/>
    <w:rsid w:val="002C75B0"/>
    <w:rsid w:val="002C7703"/>
    <w:rsid w:val="002C7A63"/>
    <w:rsid w:val="002D0153"/>
    <w:rsid w:val="002D1631"/>
    <w:rsid w:val="002D403A"/>
    <w:rsid w:val="002D4262"/>
    <w:rsid w:val="002D71FB"/>
    <w:rsid w:val="002E1064"/>
    <w:rsid w:val="002E1531"/>
    <w:rsid w:val="002E2D3E"/>
    <w:rsid w:val="002E323F"/>
    <w:rsid w:val="002E7CFB"/>
    <w:rsid w:val="002F1B12"/>
    <w:rsid w:val="002F591B"/>
    <w:rsid w:val="002F7B47"/>
    <w:rsid w:val="00300013"/>
    <w:rsid w:val="003006F8"/>
    <w:rsid w:val="00300BF2"/>
    <w:rsid w:val="003016F7"/>
    <w:rsid w:val="003027C1"/>
    <w:rsid w:val="0030537F"/>
    <w:rsid w:val="00305718"/>
    <w:rsid w:val="00305EC5"/>
    <w:rsid w:val="00306107"/>
    <w:rsid w:val="0030779E"/>
    <w:rsid w:val="003077B8"/>
    <w:rsid w:val="003077EB"/>
    <w:rsid w:val="003111F8"/>
    <w:rsid w:val="0031204A"/>
    <w:rsid w:val="0031272B"/>
    <w:rsid w:val="003127D3"/>
    <w:rsid w:val="003146BF"/>
    <w:rsid w:val="00315435"/>
    <w:rsid w:val="00316341"/>
    <w:rsid w:val="00317E2D"/>
    <w:rsid w:val="00317F8C"/>
    <w:rsid w:val="0032038C"/>
    <w:rsid w:val="00325C5E"/>
    <w:rsid w:val="0032738E"/>
    <w:rsid w:val="00330433"/>
    <w:rsid w:val="00331C5F"/>
    <w:rsid w:val="00333074"/>
    <w:rsid w:val="00333223"/>
    <w:rsid w:val="00333EC6"/>
    <w:rsid w:val="003364C1"/>
    <w:rsid w:val="00337F82"/>
    <w:rsid w:val="00337FAC"/>
    <w:rsid w:val="00340640"/>
    <w:rsid w:val="00340BE5"/>
    <w:rsid w:val="003427DA"/>
    <w:rsid w:val="003435D6"/>
    <w:rsid w:val="003458E0"/>
    <w:rsid w:val="00345CCD"/>
    <w:rsid w:val="00347351"/>
    <w:rsid w:val="003511CE"/>
    <w:rsid w:val="00351909"/>
    <w:rsid w:val="00352BE0"/>
    <w:rsid w:val="0035333E"/>
    <w:rsid w:val="003538F0"/>
    <w:rsid w:val="003555D5"/>
    <w:rsid w:val="00357DAE"/>
    <w:rsid w:val="00361259"/>
    <w:rsid w:val="00361429"/>
    <w:rsid w:val="00362AA7"/>
    <w:rsid w:val="003705BF"/>
    <w:rsid w:val="00370935"/>
    <w:rsid w:val="00375E52"/>
    <w:rsid w:val="00377721"/>
    <w:rsid w:val="00377F81"/>
    <w:rsid w:val="00382234"/>
    <w:rsid w:val="0038672F"/>
    <w:rsid w:val="00386882"/>
    <w:rsid w:val="00386BC9"/>
    <w:rsid w:val="00386F24"/>
    <w:rsid w:val="0039053D"/>
    <w:rsid w:val="003914D7"/>
    <w:rsid w:val="0039449C"/>
    <w:rsid w:val="00397C94"/>
    <w:rsid w:val="003A0290"/>
    <w:rsid w:val="003A25BB"/>
    <w:rsid w:val="003B0963"/>
    <w:rsid w:val="003B0D03"/>
    <w:rsid w:val="003B1F0A"/>
    <w:rsid w:val="003B2C1F"/>
    <w:rsid w:val="003B48BF"/>
    <w:rsid w:val="003B51BB"/>
    <w:rsid w:val="003B5533"/>
    <w:rsid w:val="003B5A85"/>
    <w:rsid w:val="003B71EE"/>
    <w:rsid w:val="003B7621"/>
    <w:rsid w:val="003C13A6"/>
    <w:rsid w:val="003C1EB4"/>
    <w:rsid w:val="003C664E"/>
    <w:rsid w:val="003C7CD7"/>
    <w:rsid w:val="003D00D4"/>
    <w:rsid w:val="003D1E47"/>
    <w:rsid w:val="003D3C14"/>
    <w:rsid w:val="003D4557"/>
    <w:rsid w:val="003D52D2"/>
    <w:rsid w:val="003D543D"/>
    <w:rsid w:val="003D59FD"/>
    <w:rsid w:val="003E10B8"/>
    <w:rsid w:val="003E122D"/>
    <w:rsid w:val="003E13F5"/>
    <w:rsid w:val="003E4E15"/>
    <w:rsid w:val="003E5AE8"/>
    <w:rsid w:val="003F07EE"/>
    <w:rsid w:val="003F0F41"/>
    <w:rsid w:val="003F29F2"/>
    <w:rsid w:val="003F47DF"/>
    <w:rsid w:val="003F604C"/>
    <w:rsid w:val="003F7E20"/>
    <w:rsid w:val="00405E90"/>
    <w:rsid w:val="004065CE"/>
    <w:rsid w:val="0040728F"/>
    <w:rsid w:val="004105DD"/>
    <w:rsid w:val="00410DCE"/>
    <w:rsid w:val="004119C3"/>
    <w:rsid w:val="0041404E"/>
    <w:rsid w:val="0041429D"/>
    <w:rsid w:val="00414E1F"/>
    <w:rsid w:val="004168D4"/>
    <w:rsid w:val="0041765C"/>
    <w:rsid w:val="00420837"/>
    <w:rsid w:val="00421EEC"/>
    <w:rsid w:val="0042255C"/>
    <w:rsid w:val="00422933"/>
    <w:rsid w:val="00422F4B"/>
    <w:rsid w:val="004248B4"/>
    <w:rsid w:val="00424C66"/>
    <w:rsid w:val="0042526D"/>
    <w:rsid w:val="004254A2"/>
    <w:rsid w:val="00426D71"/>
    <w:rsid w:val="00427538"/>
    <w:rsid w:val="00430256"/>
    <w:rsid w:val="00431395"/>
    <w:rsid w:val="00431BF1"/>
    <w:rsid w:val="004342F8"/>
    <w:rsid w:val="00434A2F"/>
    <w:rsid w:val="004373DF"/>
    <w:rsid w:val="0044083A"/>
    <w:rsid w:val="004408FA"/>
    <w:rsid w:val="004418CD"/>
    <w:rsid w:val="0044552A"/>
    <w:rsid w:val="00451501"/>
    <w:rsid w:val="004528D0"/>
    <w:rsid w:val="00452907"/>
    <w:rsid w:val="00454564"/>
    <w:rsid w:val="004562E5"/>
    <w:rsid w:val="00457BC3"/>
    <w:rsid w:val="0046034D"/>
    <w:rsid w:val="004611B1"/>
    <w:rsid w:val="00462272"/>
    <w:rsid w:val="0046390C"/>
    <w:rsid w:val="00465D4E"/>
    <w:rsid w:val="004669BA"/>
    <w:rsid w:val="00467BDD"/>
    <w:rsid w:val="004701B4"/>
    <w:rsid w:val="00470EE4"/>
    <w:rsid w:val="004717F6"/>
    <w:rsid w:val="00474747"/>
    <w:rsid w:val="0047481E"/>
    <w:rsid w:val="00474918"/>
    <w:rsid w:val="00475EAF"/>
    <w:rsid w:val="004811D5"/>
    <w:rsid w:val="004815F8"/>
    <w:rsid w:val="00481E32"/>
    <w:rsid w:val="004831ED"/>
    <w:rsid w:val="004836A7"/>
    <w:rsid w:val="004847B4"/>
    <w:rsid w:val="00484921"/>
    <w:rsid w:val="00486614"/>
    <w:rsid w:val="00487E11"/>
    <w:rsid w:val="00487FB8"/>
    <w:rsid w:val="00490D96"/>
    <w:rsid w:val="004919D4"/>
    <w:rsid w:val="00491FB2"/>
    <w:rsid w:val="0049212C"/>
    <w:rsid w:val="00495C39"/>
    <w:rsid w:val="004A1224"/>
    <w:rsid w:val="004A175C"/>
    <w:rsid w:val="004A1AE3"/>
    <w:rsid w:val="004A247B"/>
    <w:rsid w:val="004A28C5"/>
    <w:rsid w:val="004A660C"/>
    <w:rsid w:val="004A6B44"/>
    <w:rsid w:val="004B0B19"/>
    <w:rsid w:val="004B0DB2"/>
    <w:rsid w:val="004B353D"/>
    <w:rsid w:val="004B37A7"/>
    <w:rsid w:val="004B4426"/>
    <w:rsid w:val="004B5F2A"/>
    <w:rsid w:val="004B74B2"/>
    <w:rsid w:val="004C1399"/>
    <w:rsid w:val="004C1C09"/>
    <w:rsid w:val="004C289A"/>
    <w:rsid w:val="004C2A0C"/>
    <w:rsid w:val="004C2A17"/>
    <w:rsid w:val="004C4CAE"/>
    <w:rsid w:val="004C5507"/>
    <w:rsid w:val="004D1E1A"/>
    <w:rsid w:val="004D23A9"/>
    <w:rsid w:val="004D29F5"/>
    <w:rsid w:val="004D2F90"/>
    <w:rsid w:val="004D7804"/>
    <w:rsid w:val="004D79C9"/>
    <w:rsid w:val="004E2825"/>
    <w:rsid w:val="004E3079"/>
    <w:rsid w:val="004E62E4"/>
    <w:rsid w:val="004F0E90"/>
    <w:rsid w:val="004F0F5B"/>
    <w:rsid w:val="004F22B8"/>
    <w:rsid w:val="004F2437"/>
    <w:rsid w:val="004F45F0"/>
    <w:rsid w:val="004F4624"/>
    <w:rsid w:val="004F5573"/>
    <w:rsid w:val="004F634F"/>
    <w:rsid w:val="0050141B"/>
    <w:rsid w:val="00502638"/>
    <w:rsid w:val="005029BC"/>
    <w:rsid w:val="005048E3"/>
    <w:rsid w:val="00504C3F"/>
    <w:rsid w:val="00505A77"/>
    <w:rsid w:val="00505CB3"/>
    <w:rsid w:val="005067C7"/>
    <w:rsid w:val="00506EB0"/>
    <w:rsid w:val="0050798C"/>
    <w:rsid w:val="0051030F"/>
    <w:rsid w:val="005136CD"/>
    <w:rsid w:val="00514B1A"/>
    <w:rsid w:val="00514B24"/>
    <w:rsid w:val="00517384"/>
    <w:rsid w:val="00521860"/>
    <w:rsid w:val="005222CC"/>
    <w:rsid w:val="00522622"/>
    <w:rsid w:val="005257C4"/>
    <w:rsid w:val="00525AB1"/>
    <w:rsid w:val="005267FB"/>
    <w:rsid w:val="00527492"/>
    <w:rsid w:val="005277F5"/>
    <w:rsid w:val="005307E9"/>
    <w:rsid w:val="005310C1"/>
    <w:rsid w:val="00531224"/>
    <w:rsid w:val="00532994"/>
    <w:rsid w:val="005329BE"/>
    <w:rsid w:val="00532D12"/>
    <w:rsid w:val="00533206"/>
    <w:rsid w:val="00533442"/>
    <w:rsid w:val="00533515"/>
    <w:rsid w:val="00534AC0"/>
    <w:rsid w:val="00535557"/>
    <w:rsid w:val="0053606A"/>
    <w:rsid w:val="005369C0"/>
    <w:rsid w:val="00540D82"/>
    <w:rsid w:val="00541254"/>
    <w:rsid w:val="00542BA5"/>
    <w:rsid w:val="00545573"/>
    <w:rsid w:val="00547EB8"/>
    <w:rsid w:val="00552FC2"/>
    <w:rsid w:val="00553DA2"/>
    <w:rsid w:val="00555623"/>
    <w:rsid w:val="005562DC"/>
    <w:rsid w:val="00556725"/>
    <w:rsid w:val="00557A85"/>
    <w:rsid w:val="00560562"/>
    <w:rsid w:val="005606B5"/>
    <w:rsid w:val="00562BAD"/>
    <w:rsid w:val="00566181"/>
    <w:rsid w:val="005708BD"/>
    <w:rsid w:val="00574906"/>
    <w:rsid w:val="00574E9E"/>
    <w:rsid w:val="005752BC"/>
    <w:rsid w:val="0057622F"/>
    <w:rsid w:val="00577977"/>
    <w:rsid w:val="00581D30"/>
    <w:rsid w:val="00584245"/>
    <w:rsid w:val="00584D80"/>
    <w:rsid w:val="005863FB"/>
    <w:rsid w:val="00586535"/>
    <w:rsid w:val="00586BB5"/>
    <w:rsid w:val="00586DFB"/>
    <w:rsid w:val="005904C2"/>
    <w:rsid w:val="005905BC"/>
    <w:rsid w:val="00590B75"/>
    <w:rsid w:val="00590DAA"/>
    <w:rsid w:val="00591D74"/>
    <w:rsid w:val="005922E6"/>
    <w:rsid w:val="00592349"/>
    <w:rsid w:val="00596F3F"/>
    <w:rsid w:val="00597EEF"/>
    <w:rsid w:val="005A1C4E"/>
    <w:rsid w:val="005A3678"/>
    <w:rsid w:val="005A390C"/>
    <w:rsid w:val="005A426B"/>
    <w:rsid w:val="005A4A1A"/>
    <w:rsid w:val="005A5084"/>
    <w:rsid w:val="005A61D3"/>
    <w:rsid w:val="005A7E70"/>
    <w:rsid w:val="005B40E8"/>
    <w:rsid w:val="005B6DAA"/>
    <w:rsid w:val="005B7314"/>
    <w:rsid w:val="005B7D8B"/>
    <w:rsid w:val="005C03F6"/>
    <w:rsid w:val="005C0475"/>
    <w:rsid w:val="005C1569"/>
    <w:rsid w:val="005C225D"/>
    <w:rsid w:val="005C4604"/>
    <w:rsid w:val="005C4BEE"/>
    <w:rsid w:val="005C6E74"/>
    <w:rsid w:val="005C781C"/>
    <w:rsid w:val="005D3254"/>
    <w:rsid w:val="005D330E"/>
    <w:rsid w:val="005D3528"/>
    <w:rsid w:val="005D49A6"/>
    <w:rsid w:val="005D7A35"/>
    <w:rsid w:val="005E034F"/>
    <w:rsid w:val="005E09A7"/>
    <w:rsid w:val="005E198B"/>
    <w:rsid w:val="005E19D9"/>
    <w:rsid w:val="005E1D35"/>
    <w:rsid w:val="005E2A31"/>
    <w:rsid w:val="005E35E8"/>
    <w:rsid w:val="005E36B9"/>
    <w:rsid w:val="005E442F"/>
    <w:rsid w:val="005E5519"/>
    <w:rsid w:val="005E61D8"/>
    <w:rsid w:val="005E7E2C"/>
    <w:rsid w:val="005F29CD"/>
    <w:rsid w:val="005F3175"/>
    <w:rsid w:val="005F3436"/>
    <w:rsid w:val="005F3BBD"/>
    <w:rsid w:val="005F4739"/>
    <w:rsid w:val="005F642B"/>
    <w:rsid w:val="005F67FC"/>
    <w:rsid w:val="006018F6"/>
    <w:rsid w:val="006026E1"/>
    <w:rsid w:val="00603A90"/>
    <w:rsid w:val="00605163"/>
    <w:rsid w:val="006065BF"/>
    <w:rsid w:val="00606F86"/>
    <w:rsid w:val="006070EA"/>
    <w:rsid w:val="00607ABE"/>
    <w:rsid w:val="00607F53"/>
    <w:rsid w:val="006103D0"/>
    <w:rsid w:val="0061082C"/>
    <w:rsid w:val="00611EAE"/>
    <w:rsid w:val="0061364A"/>
    <w:rsid w:val="00613BEA"/>
    <w:rsid w:val="0061402C"/>
    <w:rsid w:val="00615113"/>
    <w:rsid w:val="0061595F"/>
    <w:rsid w:val="00616179"/>
    <w:rsid w:val="0061675B"/>
    <w:rsid w:val="0062052B"/>
    <w:rsid w:val="00621A86"/>
    <w:rsid w:val="00623401"/>
    <w:rsid w:val="00625C40"/>
    <w:rsid w:val="006274B3"/>
    <w:rsid w:val="00627E7C"/>
    <w:rsid w:val="00631369"/>
    <w:rsid w:val="00632481"/>
    <w:rsid w:val="0063262D"/>
    <w:rsid w:val="00634AD9"/>
    <w:rsid w:val="00637BBD"/>
    <w:rsid w:val="00640D17"/>
    <w:rsid w:val="00642768"/>
    <w:rsid w:val="00646ACE"/>
    <w:rsid w:val="006474C0"/>
    <w:rsid w:val="00647927"/>
    <w:rsid w:val="00652B9B"/>
    <w:rsid w:val="00653743"/>
    <w:rsid w:val="00653DD9"/>
    <w:rsid w:val="00654E6A"/>
    <w:rsid w:val="00657486"/>
    <w:rsid w:val="006575F3"/>
    <w:rsid w:val="006576C3"/>
    <w:rsid w:val="00660871"/>
    <w:rsid w:val="00662809"/>
    <w:rsid w:val="00664E08"/>
    <w:rsid w:val="0066774D"/>
    <w:rsid w:val="00667F42"/>
    <w:rsid w:val="00671284"/>
    <w:rsid w:val="006727FC"/>
    <w:rsid w:val="00673906"/>
    <w:rsid w:val="006765BC"/>
    <w:rsid w:val="00676E5B"/>
    <w:rsid w:val="00677D6B"/>
    <w:rsid w:val="00680795"/>
    <w:rsid w:val="00680D8F"/>
    <w:rsid w:val="00682713"/>
    <w:rsid w:val="00683579"/>
    <w:rsid w:val="006854CE"/>
    <w:rsid w:val="006863EC"/>
    <w:rsid w:val="0068790B"/>
    <w:rsid w:val="006941DD"/>
    <w:rsid w:val="0069466B"/>
    <w:rsid w:val="006952FA"/>
    <w:rsid w:val="006956FF"/>
    <w:rsid w:val="006A009F"/>
    <w:rsid w:val="006A2332"/>
    <w:rsid w:val="006A257C"/>
    <w:rsid w:val="006A2615"/>
    <w:rsid w:val="006A499D"/>
    <w:rsid w:val="006A5866"/>
    <w:rsid w:val="006A7B57"/>
    <w:rsid w:val="006B0F54"/>
    <w:rsid w:val="006B415B"/>
    <w:rsid w:val="006B4C95"/>
    <w:rsid w:val="006B4CBA"/>
    <w:rsid w:val="006B5F82"/>
    <w:rsid w:val="006C2E46"/>
    <w:rsid w:val="006C3185"/>
    <w:rsid w:val="006C3544"/>
    <w:rsid w:val="006C4E45"/>
    <w:rsid w:val="006C5EE1"/>
    <w:rsid w:val="006C61B1"/>
    <w:rsid w:val="006D0669"/>
    <w:rsid w:val="006D3771"/>
    <w:rsid w:val="006D440A"/>
    <w:rsid w:val="006D592F"/>
    <w:rsid w:val="006D62BE"/>
    <w:rsid w:val="006D7B71"/>
    <w:rsid w:val="006D7EDC"/>
    <w:rsid w:val="006E0006"/>
    <w:rsid w:val="006E0DF6"/>
    <w:rsid w:val="006E1BDE"/>
    <w:rsid w:val="006E336C"/>
    <w:rsid w:val="006E3B9E"/>
    <w:rsid w:val="006E4A27"/>
    <w:rsid w:val="006E5828"/>
    <w:rsid w:val="006E6BB9"/>
    <w:rsid w:val="006E784F"/>
    <w:rsid w:val="006F0B4F"/>
    <w:rsid w:val="006F26BA"/>
    <w:rsid w:val="006F2DF3"/>
    <w:rsid w:val="006F2DF9"/>
    <w:rsid w:val="006F3653"/>
    <w:rsid w:val="006F3C6F"/>
    <w:rsid w:val="006F3DB7"/>
    <w:rsid w:val="006F41C6"/>
    <w:rsid w:val="006F5DD9"/>
    <w:rsid w:val="006F6FA2"/>
    <w:rsid w:val="007001D0"/>
    <w:rsid w:val="00700CE3"/>
    <w:rsid w:val="00701498"/>
    <w:rsid w:val="00701E70"/>
    <w:rsid w:val="007036AE"/>
    <w:rsid w:val="00704F47"/>
    <w:rsid w:val="007072C2"/>
    <w:rsid w:val="0070746B"/>
    <w:rsid w:val="007075CA"/>
    <w:rsid w:val="0071151E"/>
    <w:rsid w:val="00711571"/>
    <w:rsid w:val="0071482B"/>
    <w:rsid w:val="00714C8F"/>
    <w:rsid w:val="00715214"/>
    <w:rsid w:val="00715A32"/>
    <w:rsid w:val="00716F57"/>
    <w:rsid w:val="00721409"/>
    <w:rsid w:val="007221A2"/>
    <w:rsid w:val="00722364"/>
    <w:rsid w:val="00722935"/>
    <w:rsid w:val="00727815"/>
    <w:rsid w:val="00730E31"/>
    <w:rsid w:val="00732561"/>
    <w:rsid w:val="00734C7A"/>
    <w:rsid w:val="00734E06"/>
    <w:rsid w:val="00735844"/>
    <w:rsid w:val="00736E9D"/>
    <w:rsid w:val="007373FA"/>
    <w:rsid w:val="0074063F"/>
    <w:rsid w:val="00740EF1"/>
    <w:rsid w:val="00744DBD"/>
    <w:rsid w:val="00745398"/>
    <w:rsid w:val="00750451"/>
    <w:rsid w:val="00753890"/>
    <w:rsid w:val="007561F0"/>
    <w:rsid w:val="00756632"/>
    <w:rsid w:val="0075754A"/>
    <w:rsid w:val="00760554"/>
    <w:rsid w:val="0076083D"/>
    <w:rsid w:val="00761DC2"/>
    <w:rsid w:val="0076273D"/>
    <w:rsid w:val="00762B1E"/>
    <w:rsid w:val="007652E7"/>
    <w:rsid w:val="00766434"/>
    <w:rsid w:val="00770E10"/>
    <w:rsid w:val="00771E5C"/>
    <w:rsid w:val="00772107"/>
    <w:rsid w:val="00774A83"/>
    <w:rsid w:val="00775146"/>
    <w:rsid w:val="0077566D"/>
    <w:rsid w:val="00776097"/>
    <w:rsid w:val="007766A5"/>
    <w:rsid w:val="00776E39"/>
    <w:rsid w:val="00780082"/>
    <w:rsid w:val="0078016D"/>
    <w:rsid w:val="00782098"/>
    <w:rsid w:val="0078228A"/>
    <w:rsid w:val="00786724"/>
    <w:rsid w:val="007900CB"/>
    <w:rsid w:val="00790E9B"/>
    <w:rsid w:val="007917E7"/>
    <w:rsid w:val="007927C6"/>
    <w:rsid w:val="0079348E"/>
    <w:rsid w:val="0079405B"/>
    <w:rsid w:val="0079506B"/>
    <w:rsid w:val="007A05F4"/>
    <w:rsid w:val="007A0BB9"/>
    <w:rsid w:val="007A1D73"/>
    <w:rsid w:val="007A4023"/>
    <w:rsid w:val="007A5258"/>
    <w:rsid w:val="007A5A94"/>
    <w:rsid w:val="007A68C1"/>
    <w:rsid w:val="007A6C47"/>
    <w:rsid w:val="007B2D54"/>
    <w:rsid w:val="007B31F7"/>
    <w:rsid w:val="007B347F"/>
    <w:rsid w:val="007B5A98"/>
    <w:rsid w:val="007B5E30"/>
    <w:rsid w:val="007C2270"/>
    <w:rsid w:val="007C27D4"/>
    <w:rsid w:val="007C4CCE"/>
    <w:rsid w:val="007C570A"/>
    <w:rsid w:val="007C7D49"/>
    <w:rsid w:val="007D1D99"/>
    <w:rsid w:val="007D4D2A"/>
    <w:rsid w:val="007D763D"/>
    <w:rsid w:val="007E00B1"/>
    <w:rsid w:val="007E0749"/>
    <w:rsid w:val="007E2717"/>
    <w:rsid w:val="007E2F87"/>
    <w:rsid w:val="007E334F"/>
    <w:rsid w:val="007E3D27"/>
    <w:rsid w:val="007E5D39"/>
    <w:rsid w:val="007E66C8"/>
    <w:rsid w:val="007E67BD"/>
    <w:rsid w:val="007E6BBD"/>
    <w:rsid w:val="007F06E1"/>
    <w:rsid w:val="007F3983"/>
    <w:rsid w:val="007F3CCF"/>
    <w:rsid w:val="007F517F"/>
    <w:rsid w:val="007F6391"/>
    <w:rsid w:val="007F6FB8"/>
    <w:rsid w:val="007F7481"/>
    <w:rsid w:val="007F76FF"/>
    <w:rsid w:val="007F7970"/>
    <w:rsid w:val="007F7EB7"/>
    <w:rsid w:val="00801491"/>
    <w:rsid w:val="008015A7"/>
    <w:rsid w:val="00803099"/>
    <w:rsid w:val="00804AAA"/>
    <w:rsid w:val="0081066B"/>
    <w:rsid w:val="00810809"/>
    <w:rsid w:val="00810E5B"/>
    <w:rsid w:val="00812350"/>
    <w:rsid w:val="00812741"/>
    <w:rsid w:val="008128E3"/>
    <w:rsid w:val="00815871"/>
    <w:rsid w:val="00820CF4"/>
    <w:rsid w:val="00821789"/>
    <w:rsid w:val="0082180B"/>
    <w:rsid w:val="00825D4F"/>
    <w:rsid w:val="00825E25"/>
    <w:rsid w:val="00826EF2"/>
    <w:rsid w:val="00830017"/>
    <w:rsid w:val="00830DC9"/>
    <w:rsid w:val="00833A6A"/>
    <w:rsid w:val="00833E2F"/>
    <w:rsid w:val="008368F3"/>
    <w:rsid w:val="0083698F"/>
    <w:rsid w:val="00837959"/>
    <w:rsid w:val="008400A8"/>
    <w:rsid w:val="0084156A"/>
    <w:rsid w:val="008427B1"/>
    <w:rsid w:val="008449FF"/>
    <w:rsid w:val="00844BE8"/>
    <w:rsid w:val="0084534D"/>
    <w:rsid w:val="0084601D"/>
    <w:rsid w:val="00846C73"/>
    <w:rsid w:val="0085161D"/>
    <w:rsid w:val="00855597"/>
    <w:rsid w:val="00855780"/>
    <w:rsid w:val="00856178"/>
    <w:rsid w:val="00856C69"/>
    <w:rsid w:val="008570AB"/>
    <w:rsid w:val="00857477"/>
    <w:rsid w:val="00862545"/>
    <w:rsid w:val="00863118"/>
    <w:rsid w:val="00863170"/>
    <w:rsid w:val="008636B4"/>
    <w:rsid w:val="00865A76"/>
    <w:rsid w:val="0086730B"/>
    <w:rsid w:val="008679E6"/>
    <w:rsid w:val="00867A0F"/>
    <w:rsid w:val="00871811"/>
    <w:rsid w:val="0087253E"/>
    <w:rsid w:val="00872E1F"/>
    <w:rsid w:val="00873942"/>
    <w:rsid w:val="00877F83"/>
    <w:rsid w:val="00880558"/>
    <w:rsid w:val="00881CB8"/>
    <w:rsid w:val="00885DA2"/>
    <w:rsid w:val="00886342"/>
    <w:rsid w:val="008875DE"/>
    <w:rsid w:val="0089092F"/>
    <w:rsid w:val="00896961"/>
    <w:rsid w:val="00896FF4"/>
    <w:rsid w:val="008A0E85"/>
    <w:rsid w:val="008A1DDE"/>
    <w:rsid w:val="008A371D"/>
    <w:rsid w:val="008A41CA"/>
    <w:rsid w:val="008A519D"/>
    <w:rsid w:val="008A5443"/>
    <w:rsid w:val="008A55A8"/>
    <w:rsid w:val="008A5F01"/>
    <w:rsid w:val="008A6B66"/>
    <w:rsid w:val="008B0969"/>
    <w:rsid w:val="008B11D0"/>
    <w:rsid w:val="008B4464"/>
    <w:rsid w:val="008B49F6"/>
    <w:rsid w:val="008B4BF2"/>
    <w:rsid w:val="008B50B8"/>
    <w:rsid w:val="008B56E5"/>
    <w:rsid w:val="008B5AFD"/>
    <w:rsid w:val="008B605C"/>
    <w:rsid w:val="008B6650"/>
    <w:rsid w:val="008B7A4E"/>
    <w:rsid w:val="008C1506"/>
    <w:rsid w:val="008C15EB"/>
    <w:rsid w:val="008C27C5"/>
    <w:rsid w:val="008C2D30"/>
    <w:rsid w:val="008C68EF"/>
    <w:rsid w:val="008C6C92"/>
    <w:rsid w:val="008C77F7"/>
    <w:rsid w:val="008D0AE4"/>
    <w:rsid w:val="008D1847"/>
    <w:rsid w:val="008D1B0D"/>
    <w:rsid w:val="008D2F52"/>
    <w:rsid w:val="008D6B57"/>
    <w:rsid w:val="008D74C3"/>
    <w:rsid w:val="008D7DFC"/>
    <w:rsid w:val="008E00FD"/>
    <w:rsid w:val="008E07C6"/>
    <w:rsid w:val="008E33EA"/>
    <w:rsid w:val="008E4180"/>
    <w:rsid w:val="008E5DFF"/>
    <w:rsid w:val="008E5F84"/>
    <w:rsid w:val="008E6A1B"/>
    <w:rsid w:val="008F0EA9"/>
    <w:rsid w:val="008F1B1E"/>
    <w:rsid w:val="008F2B7E"/>
    <w:rsid w:val="008F411D"/>
    <w:rsid w:val="008F4D31"/>
    <w:rsid w:val="008F53F5"/>
    <w:rsid w:val="008F5AFC"/>
    <w:rsid w:val="008F5FF0"/>
    <w:rsid w:val="008F61F2"/>
    <w:rsid w:val="008F63BC"/>
    <w:rsid w:val="008F7F78"/>
    <w:rsid w:val="00900316"/>
    <w:rsid w:val="0090122A"/>
    <w:rsid w:val="0090394F"/>
    <w:rsid w:val="00904EF2"/>
    <w:rsid w:val="009054D3"/>
    <w:rsid w:val="00907B9D"/>
    <w:rsid w:val="00910CFA"/>
    <w:rsid w:val="009125D2"/>
    <w:rsid w:val="00913F86"/>
    <w:rsid w:val="00915E3F"/>
    <w:rsid w:val="0091757C"/>
    <w:rsid w:val="0092099E"/>
    <w:rsid w:val="0092273F"/>
    <w:rsid w:val="009238F1"/>
    <w:rsid w:val="009249B4"/>
    <w:rsid w:val="009260C6"/>
    <w:rsid w:val="00926716"/>
    <w:rsid w:val="00926ED2"/>
    <w:rsid w:val="009270DB"/>
    <w:rsid w:val="0093491F"/>
    <w:rsid w:val="00935DF7"/>
    <w:rsid w:val="00935E14"/>
    <w:rsid w:val="009361DA"/>
    <w:rsid w:val="00942454"/>
    <w:rsid w:val="00946968"/>
    <w:rsid w:val="00950DB5"/>
    <w:rsid w:val="00951BD3"/>
    <w:rsid w:val="009559F2"/>
    <w:rsid w:val="00957310"/>
    <w:rsid w:val="0095750D"/>
    <w:rsid w:val="0096278C"/>
    <w:rsid w:val="00962B8F"/>
    <w:rsid w:val="00964464"/>
    <w:rsid w:val="00965665"/>
    <w:rsid w:val="0096632E"/>
    <w:rsid w:val="009669E1"/>
    <w:rsid w:val="00966D4F"/>
    <w:rsid w:val="00971F52"/>
    <w:rsid w:val="0097202E"/>
    <w:rsid w:val="00972E0B"/>
    <w:rsid w:val="009732CE"/>
    <w:rsid w:val="009748F0"/>
    <w:rsid w:val="00974A7C"/>
    <w:rsid w:val="0097587B"/>
    <w:rsid w:val="009766FE"/>
    <w:rsid w:val="00977715"/>
    <w:rsid w:val="009778EF"/>
    <w:rsid w:val="00980439"/>
    <w:rsid w:val="00982444"/>
    <w:rsid w:val="00982BA7"/>
    <w:rsid w:val="00982D92"/>
    <w:rsid w:val="00982F10"/>
    <w:rsid w:val="009834A0"/>
    <w:rsid w:val="009843A8"/>
    <w:rsid w:val="00984993"/>
    <w:rsid w:val="0098697A"/>
    <w:rsid w:val="009875EE"/>
    <w:rsid w:val="00987E22"/>
    <w:rsid w:val="00993EA1"/>
    <w:rsid w:val="0099496C"/>
    <w:rsid w:val="00996569"/>
    <w:rsid w:val="009A057B"/>
    <w:rsid w:val="009A06F0"/>
    <w:rsid w:val="009A14DE"/>
    <w:rsid w:val="009A7BC2"/>
    <w:rsid w:val="009B187D"/>
    <w:rsid w:val="009B1897"/>
    <w:rsid w:val="009B1BB7"/>
    <w:rsid w:val="009B3DA6"/>
    <w:rsid w:val="009B48D4"/>
    <w:rsid w:val="009B5B95"/>
    <w:rsid w:val="009B7FD2"/>
    <w:rsid w:val="009C0992"/>
    <w:rsid w:val="009C0C48"/>
    <w:rsid w:val="009C1830"/>
    <w:rsid w:val="009C23DA"/>
    <w:rsid w:val="009C24B3"/>
    <w:rsid w:val="009C2C09"/>
    <w:rsid w:val="009C2E5A"/>
    <w:rsid w:val="009C4583"/>
    <w:rsid w:val="009C6214"/>
    <w:rsid w:val="009C7B18"/>
    <w:rsid w:val="009C7B91"/>
    <w:rsid w:val="009C7C48"/>
    <w:rsid w:val="009C7D55"/>
    <w:rsid w:val="009C7F52"/>
    <w:rsid w:val="009D07F2"/>
    <w:rsid w:val="009D1884"/>
    <w:rsid w:val="009D24A3"/>
    <w:rsid w:val="009D3665"/>
    <w:rsid w:val="009D373E"/>
    <w:rsid w:val="009D3C84"/>
    <w:rsid w:val="009D4D3C"/>
    <w:rsid w:val="009D6969"/>
    <w:rsid w:val="009D7470"/>
    <w:rsid w:val="009D7A58"/>
    <w:rsid w:val="009E0BAE"/>
    <w:rsid w:val="009E0CED"/>
    <w:rsid w:val="009E17A2"/>
    <w:rsid w:val="009E26C0"/>
    <w:rsid w:val="009E2D23"/>
    <w:rsid w:val="009E4043"/>
    <w:rsid w:val="009E43C1"/>
    <w:rsid w:val="009F3BA0"/>
    <w:rsid w:val="009F3F5D"/>
    <w:rsid w:val="009F4B3E"/>
    <w:rsid w:val="009F4CB9"/>
    <w:rsid w:val="009F52B8"/>
    <w:rsid w:val="009F6F42"/>
    <w:rsid w:val="009F7924"/>
    <w:rsid w:val="00A004B5"/>
    <w:rsid w:val="00A01C02"/>
    <w:rsid w:val="00A05113"/>
    <w:rsid w:val="00A054DC"/>
    <w:rsid w:val="00A06502"/>
    <w:rsid w:val="00A069AE"/>
    <w:rsid w:val="00A10389"/>
    <w:rsid w:val="00A103BD"/>
    <w:rsid w:val="00A10AD7"/>
    <w:rsid w:val="00A1133E"/>
    <w:rsid w:val="00A11888"/>
    <w:rsid w:val="00A11E62"/>
    <w:rsid w:val="00A11E8F"/>
    <w:rsid w:val="00A12369"/>
    <w:rsid w:val="00A14357"/>
    <w:rsid w:val="00A1524F"/>
    <w:rsid w:val="00A1525F"/>
    <w:rsid w:val="00A15E63"/>
    <w:rsid w:val="00A167D9"/>
    <w:rsid w:val="00A17672"/>
    <w:rsid w:val="00A176BD"/>
    <w:rsid w:val="00A200E6"/>
    <w:rsid w:val="00A20C5D"/>
    <w:rsid w:val="00A20D02"/>
    <w:rsid w:val="00A239CC"/>
    <w:rsid w:val="00A23BC2"/>
    <w:rsid w:val="00A24BB8"/>
    <w:rsid w:val="00A279AC"/>
    <w:rsid w:val="00A30C5D"/>
    <w:rsid w:val="00A310F1"/>
    <w:rsid w:val="00A34480"/>
    <w:rsid w:val="00A35FAA"/>
    <w:rsid w:val="00A40163"/>
    <w:rsid w:val="00A409BC"/>
    <w:rsid w:val="00A413AD"/>
    <w:rsid w:val="00A41422"/>
    <w:rsid w:val="00A42F6D"/>
    <w:rsid w:val="00A443F8"/>
    <w:rsid w:val="00A44612"/>
    <w:rsid w:val="00A44720"/>
    <w:rsid w:val="00A44A92"/>
    <w:rsid w:val="00A51337"/>
    <w:rsid w:val="00A540A5"/>
    <w:rsid w:val="00A54248"/>
    <w:rsid w:val="00A55B6F"/>
    <w:rsid w:val="00A609D3"/>
    <w:rsid w:val="00A619B5"/>
    <w:rsid w:val="00A6388E"/>
    <w:rsid w:val="00A70398"/>
    <w:rsid w:val="00A709AD"/>
    <w:rsid w:val="00A733CB"/>
    <w:rsid w:val="00A751AD"/>
    <w:rsid w:val="00A775CF"/>
    <w:rsid w:val="00A77853"/>
    <w:rsid w:val="00A77FAF"/>
    <w:rsid w:val="00A80C87"/>
    <w:rsid w:val="00A81D60"/>
    <w:rsid w:val="00A83241"/>
    <w:rsid w:val="00A84503"/>
    <w:rsid w:val="00A8782F"/>
    <w:rsid w:val="00A90C74"/>
    <w:rsid w:val="00A9167D"/>
    <w:rsid w:val="00A919E7"/>
    <w:rsid w:val="00A9293A"/>
    <w:rsid w:val="00A92D25"/>
    <w:rsid w:val="00A943E1"/>
    <w:rsid w:val="00A94689"/>
    <w:rsid w:val="00A94DDB"/>
    <w:rsid w:val="00A96349"/>
    <w:rsid w:val="00A965CD"/>
    <w:rsid w:val="00AA27AA"/>
    <w:rsid w:val="00AA2DF3"/>
    <w:rsid w:val="00AA50BC"/>
    <w:rsid w:val="00AA70B4"/>
    <w:rsid w:val="00AB0B01"/>
    <w:rsid w:val="00AB24E7"/>
    <w:rsid w:val="00AB3237"/>
    <w:rsid w:val="00AB3A2D"/>
    <w:rsid w:val="00AB75AE"/>
    <w:rsid w:val="00AB76EC"/>
    <w:rsid w:val="00AB7933"/>
    <w:rsid w:val="00AB7A09"/>
    <w:rsid w:val="00AB7C05"/>
    <w:rsid w:val="00AC13C9"/>
    <w:rsid w:val="00AC3D18"/>
    <w:rsid w:val="00AD10CF"/>
    <w:rsid w:val="00AD2FC0"/>
    <w:rsid w:val="00AD35EA"/>
    <w:rsid w:val="00AD3BC7"/>
    <w:rsid w:val="00AD4967"/>
    <w:rsid w:val="00AD562E"/>
    <w:rsid w:val="00AD5B1B"/>
    <w:rsid w:val="00AD6DB9"/>
    <w:rsid w:val="00AE2459"/>
    <w:rsid w:val="00AE29C2"/>
    <w:rsid w:val="00AE3D23"/>
    <w:rsid w:val="00AE4EC8"/>
    <w:rsid w:val="00AE5D9F"/>
    <w:rsid w:val="00AE5F15"/>
    <w:rsid w:val="00AE61C0"/>
    <w:rsid w:val="00AE76C9"/>
    <w:rsid w:val="00AF0C7E"/>
    <w:rsid w:val="00AF0EB2"/>
    <w:rsid w:val="00AF1167"/>
    <w:rsid w:val="00AF2221"/>
    <w:rsid w:val="00AF26F8"/>
    <w:rsid w:val="00AF2791"/>
    <w:rsid w:val="00AF32F0"/>
    <w:rsid w:val="00AF3811"/>
    <w:rsid w:val="00AF418D"/>
    <w:rsid w:val="00AF47A1"/>
    <w:rsid w:val="00AF560E"/>
    <w:rsid w:val="00AF6220"/>
    <w:rsid w:val="00AF70EE"/>
    <w:rsid w:val="00AF7618"/>
    <w:rsid w:val="00B00B01"/>
    <w:rsid w:val="00B02162"/>
    <w:rsid w:val="00B04550"/>
    <w:rsid w:val="00B04964"/>
    <w:rsid w:val="00B061AE"/>
    <w:rsid w:val="00B06ACC"/>
    <w:rsid w:val="00B10605"/>
    <w:rsid w:val="00B10F95"/>
    <w:rsid w:val="00B12331"/>
    <w:rsid w:val="00B15B71"/>
    <w:rsid w:val="00B21941"/>
    <w:rsid w:val="00B21E61"/>
    <w:rsid w:val="00B21EB4"/>
    <w:rsid w:val="00B22F29"/>
    <w:rsid w:val="00B233F5"/>
    <w:rsid w:val="00B23F55"/>
    <w:rsid w:val="00B24916"/>
    <w:rsid w:val="00B2691D"/>
    <w:rsid w:val="00B26C44"/>
    <w:rsid w:val="00B273B4"/>
    <w:rsid w:val="00B27820"/>
    <w:rsid w:val="00B30944"/>
    <w:rsid w:val="00B33F4D"/>
    <w:rsid w:val="00B364D0"/>
    <w:rsid w:val="00B36B81"/>
    <w:rsid w:val="00B37148"/>
    <w:rsid w:val="00B42B56"/>
    <w:rsid w:val="00B460B5"/>
    <w:rsid w:val="00B47F4C"/>
    <w:rsid w:val="00B51526"/>
    <w:rsid w:val="00B56B78"/>
    <w:rsid w:val="00B60F6F"/>
    <w:rsid w:val="00B60FAC"/>
    <w:rsid w:val="00B61348"/>
    <w:rsid w:val="00B617F3"/>
    <w:rsid w:val="00B61A52"/>
    <w:rsid w:val="00B6230B"/>
    <w:rsid w:val="00B64DE4"/>
    <w:rsid w:val="00B65221"/>
    <w:rsid w:val="00B676B8"/>
    <w:rsid w:val="00B70C9E"/>
    <w:rsid w:val="00B71222"/>
    <w:rsid w:val="00B7358B"/>
    <w:rsid w:val="00B7388C"/>
    <w:rsid w:val="00B73E0D"/>
    <w:rsid w:val="00B830A1"/>
    <w:rsid w:val="00B83705"/>
    <w:rsid w:val="00B83CA0"/>
    <w:rsid w:val="00B84243"/>
    <w:rsid w:val="00B85C34"/>
    <w:rsid w:val="00B86625"/>
    <w:rsid w:val="00B876C0"/>
    <w:rsid w:val="00B9211B"/>
    <w:rsid w:val="00B93884"/>
    <w:rsid w:val="00B94638"/>
    <w:rsid w:val="00B94A65"/>
    <w:rsid w:val="00B94ADF"/>
    <w:rsid w:val="00B94BF8"/>
    <w:rsid w:val="00B94FB4"/>
    <w:rsid w:val="00B95D2D"/>
    <w:rsid w:val="00B9676C"/>
    <w:rsid w:val="00BA0966"/>
    <w:rsid w:val="00BA0CC9"/>
    <w:rsid w:val="00BA0F2F"/>
    <w:rsid w:val="00BA1DE1"/>
    <w:rsid w:val="00BA1ED1"/>
    <w:rsid w:val="00BA2F8D"/>
    <w:rsid w:val="00BA379F"/>
    <w:rsid w:val="00BA6777"/>
    <w:rsid w:val="00BB2A98"/>
    <w:rsid w:val="00BB2B07"/>
    <w:rsid w:val="00BB3AB5"/>
    <w:rsid w:val="00BB3DA8"/>
    <w:rsid w:val="00BB498B"/>
    <w:rsid w:val="00BB6D23"/>
    <w:rsid w:val="00BB721D"/>
    <w:rsid w:val="00BB7455"/>
    <w:rsid w:val="00BC2C65"/>
    <w:rsid w:val="00BC3CAB"/>
    <w:rsid w:val="00BC42CE"/>
    <w:rsid w:val="00BC6702"/>
    <w:rsid w:val="00BC78AD"/>
    <w:rsid w:val="00BD210E"/>
    <w:rsid w:val="00BE27C7"/>
    <w:rsid w:val="00BE70B3"/>
    <w:rsid w:val="00BE7D58"/>
    <w:rsid w:val="00BF0270"/>
    <w:rsid w:val="00BF0E14"/>
    <w:rsid w:val="00BF164E"/>
    <w:rsid w:val="00BF23C3"/>
    <w:rsid w:val="00BF5548"/>
    <w:rsid w:val="00BF6D42"/>
    <w:rsid w:val="00BF74F7"/>
    <w:rsid w:val="00BF7ED9"/>
    <w:rsid w:val="00C008F0"/>
    <w:rsid w:val="00C00AA5"/>
    <w:rsid w:val="00C03A93"/>
    <w:rsid w:val="00C07DEC"/>
    <w:rsid w:val="00C1005F"/>
    <w:rsid w:val="00C107D2"/>
    <w:rsid w:val="00C10E26"/>
    <w:rsid w:val="00C11F05"/>
    <w:rsid w:val="00C11F2F"/>
    <w:rsid w:val="00C12D0A"/>
    <w:rsid w:val="00C15DEF"/>
    <w:rsid w:val="00C171AB"/>
    <w:rsid w:val="00C20E76"/>
    <w:rsid w:val="00C23647"/>
    <w:rsid w:val="00C2476F"/>
    <w:rsid w:val="00C258F6"/>
    <w:rsid w:val="00C2641F"/>
    <w:rsid w:val="00C3009E"/>
    <w:rsid w:val="00C31E81"/>
    <w:rsid w:val="00C3239B"/>
    <w:rsid w:val="00C326DA"/>
    <w:rsid w:val="00C3324A"/>
    <w:rsid w:val="00C337D5"/>
    <w:rsid w:val="00C342CD"/>
    <w:rsid w:val="00C34390"/>
    <w:rsid w:val="00C34C59"/>
    <w:rsid w:val="00C359BA"/>
    <w:rsid w:val="00C36775"/>
    <w:rsid w:val="00C41D55"/>
    <w:rsid w:val="00C428E6"/>
    <w:rsid w:val="00C42D37"/>
    <w:rsid w:val="00C431A3"/>
    <w:rsid w:val="00C44BE3"/>
    <w:rsid w:val="00C44C1D"/>
    <w:rsid w:val="00C45579"/>
    <w:rsid w:val="00C52077"/>
    <w:rsid w:val="00C53EF2"/>
    <w:rsid w:val="00C55846"/>
    <w:rsid w:val="00C6305B"/>
    <w:rsid w:val="00C63C1F"/>
    <w:rsid w:val="00C63ED7"/>
    <w:rsid w:val="00C64E0C"/>
    <w:rsid w:val="00C66B65"/>
    <w:rsid w:val="00C74126"/>
    <w:rsid w:val="00C7418D"/>
    <w:rsid w:val="00C74C39"/>
    <w:rsid w:val="00C74DA9"/>
    <w:rsid w:val="00C753CE"/>
    <w:rsid w:val="00C7638D"/>
    <w:rsid w:val="00C763EA"/>
    <w:rsid w:val="00C778F7"/>
    <w:rsid w:val="00C8049D"/>
    <w:rsid w:val="00C85E77"/>
    <w:rsid w:val="00C866BE"/>
    <w:rsid w:val="00C8748F"/>
    <w:rsid w:val="00C87FB8"/>
    <w:rsid w:val="00C906D1"/>
    <w:rsid w:val="00C91CF4"/>
    <w:rsid w:val="00C92123"/>
    <w:rsid w:val="00C93B2B"/>
    <w:rsid w:val="00C95374"/>
    <w:rsid w:val="00C95596"/>
    <w:rsid w:val="00C95850"/>
    <w:rsid w:val="00C95B85"/>
    <w:rsid w:val="00C97F24"/>
    <w:rsid w:val="00CA0B5E"/>
    <w:rsid w:val="00CA0F4F"/>
    <w:rsid w:val="00CA2F21"/>
    <w:rsid w:val="00CA3214"/>
    <w:rsid w:val="00CA35EE"/>
    <w:rsid w:val="00CA450E"/>
    <w:rsid w:val="00CA4819"/>
    <w:rsid w:val="00CA49A3"/>
    <w:rsid w:val="00CA600B"/>
    <w:rsid w:val="00CA662C"/>
    <w:rsid w:val="00CA709C"/>
    <w:rsid w:val="00CA7BA1"/>
    <w:rsid w:val="00CB16FA"/>
    <w:rsid w:val="00CB1F59"/>
    <w:rsid w:val="00CB4589"/>
    <w:rsid w:val="00CB54F0"/>
    <w:rsid w:val="00CB62C0"/>
    <w:rsid w:val="00CB795F"/>
    <w:rsid w:val="00CB797D"/>
    <w:rsid w:val="00CC0486"/>
    <w:rsid w:val="00CC0B67"/>
    <w:rsid w:val="00CC1B1A"/>
    <w:rsid w:val="00CC4867"/>
    <w:rsid w:val="00CC5AB0"/>
    <w:rsid w:val="00CC5ED2"/>
    <w:rsid w:val="00CC7ED8"/>
    <w:rsid w:val="00CC7F08"/>
    <w:rsid w:val="00CD1BF3"/>
    <w:rsid w:val="00CD29A5"/>
    <w:rsid w:val="00CD3382"/>
    <w:rsid w:val="00CD4601"/>
    <w:rsid w:val="00CD6ED1"/>
    <w:rsid w:val="00CE0085"/>
    <w:rsid w:val="00CE0472"/>
    <w:rsid w:val="00CE2B6C"/>
    <w:rsid w:val="00CE2C1A"/>
    <w:rsid w:val="00CE3F53"/>
    <w:rsid w:val="00CE4134"/>
    <w:rsid w:val="00CE558E"/>
    <w:rsid w:val="00CE7933"/>
    <w:rsid w:val="00CF2C6F"/>
    <w:rsid w:val="00CF3254"/>
    <w:rsid w:val="00CF4131"/>
    <w:rsid w:val="00CF5085"/>
    <w:rsid w:val="00D00382"/>
    <w:rsid w:val="00D0086A"/>
    <w:rsid w:val="00D02EF1"/>
    <w:rsid w:val="00D05127"/>
    <w:rsid w:val="00D055DE"/>
    <w:rsid w:val="00D05719"/>
    <w:rsid w:val="00D07A8D"/>
    <w:rsid w:val="00D1024D"/>
    <w:rsid w:val="00D120BF"/>
    <w:rsid w:val="00D143EC"/>
    <w:rsid w:val="00D1741D"/>
    <w:rsid w:val="00D174C3"/>
    <w:rsid w:val="00D17D15"/>
    <w:rsid w:val="00D17E55"/>
    <w:rsid w:val="00D2179B"/>
    <w:rsid w:val="00D22699"/>
    <w:rsid w:val="00D2316C"/>
    <w:rsid w:val="00D24FF4"/>
    <w:rsid w:val="00D30A84"/>
    <w:rsid w:val="00D30CBA"/>
    <w:rsid w:val="00D323B5"/>
    <w:rsid w:val="00D327B7"/>
    <w:rsid w:val="00D36333"/>
    <w:rsid w:val="00D37B68"/>
    <w:rsid w:val="00D37C36"/>
    <w:rsid w:val="00D428B3"/>
    <w:rsid w:val="00D43447"/>
    <w:rsid w:val="00D44D21"/>
    <w:rsid w:val="00D459CF"/>
    <w:rsid w:val="00D46A7B"/>
    <w:rsid w:val="00D50C9B"/>
    <w:rsid w:val="00D5165C"/>
    <w:rsid w:val="00D518B3"/>
    <w:rsid w:val="00D549BF"/>
    <w:rsid w:val="00D551E1"/>
    <w:rsid w:val="00D55763"/>
    <w:rsid w:val="00D5708A"/>
    <w:rsid w:val="00D576B5"/>
    <w:rsid w:val="00D57849"/>
    <w:rsid w:val="00D60439"/>
    <w:rsid w:val="00D6199A"/>
    <w:rsid w:val="00D655F5"/>
    <w:rsid w:val="00D6661E"/>
    <w:rsid w:val="00D70BF5"/>
    <w:rsid w:val="00D70EB2"/>
    <w:rsid w:val="00D715EF"/>
    <w:rsid w:val="00D75924"/>
    <w:rsid w:val="00D75DD0"/>
    <w:rsid w:val="00D7602E"/>
    <w:rsid w:val="00D76996"/>
    <w:rsid w:val="00D7743F"/>
    <w:rsid w:val="00D77A83"/>
    <w:rsid w:val="00D81071"/>
    <w:rsid w:val="00D816B5"/>
    <w:rsid w:val="00D82879"/>
    <w:rsid w:val="00D83B82"/>
    <w:rsid w:val="00D84105"/>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B10A8"/>
    <w:rsid w:val="00DB2D39"/>
    <w:rsid w:val="00DB4C98"/>
    <w:rsid w:val="00DB584E"/>
    <w:rsid w:val="00DB69D9"/>
    <w:rsid w:val="00DB6D87"/>
    <w:rsid w:val="00DC32EC"/>
    <w:rsid w:val="00DC4099"/>
    <w:rsid w:val="00DC4790"/>
    <w:rsid w:val="00DC6737"/>
    <w:rsid w:val="00DD051E"/>
    <w:rsid w:val="00DD0BA0"/>
    <w:rsid w:val="00DD5E1B"/>
    <w:rsid w:val="00DD7B40"/>
    <w:rsid w:val="00DD7CC1"/>
    <w:rsid w:val="00DE117E"/>
    <w:rsid w:val="00DE1987"/>
    <w:rsid w:val="00DE2A71"/>
    <w:rsid w:val="00DE36CF"/>
    <w:rsid w:val="00DE42BA"/>
    <w:rsid w:val="00DE4CD1"/>
    <w:rsid w:val="00DE50C2"/>
    <w:rsid w:val="00DE566F"/>
    <w:rsid w:val="00DE5DF9"/>
    <w:rsid w:val="00DE5E0C"/>
    <w:rsid w:val="00DF0728"/>
    <w:rsid w:val="00DF1ADC"/>
    <w:rsid w:val="00DF2249"/>
    <w:rsid w:val="00DF30D5"/>
    <w:rsid w:val="00DF363A"/>
    <w:rsid w:val="00DF4173"/>
    <w:rsid w:val="00DF4C9E"/>
    <w:rsid w:val="00DF61C8"/>
    <w:rsid w:val="00DF6323"/>
    <w:rsid w:val="00DF6B26"/>
    <w:rsid w:val="00DF70FB"/>
    <w:rsid w:val="00DF744E"/>
    <w:rsid w:val="00E00258"/>
    <w:rsid w:val="00E01B7C"/>
    <w:rsid w:val="00E054BA"/>
    <w:rsid w:val="00E05967"/>
    <w:rsid w:val="00E06F9F"/>
    <w:rsid w:val="00E10D3F"/>
    <w:rsid w:val="00E121DD"/>
    <w:rsid w:val="00E14195"/>
    <w:rsid w:val="00E14B6C"/>
    <w:rsid w:val="00E15A7E"/>
    <w:rsid w:val="00E1675C"/>
    <w:rsid w:val="00E16977"/>
    <w:rsid w:val="00E16BE1"/>
    <w:rsid w:val="00E17DAB"/>
    <w:rsid w:val="00E20628"/>
    <w:rsid w:val="00E2103B"/>
    <w:rsid w:val="00E2256F"/>
    <w:rsid w:val="00E22A07"/>
    <w:rsid w:val="00E23015"/>
    <w:rsid w:val="00E26003"/>
    <w:rsid w:val="00E273FF"/>
    <w:rsid w:val="00E27685"/>
    <w:rsid w:val="00E27B91"/>
    <w:rsid w:val="00E30FE2"/>
    <w:rsid w:val="00E37BA9"/>
    <w:rsid w:val="00E42411"/>
    <w:rsid w:val="00E42C8A"/>
    <w:rsid w:val="00E4345C"/>
    <w:rsid w:val="00E43965"/>
    <w:rsid w:val="00E43E3B"/>
    <w:rsid w:val="00E4452C"/>
    <w:rsid w:val="00E4582E"/>
    <w:rsid w:val="00E45DA0"/>
    <w:rsid w:val="00E46611"/>
    <w:rsid w:val="00E46AB8"/>
    <w:rsid w:val="00E473B3"/>
    <w:rsid w:val="00E51F1C"/>
    <w:rsid w:val="00E536F4"/>
    <w:rsid w:val="00E54185"/>
    <w:rsid w:val="00E551F8"/>
    <w:rsid w:val="00E55963"/>
    <w:rsid w:val="00E55ABA"/>
    <w:rsid w:val="00E5604F"/>
    <w:rsid w:val="00E56782"/>
    <w:rsid w:val="00E6158E"/>
    <w:rsid w:val="00E62B36"/>
    <w:rsid w:val="00E62DF5"/>
    <w:rsid w:val="00E647C8"/>
    <w:rsid w:val="00E64C02"/>
    <w:rsid w:val="00E67C82"/>
    <w:rsid w:val="00E702CE"/>
    <w:rsid w:val="00E70F0A"/>
    <w:rsid w:val="00E731D7"/>
    <w:rsid w:val="00E73765"/>
    <w:rsid w:val="00E73D4B"/>
    <w:rsid w:val="00E74ACE"/>
    <w:rsid w:val="00E77ADE"/>
    <w:rsid w:val="00E77C06"/>
    <w:rsid w:val="00E82607"/>
    <w:rsid w:val="00E831F7"/>
    <w:rsid w:val="00E835D7"/>
    <w:rsid w:val="00E84AB4"/>
    <w:rsid w:val="00E855E0"/>
    <w:rsid w:val="00E860B7"/>
    <w:rsid w:val="00E8780D"/>
    <w:rsid w:val="00E9027A"/>
    <w:rsid w:val="00E90AEC"/>
    <w:rsid w:val="00E95527"/>
    <w:rsid w:val="00E95DB8"/>
    <w:rsid w:val="00E95E3B"/>
    <w:rsid w:val="00E97527"/>
    <w:rsid w:val="00EA186C"/>
    <w:rsid w:val="00EA5A9E"/>
    <w:rsid w:val="00EA6556"/>
    <w:rsid w:val="00EA6842"/>
    <w:rsid w:val="00EB04C4"/>
    <w:rsid w:val="00EB1B80"/>
    <w:rsid w:val="00EB4175"/>
    <w:rsid w:val="00EB4C26"/>
    <w:rsid w:val="00EB5127"/>
    <w:rsid w:val="00EB53F2"/>
    <w:rsid w:val="00EB7803"/>
    <w:rsid w:val="00EC0295"/>
    <w:rsid w:val="00EC0454"/>
    <w:rsid w:val="00EC19FA"/>
    <w:rsid w:val="00EC5F86"/>
    <w:rsid w:val="00EC7F52"/>
    <w:rsid w:val="00ED0940"/>
    <w:rsid w:val="00ED25CE"/>
    <w:rsid w:val="00ED3A55"/>
    <w:rsid w:val="00ED402C"/>
    <w:rsid w:val="00ED6081"/>
    <w:rsid w:val="00EE0455"/>
    <w:rsid w:val="00EE0ACF"/>
    <w:rsid w:val="00EE2749"/>
    <w:rsid w:val="00EE37DE"/>
    <w:rsid w:val="00EE67C5"/>
    <w:rsid w:val="00EE79BD"/>
    <w:rsid w:val="00EE7C90"/>
    <w:rsid w:val="00EF1185"/>
    <w:rsid w:val="00EF18EF"/>
    <w:rsid w:val="00EF4031"/>
    <w:rsid w:val="00F01FF7"/>
    <w:rsid w:val="00F05908"/>
    <w:rsid w:val="00F10305"/>
    <w:rsid w:val="00F1076B"/>
    <w:rsid w:val="00F10D71"/>
    <w:rsid w:val="00F11B9B"/>
    <w:rsid w:val="00F11D20"/>
    <w:rsid w:val="00F120D0"/>
    <w:rsid w:val="00F13E0D"/>
    <w:rsid w:val="00F20B6E"/>
    <w:rsid w:val="00F20FF5"/>
    <w:rsid w:val="00F23729"/>
    <w:rsid w:val="00F248EC"/>
    <w:rsid w:val="00F24BCF"/>
    <w:rsid w:val="00F24C64"/>
    <w:rsid w:val="00F254ED"/>
    <w:rsid w:val="00F25C8D"/>
    <w:rsid w:val="00F25E56"/>
    <w:rsid w:val="00F2639B"/>
    <w:rsid w:val="00F276EE"/>
    <w:rsid w:val="00F3255F"/>
    <w:rsid w:val="00F32576"/>
    <w:rsid w:val="00F32C53"/>
    <w:rsid w:val="00F3510E"/>
    <w:rsid w:val="00F35B8D"/>
    <w:rsid w:val="00F373DC"/>
    <w:rsid w:val="00F37EF3"/>
    <w:rsid w:val="00F403D6"/>
    <w:rsid w:val="00F40782"/>
    <w:rsid w:val="00F41A99"/>
    <w:rsid w:val="00F422EF"/>
    <w:rsid w:val="00F42894"/>
    <w:rsid w:val="00F45CF2"/>
    <w:rsid w:val="00F47B25"/>
    <w:rsid w:val="00F51346"/>
    <w:rsid w:val="00F5235B"/>
    <w:rsid w:val="00F53C43"/>
    <w:rsid w:val="00F54947"/>
    <w:rsid w:val="00F54F7B"/>
    <w:rsid w:val="00F560DC"/>
    <w:rsid w:val="00F56916"/>
    <w:rsid w:val="00F56AD0"/>
    <w:rsid w:val="00F56CB1"/>
    <w:rsid w:val="00F626C2"/>
    <w:rsid w:val="00F63B53"/>
    <w:rsid w:val="00F63F85"/>
    <w:rsid w:val="00F64B73"/>
    <w:rsid w:val="00F65819"/>
    <w:rsid w:val="00F67A6B"/>
    <w:rsid w:val="00F72D23"/>
    <w:rsid w:val="00F7379B"/>
    <w:rsid w:val="00F74CB0"/>
    <w:rsid w:val="00F75495"/>
    <w:rsid w:val="00F765EB"/>
    <w:rsid w:val="00F81CE4"/>
    <w:rsid w:val="00F8404E"/>
    <w:rsid w:val="00F8673B"/>
    <w:rsid w:val="00F87B5B"/>
    <w:rsid w:val="00F908F8"/>
    <w:rsid w:val="00F92442"/>
    <w:rsid w:val="00F926C8"/>
    <w:rsid w:val="00F9308B"/>
    <w:rsid w:val="00F97D2D"/>
    <w:rsid w:val="00FA023B"/>
    <w:rsid w:val="00FA05A4"/>
    <w:rsid w:val="00FA30C2"/>
    <w:rsid w:val="00FA63B6"/>
    <w:rsid w:val="00FA64DF"/>
    <w:rsid w:val="00FA7135"/>
    <w:rsid w:val="00FA71DC"/>
    <w:rsid w:val="00FA784C"/>
    <w:rsid w:val="00FB045A"/>
    <w:rsid w:val="00FB06E1"/>
    <w:rsid w:val="00FB0CA2"/>
    <w:rsid w:val="00FB308D"/>
    <w:rsid w:val="00FB5FF4"/>
    <w:rsid w:val="00FB6216"/>
    <w:rsid w:val="00FB6912"/>
    <w:rsid w:val="00FC00DD"/>
    <w:rsid w:val="00FC0675"/>
    <w:rsid w:val="00FC1239"/>
    <w:rsid w:val="00FC1247"/>
    <w:rsid w:val="00FC157A"/>
    <w:rsid w:val="00FC1C66"/>
    <w:rsid w:val="00FC1F17"/>
    <w:rsid w:val="00FC3CD4"/>
    <w:rsid w:val="00FC46B2"/>
    <w:rsid w:val="00FC4944"/>
    <w:rsid w:val="00FC5E29"/>
    <w:rsid w:val="00FD1B30"/>
    <w:rsid w:val="00FD3D3E"/>
    <w:rsid w:val="00FD4377"/>
    <w:rsid w:val="00FD5051"/>
    <w:rsid w:val="00FD5958"/>
    <w:rsid w:val="00FD5A0F"/>
    <w:rsid w:val="00FD5B76"/>
    <w:rsid w:val="00FD756D"/>
    <w:rsid w:val="00FD7972"/>
    <w:rsid w:val="00FD7A9E"/>
    <w:rsid w:val="00FE059A"/>
    <w:rsid w:val="00FE0781"/>
    <w:rsid w:val="00FE158E"/>
    <w:rsid w:val="00FE29AF"/>
    <w:rsid w:val="00FE4BF0"/>
    <w:rsid w:val="00FE54AE"/>
    <w:rsid w:val="00FF2339"/>
    <w:rsid w:val="00FF2430"/>
    <w:rsid w:val="00FF26B9"/>
    <w:rsid w:val="00FF33AA"/>
    <w:rsid w:val="00FF371D"/>
    <w:rsid w:val="00FF637D"/>
    <w:rsid w:val="00FF64CF"/>
    <w:rsid w:val="00FF6999"/>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817">
      <w:bodyDiv w:val="1"/>
      <w:marLeft w:val="0"/>
      <w:marRight w:val="0"/>
      <w:marTop w:val="0"/>
      <w:marBottom w:val="0"/>
      <w:divBdr>
        <w:top w:val="none" w:sz="0" w:space="0" w:color="auto"/>
        <w:left w:val="none" w:sz="0" w:space="0" w:color="auto"/>
        <w:bottom w:val="none" w:sz="0" w:space="0" w:color="auto"/>
        <w:right w:val="none" w:sz="0" w:space="0" w:color="auto"/>
      </w:divBdr>
    </w:div>
    <w:div w:id="7559161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329954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907606">
      <w:bodyDiv w:val="1"/>
      <w:marLeft w:val="0"/>
      <w:marRight w:val="0"/>
      <w:marTop w:val="0"/>
      <w:marBottom w:val="0"/>
      <w:divBdr>
        <w:top w:val="none" w:sz="0" w:space="0" w:color="auto"/>
        <w:left w:val="none" w:sz="0" w:space="0" w:color="auto"/>
        <w:bottom w:val="none" w:sz="0" w:space="0" w:color="auto"/>
        <w:right w:val="none" w:sz="0" w:space="0" w:color="auto"/>
      </w:divBdr>
    </w:div>
    <w:div w:id="244190858">
      <w:bodyDiv w:val="1"/>
      <w:marLeft w:val="0"/>
      <w:marRight w:val="0"/>
      <w:marTop w:val="0"/>
      <w:marBottom w:val="0"/>
      <w:divBdr>
        <w:top w:val="none" w:sz="0" w:space="0" w:color="auto"/>
        <w:left w:val="none" w:sz="0" w:space="0" w:color="auto"/>
        <w:bottom w:val="none" w:sz="0" w:space="0" w:color="auto"/>
        <w:right w:val="none" w:sz="0" w:space="0" w:color="auto"/>
      </w:divBdr>
    </w:div>
    <w:div w:id="264729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27901457">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4230627">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8862616">
      <w:bodyDiv w:val="1"/>
      <w:marLeft w:val="0"/>
      <w:marRight w:val="0"/>
      <w:marTop w:val="0"/>
      <w:marBottom w:val="0"/>
      <w:divBdr>
        <w:top w:val="none" w:sz="0" w:space="0" w:color="auto"/>
        <w:left w:val="none" w:sz="0" w:space="0" w:color="auto"/>
        <w:bottom w:val="none" w:sz="0" w:space="0" w:color="auto"/>
        <w:right w:val="none" w:sz="0" w:space="0" w:color="auto"/>
      </w:divBdr>
    </w:div>
    <w:div w:id="484442528">
      <w:bodyDiv w:val="1"/>
      <w:marLeft w:val="0"/>
      <w:marRight w:val="0"/>
      <w:marTop w:val="0"/>
      <w:marBottom w:val="0"/>
      <w:divBdr>
        <w:top w:val="none" w:sz="0" w:space="0" w:color="auto"/>
        <w:left w:val="none" w:sz="0" w:space="0" w:color="auto"/>
        <w:bottom w:val="none" w:sz="0" w:space="0" w:color="auto"/>
        <w:right w:val="none" w:sz="0" w:space="0" w:color="auto"/>
      </w:divBdr>
    </w:div>
    <w:div w:id="488328089">
      <w:bodyDiv w:val="1"/>
      <w:marLeft w:val="0"/>
      <w:marRight w:val="0"/>
      <w:marTop w:val="0"/>
      <w:marBottom w:val="0"/>
      <w:divBdr>
        <w:top w:val="none" w:sz="0" w:space="0" w:color="auto"/>
        <w:left w:val="none" w:sz="0" w:space="0" w:color="auto"/>
        <w:bottom w:val="none" w:sz="0" w:space="0" w:color="auto"/>
        <w:right w:val="none" w:sz="0" w:space="0" w:color="auto"/>
      </w:divBdr>
    </w:div>
    <w:div w:id="490289626">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6699198">
      <w:bodyDiv w:val="1"/>
      <w:marLeft w:val="0"/>
      <w:marRight w:val="0"/>
      <w:marTop w:val="0"/>
      <w:marBottom w:val="0"/>
      <w:divBdr>
        <w:top w:val="none" w:sz="0" w:space="0" w:color="auto"/>
        <w:left w:val="none" w:sz="0" w:space="0" w:color="auto"/>
        <w:bottom w:val="none" w:sz="0" w:space="0" w:color="auto"/>
        <w:right w:val="none" w:sz="0" w:space="0" w:color="auto"/>
      </w:divBdr>
    </w:div>
    <w:div w:id="518473141">
      <w:bodyDiv w:val="1"/>
      <w:marLeft w:val="0"/>
      <w:marRight w:val="0"/>
      <w:marTop w:val="0"/>
      <w:marBottom w:val="0"/>
      <w:divBdr>
        <w:top w:val="none" w:sz="0" w:space="0" w:color="auto"/>
        <w:left w:val="none" w:sz="0" w:space="0" w:color="auto"/>
        <w:bottom w:val="none" w:sz="0" w:space="0" w:color="auto"/>
        <w:right w:val="none" w:sz="0" w:space="0" w:color="auto"/>
      </w:divBdr>
    </w:div>
    <w:div w:id="560290841">
      <w:bodyDiv w:val="1"/>
      <w:marLeft w:val="0"/>
      <w:marRight w:val="0"/>
      <w:marTop w:val="0"/>
      <w:marBottom w:val="0"/>
      <w:divBdr>
        <w:top w:val="none" w:sz="0" w:space="0" w:color="auto"/>
        <w:left w:val="none" w:sz="0" w:space="0" w:color="auto"/>
        <w:bottom w:val="none" w:sz="0" w:space="0" w:color="auto"/>
        <w:right w:val="none" w:sz="0" w:space="0" w:color="auto"/>
      </w:divBdr>
    </w:div>
    <w:div w:id="5621825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62661858">
      <w:bodyDiv w:val="1"/>
      <w:marLeft w:val="0"/>
      <w:marRight w:val="0"/>
      <w:marTop w:val="0"/>
      <w:marBottom w:val="0"/>
      <w:divBdr>
        <w:top w:val="none" w:sz="0" w:space="0" w:color="auto"/>
        <w:left w:val="none" w:sz="0" w:space="0" w:color="auto"/>
        <w:bottom w:val="none" w:sz="0" w:space="0" w:color="auto"/>
        <w:right w:val="none" w:sz="0" w:space="0" w:color="auto"/>
      </w:divBdr>
    </w:div>
    <w:div w:id="672952980">
      <w:bodyDiv w:val="1"/>
      <w:marLeft w:val="0"/>
      <w:marRight w:val="0"/>
      <w:marTop w:val="0"/>
      <w:marBottom w:val="0"/>
      <w:divBdr>
        <w:top w:val="none" w:sz="0" w:space="0" w:color="auto"/>
        <w:left w:val="none" w:sz="0" w:space="0" w:color="auto"/>
        <w:bottom w:val="none" w:sz="0" w:space="0" w:color="auto"/>
        <w:right w:val="none" w:sz="0" w:space="0" w:color="auto"/>
      </w:divBdr>
    </w:div>
    <w:div w:id="770008206">
      <w:bodyDiv w:val="1"/>
      <w:marLeft w:val="0"/>
      <w:marRight w:val="0"/>
      <w:marTop w:val="0"/>
      <w:marBottom w:val="0"/>
      <w:divBdr>
        <w:top w:val="none" w:sz="0" w:space="0" w:color="auto"/>
        <w:left w:val="none" w:sz="0" w:space="0" w:color="auto"/>
        <w:bottom w:val="none" w:sz="0" w:space="0" w:color="auto"/>
        <w:right w:val="none" w:sz="0" w:space="0" w:color="auto"/>
      </w:divBdr>
    </w:div>
    <w:div w:id="777062192">
      <w:bodyDiv w:val="1"/>
      <w:marLeft w:val="0"/>
      <w:marRight w:val="0"/>
      <w:marTop w:val="0"/>
      <w:marBottom w:val="0"/>
      <w:divBdr>
        <w:top w:val="none" w:sz="0" w:space="0" w:color="auto"/>
        <w:left w:val="none" w:sz="0" w:space="0" w:color="auto"/>
        <w:bottom w:val="none" w:sz="0" w:space="0" w:color="auto"/>
        <w:right w:val="none" w:sz="0" w:space="0" w:color="auto"/>
      </w:divBdr>
    </w:div>
    <w:div w:id="806969405">
      <w:bodyDiv w:val="1"/>
      <w:marLeft w:val="0"/>
      <w:marRight w:val="0"/>
      <w:marTop w:val="0"/>
      <w:marBottom w:val="0"/>
      <w:divBdr>
        <w:top w:val="none" w:sz="0" w:space="0" w:color="auto"/>
        <w:left w:val="none" w:sz="0" w:space="0" w:color="auto"/>
        <w:bottom w:val="none" w:sz="0" w:space="0" w:color="auto"/>
        <w:right w:val="none" w:sz="0" w:space="0" w:color="auto"/>
      </w:divBdr>
    </w:div>
    <w:div w:id="83480173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4105140">
      <w:bodyDiv w:val="1"/>
      <w:marLeft w:val="0"/>
      <w:marRight w:val="0"/>
      <w:marTop w:val="0"/>
      <w:marBottom w:val="0"/>
      <w:divBdr>
        <w:top w:val="none" w:sz="0" w:space="0" w:color="auto"/>
        <w:left w:val="none" w:sz="0" w:space="0" w:color="auto"/>
        <w:bottom w:val="none" w:sz="0" w:space="0" w:color="auto"/>
        <w:right w:val="none" w:sz="0" w:space="0" w:color="auto"/>
      </w:divBdr>
    </w:div>
    <w:div w:id="89104312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6595212">
      <w:bodyDiv w:val="1"/>
      <w:marLeft w:val="0"/>
      <w:marRight w:val="0"/>
      <w:marTop w:val="0"/>
      <w:marBottom w:val="0"/>
      <w:divBdr>
        <w:top w:val="none" w:sz="0" w:space="0" w:color="auto"/>
        <w:left w:val="none" w:sz="0" w:space="0" w:color="auto"/>
        <w:bottom w:val="none" w:sz="0" w:space="0" w:color="auto"/>
        <w:right w:val="none" w:sz="0" w:space="0" w:color="auto"/>
      </w:divBdr>
    </w:div>
    <w:div w:id="9512081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605998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0491000">
      <w:bodyDiv w:val="1"/>
      <w:marLeft w:val="0"/>
      <w:marRight w:val="0"/>
      <w:marTop w:val="0"/>
      <w:marBottom w:val="0"/>
      <w:divBdr>
        <w:top w:val="none" w:sz="0" w:space="0" w:color="auto"/>
        <w:left w:val="none" w:sz="0" w:space="0" w:color="auto"/>
        <w:bottom w:val="none" w:sz="0" w:space="0" w:color="auto"/>
        <w:right w:val="none" w:sz="0" w:space="0" w:color="auto"/>
      </w:divBdr>
    </w:div>
    <w:div w:id="1033264412">
      <w:bodyDiv w:val="1"/>
      <w:marLeft w:val="0"/>
      <w:marRight w:val="0"/>
      <w:marTop w:val="0"/>
      <w:marBottom w:val="0"/>
      <w:divBdr>
        <w:top w:val="none" w:sz="0" w:space="0" w:color="auto"/>
        <w:left w:val="none" w:sz="0" w:space="0" w:color="auto"/>
        <w:bottom w:val="none" w:sz="0" w:space="0" w:color="auto"/>
        <w:right w:val="none" w:sz="0" w:space="0" w:color="auto"/>
      </w:divBdr>
    </w:div>
    <w:div w:id="103438578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7291722">
      <w:bodyDiv w:val="1"/>
      <w:marLeft w:val="0"/>
      <w:marRight w:val="0"/>
      <w:marTop w:val="0"/>
      <w:marBottom w:val="0"/>
      <w:divBdr>
        <w:top w:val="none" w:sz="0" w:space="0" w:color="auto"/>
        <w:left w:val="none" w:sz="0" w:space="0" w:color="auto"/>
        <w:bottom w:val="none" w:sz="0" w:space="0" w:color="auto"/>
        <w:right w:val="none" w:sz="0" w:space="0" w:color="auto"/>
      </w:divBdr>
    </w:div>
    <w:div w:id="108445422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149219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68907234">
      <w:bodyDiv w:val="1"/>
      <w:marLeft w:val="0"/>
      <w:marRight w:val="0"/>
      <w:marTop w:val="0"/>
      <w:marBottom w:val="0"/>
      <w:divBdr>
        <w:top w:val="none" w:sz="0" w:space="0" w:color="auto"/>
        <w:left w:val="none" w:sz="0" w:space="0" w:color="auto"/>
        <w:bottom w:val="none" w:sz="0" w:space="0" w:color="auto"/>
        <w:right w:val="none" w:sz="0" w:space="0" w:color="auto"/>
      </w:divBdr>
    </w:div>
    <w:div w:id="116982972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12464609">
      <w:bodyDiv w:val="1"/>
      <w:marLeft w:val="0"/>
      <w:marRight w:val="0"/>
      <w:marTop w:val="0"/>
      <w:marBottom w:val="0"/>
      <w:divBdr>
        <w:top w:val="none" w:sz="0" w:space="0" w:color="auto"/>
        <w:left w:val="none" w:sz="0" w:space="0" w:color="auto"/>
        <w:bottom w:val="none" w:sz="0" w:space="0" w:color="auto"/>
        <w:right w:val="none" w:sz="0" w:space="0" w:color="auto"/>
      </w:divBdr>
    </w:div>
    <w:div w:id="1439712824">
      <w:bodyDiv w:val="1"/>
      <w:marLeft w:val="0"/>
      <w:marRight w:val="0"/>
      <w:marTop w:val="0"/>
      <w:marBottom w:val="0"/>
      <w:divBdr>
        <w:top w:val="none" w:sz="0" w:space="0" w:color="auto"/>
        <w:left w:val="none" w:sz="0" w:space="0" w:color="auto"/>
        <w:bottom w:val="none" w:sz="0" w:space="0" w:color="auto"/>
        <w:right w:val="none" w:sz="0" w:space="0" w:color="auto"/>
      </w:divBdr>
    </w:div>
    <w:div w:id="144088001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780601">
      <w:bodyDiv w:val="1"/>
      <w:marLeft w:val="0"/>
      <w:marRight w:val="0"/>
      <w:marTop w:val="0"/>
      <w:marBottom w:val="0"/>
      <w:divBdr>
        <w:top w:val="none" w:sz="0" w:space="0" w:color="auto"/>
        <w:left w:val="none" w:sz="0" w:space="0" w:color="auto"/>
        <w:bottom w:val="none" w:sz="0" w:space="0" w:color="auto"/>
        <w:right w:val="none" w:sz="0" w:space="0" w:color="auto"/>
      </w:divBdr>
    </w:div>
    <w:div w:id="148631537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0126747">
      <w:bodyDiv w:val="1"/>
      <w:marLeft w:val="0"/>
      <w:marRight w:val="0"/>
      <w:marTop w:val="0"/>
      <w:marBottom w:val="0"/>
      <w:divBdr>
        <w:top w:val="none" w:sz="0" w:space="0" w:color="auto"/>
        <w:left w:val="none" w:sz="0" w:space="0" w:color="auto"/>
        <w:bottom w:val="none" w:sz="0" w:space="0" w:color="auto"/>
        <w:right w:val="none" w:sz="0" w:space="0" w:color="auto"/>
      </w:divBdr>
    </w:div>
    <w:div w:id="155905213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914487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5423711">
      <w:bodyDiv w:val="1"/>
      <w:marLeft w:val="0"/>
      <w:marRight w:val="0"/>
      <w:marTop w:val="0"/>
      <w:marBottom w:val="0"/>
      <w:divBdr>
        <w:top w:val="none" w:sz="0" w:space="0" w:color="auto"/>
        <w:left w:val="none" w:sz="0" w:space="0" w:color="auto"/>
        <w:bottom w:val="none" w:sz="0" w:space="0" w:color="auto"/>
        <w:right w:val="none" w:sz="0" w:space="0" w:color="auto"/>
      </w:divBdr>
    </w:div>
    <w:div w:id="1717271516">
      <w:bodyDiv w:val="1"/>
      <w:marLeft w:val="0"/>
      <w:marRight w:val="0"/>
      <w:marTop w:val="0"/>
      <w:marBottom w:val="0"/>
      <w:divBdr>
        <w:top w:val="none" w:sz="0" w:space="0" w:color="auto"/>
        <w:left w:val="none" w:sz="0" w:space="0" w:color="auto"/>
        <w:bottom w:val="none" w:sz="0" w:space="0" w:color="auto"/>
        <w:right w:val="none" w:sz="0" w:space="0" w:color="auto"/>
      </w:divBdr>
    </w:div>
    <w:div w:id="17233665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9057596">
      <w:bodyDiv w:val="1"/>
      <w:marLeft w:val="0"/>
      <w:marRight w:val="0"/>
      <w:marTop w:val="0"/>
      <w:marBottom w:val="0"/>
      <w:divBdr>
        <w:top w:val="none" w:sz="0" w:space="0" w:color="auto"/>
        <w:left w:val="none" w:sz="0" w:space="0" w:color="auto"/>
        <w:bottom w:val="none" w:sz="0" w:space="0" w:color="auto"/>
        <w:right w:val="none" w:sz="0" w:space="0" w:color="auto"/>
      </w:divBdr>
    </w:div>
    <w:div w:id="181942312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29397929">
      <w:bodyDiv w:val="1"/>
      <w:marLeft w:val="0"/>
      <w:marRight w:val="0"/>
      <w:marTop w:val="0"/>
      <w:marBottom w:val="0"/>
      <w:divBdr>
        <w:top w:val="none" w:sz="0" w:space="0" w:color="auto"/>
        <w:left w:val="none" w:sz="0" w:space="0" w:color="auto"/>
        <w:bottom w:val="none" w:sz="0" w:space="0" w:color="auto"/>
        <w:right w:val="none" w:sz="0" w:space="0" w:color="auto"/>
      </w:divBdr>
    </w:div>
    <w:div w:id="183109685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50089625">
      <w:bodyDiv w:val="1"/>
      <w:marLeft w:val="0"/>
      <w:marRight w:val="0"/>
      <w:marTop w:val="0"/>
      <w:marBottom w:val="0"/>
      <w:divBdr>
        <w:top w:val="none" w:sz="0" w:space="0" w:color="auto"/>
        <w:left w:val="none" w:sz="0" w:space="0" w:color="auto"/>
        <w:bottom w:val="none" w:sz="0" w:space="0" w:color="auto"/>
        <w:right w:val="none" w:sz="0" w:space="0" w:color="auto"/>
      </w:divBdr>
    </w:div>
    <w:div w:id="1950431733">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7103367">
      <w:bodyDiv w:val="1"/>
      <w:marLeft w:val="0"/>
      <w:marRight w:val="0"/>
      <w:marTop w:val="0"/>
      <w:marBottom w:val="0"/>
      <w:divBdr>
        <w:top w:val="none" w:sz="0" w:space="0" w:color="auto"/>
        <w:left w:val="none" w:sz="0" w:space="0" w:color="auto"/>
        <w:bottom w:val="none" w:sz="0" w:space="0" w:color="auto"/>
        <w:right w:val="none" w:sz="0" w:space="0" w:color="auto"/>
      </w:divBdr>
    </w:div>
    <w:div w:id="1980574342">
      <w:bodyDiv w:val="1"/>
      <w:marLeft w:val="0"/>
      <w:marRight w:val="0"/>
      <w:marTop w:val="0"/>
      <w:marBottom w:val="0"/>
      <w:divBdr>
        <w:top w:val="none" w:sz="0" w:space="0" w:color="auto"/>
        <w:left w:val="none" w:sz="0" w:space="0" w:color="auto"/>
        <w:bottom w:val="none" w:sz="0" w:space="0" w:color="auto"/>
        <w:right w:val="none" w:sz="0" w:space="0" w:color="auto"/>
      </w:divBdr>
    </w:div>
    <w:div w:id="19998431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6.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4.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12.emf"/><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8.emf"/><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image" Target="media/image11.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2014CSSG-727-287</_dlc_DocId>
    <_dlc_DocIdUrl xmlns="eb47d8b7-fefc-4923-b53c-9685ba6b7210">
      <Url>http://tweb/sites/cssg/mcd/pubs/pt/_layouts/15/DocIdRedir.aspx?ID=2014CSSG-727-287</Url>
      <Description>2014CSSG-727-287</Description>
    </_dlc_DocIdUrl>
  </documentManagement>
</p:propertie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04FC-F1E0-47BD-B08E-FBED5ED909D7}">
  <ds:schemaRefs>
    <ds:schemaRef ds:uri="http://www.w3.org/XML/1998/namespace"/>
    <ds:schemaRef ds:uri="http://schemas.microsoft.com/office/2006/metadata/properties"/>
    <ds:schemaRef ds:uri="http://purl.org/dc/elements/1.1/"/>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6.xml><?xml version="1.0" encoding="utf-8"?>
<ds:datastoreItem xmlns:ds="http://schemas.openxmlformats.org/officeDocument/2006/customXml" ds:itemID="{D8730BBD-FB36-48AF-9216-7F988FB7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17</TotalTime>
  <Pages>26</Pages>
  <Words>2431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16826</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keywords>[SEC=UNCLASSIFIED:For-Official-Use-Only]</cp:keywords>
  <cp:lastModifiedBy>Danielle Wills</cp:lastModifiedBy>
  <cp:revision>3</cp:revision>
  <cp:lastPrinted>2015-05-10T10:06:00Z</cp:lastPrinted>
  <dcterms:created xsi:type="dcterms:W3CDTF">2015-05-12T01:02:00Z</dcterms:created>
  <dcterms:modified xsi:type="dcterms:W3CDTF">2015-05-12T01:24:00Z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PM_SecurityClassification">
    <vt:lpwstr>UNCLASSIFIED</vt:lpwstr>
  </property>
  <property fmtid="{D5CDD505-2E9C-101B-9397-08002B2CF9AE}" pid="8" name="PM_Qualifier">
    <vt:lpwstr>For-Official-Use-Only</vt:lpwstr>
  </property>
  <property fmtid="{D5CDD505-2E9C-101B-9397-08002B2CF9AE}" pid="9" name="PM_DisplayValueSecClassificationWithQualifier">
    <vt:lpwstr>UNCLASSIFIED For Official Use Only</vt:lpwstr>
  </property>
  <property fmtid="{D5CDD505-2E9C-101B-9397-08002B2CF9AE}" pid="10" name="PM_InsertionValue">
    <vt:lpwstr>UNCLASSIFIED\r\nFor Official Use Only</vt:lpwstr>
  </property>
  <property fmtid="{D5CDD505-2E9C-101B-9397-08002B2CF9AE}" pid="11" name="PM_Originator_Hash_SHA1">
    <vt:lpwstr>87980400D64ED6E33B0A0B3DFC2C760DBF70338E</vt:lpwstr>
  </property>
  <property fmtid="{D5CDD505-2E9C-101B-9397-08002B2CF9AE}" pid="12" name="PM_Hash_Version">
    <vt:lpwstr>2014.1</vt:lpwstr>
  </property>
  <property fmtid="{D5CDD505-2E9C-101B-9397-08002B2CF9AE}" pid="13" name="PM_Hash_Salt">
    <vt:lpwstr>F3BE3457296DFAD237F045E81A5F23E4</vt:lpwstr>
  </property>
  <property fmtid="{D5CDD505-2E9C-101B-9397-08002B2CF9AE}" pid="14" name="PM_Hash_SHA1">
    <vt:lpwstr>0BE7312E49DA4DD3C38D9ED326BD98FF68B50930</vt:lpwstr>
  </property>
</Properties>
</file>