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1914A" w14:textId="5D450407" w:rsidR="00EC6A53" w:rsidRDefault="003A2EFF" w:rsidP="00C27154">
      <w:pPr>
        <w:sectPr w:rsidR="00EC6A53" w:rsidSect="00DE0402">
          <w:footerReference w:type="default" r:id="rId8"/>
          <w:footerReference w:type="first" r:id="rId9"/>
          <w:type w:val="continuous"/>
          <w:pgSz w:w="11906" w:h="16838"/>
          <w:pgMar w:top="851" w:right="1418" w:bottom="1418" w:left="1418" w:header="0" w:footer="709" w:gutter="0"/>
          <w:cols w:space="708"/>
          <w:titlePg/>
          <w:docGrid w:linePitch="360"/>
        </w:sectPr>
      </w:pPr>
      <w:r>
        <w:rPr>
          <w:noProof/>
        </w:rPr>
        <w:drawing>
          <wp:inline distT="0" distB="0" distL="0" distR="0" wp14:anchorId="0368C25A" wp14:editId="3F5FB616">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0">
                      <a:extLst>
                        <a:ext uri="{96DAC541-7B7A-43D3-8B79-37D633B846F1}">
                          <asvg:svgBlip xmlns:asvg="http://schemas.microsoft.com/office/drawing/2016/SVG/main" r:embed="rId11"/>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584B30EC" wp14:editId="3220BE44">
            <wp:simplePos x="0" y="0"/>
            <wp:positionH relativeFrom="character">
              <wp:posOffset>-900430</wp:posOffset>
            </wp:positionH>
            <wp:positionV relativeFrom="paragraph">
              <wp:posOffset>-540385</wp:posOffset>
            </wp:positionV>
            <wp:extent cx="7560000" cy="16776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2"/>
                    <a:stretch>
                      <a:fillRect/>
                    </a:stretch>
                  </pic:blipFill>
                  <pic:spPr>
                    <a:xfrm>
                      <a:off x="0" y="0"/>
                      <a:ext cx="7560000" cy="1677600"/>
                    </a:xfrm>
                    <a:prstGeom prst="rect">
                      <a:avLst/>
                    </a:prstGeom>
                  </pic:spPr>
                </pic:pic>
              </a:graphicData>
            </a:graphic>
            <wp14:sizeRelH relativeFrom="page">
              <wp14:pctWidth>0</wp14:pctWidth>
            </wp14:sizeRelH>
            <wp14:sizeRelV relativeFrom="page">
              <wp14:pctHeight>0</wp14:pctHeight>
            </wp14:sizeRelV>
          </wp:anchor>
        </w:drawing>
      </w:r>
    </w:p>
    <w:p w14:paraId="4A950B4C" w14:textId="1BFC9E98" w:rsidR="00C27154" w:rsidRDefault="00C27154" w:rsidP="00C27154"/>
    <w:p w14:paraId="0718A55F" w14:textId="32002B4E" w:rsidR="00C27154" w:rsidRDefault="00C27154" w:rsidP="00C27154">
      <w:pPr>
        <w:pStyle w:val="Title"/>
        <w:rPr>
          <w:rFonts w:ascii="Aptos" w:hAnsi="Aptos"/>
          <w:sz w:val="60"/>
          <w:szCs w:val="60"/>
        </w:rPr>
      </w:pPr>
      <w:r w:rsidRPr="00C27154">
        <w:rPr>
          <w:rFonts w:ascii="Aptos" w:hAnsi="Aptos"/>
          <w:sz w:val="60"/>
          <w:szCs w:val="60"/>
        </w:rPr>
        <w:t>NPL and VET sector distribution methodology</w:t>
      </w:r>
      <w:r w:rsidR="00F95CAD">
        <w:rPr>
          <w:rFonts w:ascii="Aptos" w:hAnsi="Aptos"/>
          <w:sz w:val="60"/>
          <w:szCs w:val="60"/>
        </w:rPr>
        <w:t xml:space="preserve"> factsheet </w:t>
      </w:r>
    </w:p>
    <w:p w14:paraId="6749E550" w14:textId="77777777" w:rsidR="00C27154" w:rsidRDefault="00C27154" w:rsidP="00C27154"/>
    <w:p w14:paraId="174110FF" w14:textId="77777777" w:rsidR="00C27154" w:rsidRPr="00C27154" w:rsidRDefault="00C27154" w:rsidP="00C27154">
      <w:pPr>
        <w:spacing w:after="240" w:line="259" w:lineRule="auto"/>
        <w:rPr>
          <w:rFonts w:ascii="Aptos" w:eastAsia="Calibri" w:hAnsi="Aptos" w:cs="Arial"/>
        </w:rPr>
      </w:pPr>
      <w:r w:rsidRPr="00C27154">
        <w:rPr>
          <w:rFonts w:ascii="Aptos" w:eastAsia="Calibri" w:hAnsi="Aptos" w:cs="Arial"/>
        </w:rPr>
        <w:t xml:space="preserve">From 2025, the National Planning Level will be set at 270,000 new overseas student commencements. </w:t>
      </w:r>
    </w:p>
    <w:p w14:paraId="3635CEA5" w14:textId="77777777" w:rsidR="00C27154" w:rsidRPr="00C27154" w:rsidRDefault="00C27154" w:rsidP="00C27154">
      <w:pPr>
        <w:spacing w:after="240" w:line="259" w:lineRule="auto"/>
        <w:rPr>
          <w:rFonts w:ascii="Aptos" w:eastAsia="Calibri" w:hAnsi="Aptos" w:cs="Arial"/>
        </w:rPr>
      </w:pPr>
      <w:r w:rsidRPr="00C27154">
        <w:rPr>
          <w:rFonts w:ascii="Aptos" w:eastAsia="Calibri" w:hAnsi="Aptos" w:cs="Arial"/>
        </w:rPr>
        <w:t xml:space="preserve">The National Planning Level will apply to the higher education and vocational education and training (VET) sectors. The VET Sector Planning Level will be 94,500 new overseas student commencements and distributed to public providers private providers, and new market entrants according to the following approach.  </w:t>
      </w:r>
    </w:p>
    <w:p w14:paraId="494558C5" w14:textId="77777777" w:rsidR="00C27154" w:rsidRPr="0046238F" w:rsidRDefault="00C27154" w:rsidP="0006061B">
      <w:pPr>
        <w:pStyle w:val="Heading2"/>
        <w:rPr>
          <w:rFonts w:eastAsia="Calibri"/>
          <w:szCs w:val="44"/>
        </w:rPr>
      </w:pPr>
      <w:r w:rsidRPr="0046238F">
        <w:rPr>
          <w:rFonts w:eastAsia="Calibri"/>
          <w:szCs w:val="44"/>
        </w:rPr>
        <w:t>Public VET providers</w:t>
      </w:r>
    </w:p>
    <w:p w14:paraId="046B6CB0" w14:textId="77777777" w:rsidR="00C27154" w:rsidRPr="00C27154" w:rsidRDefault="00C27154" w:rsidP="00C27154">
      <w:pPr>
        <w:spacing w:after="240" w:line="259" w:lineRule="auto"/>
        <w:rPr>
          <w:rFonts w:ascii="Aptos" w:eastAsia="Calibri" w:hAnsi="Aptos" w:cs="Arial"/>
          <w:b/>
          <w:bCs/>
        </w:rPr>
      </w:pPr>
      <w:r w:rsidRPr="00C27154">
        <w:rPr>
          <w:rFonts w:ascii="Aptos" w:eastAsia="Calibri" w:hAnsi="Aptos" w:cs="Arial"/>
        </w:rPr>
        <w:t>Indicative new overseas student commencement limits for public providers, including TAFEs, for 2025 will be equal to their 2023 new overseas student commencements.</w:t>
      </w:r>
    </w:p>
    <w:p w14:paraId="28355DBA" w14:textId="77777777" w:rsidR="00C27154" w:rsidRPr="0046238F" w:rsidRDefault="00C27154" w:rsidP="0006061B">
      <w:pPr>
        <w:pStyle w:val="Heading2"/>
        <w:rPr>
          <w:rFonts w:eastAsia="Calibri"/>
          <w:szCs w:val="44"/>
        </w:rPr>
      </w:pPr>
      <w:r w:rsidRPr="0046238F">
        <w:rPr>
          <w:rFonts w:eastAsia="Calibri"/>
          <w:szCs w:val="44"/>
        </w:rPr>
        <w:t>Private VET providers</w:t>
      </w:r>
    </w:p>
    <w:p w14:paraId="22596E7B" w14:textId="77777777" w:rsidR="00C27154" w:rsidRPr="00C27154" w:rsidRDefault="00C27154" w:rsidP="00C27154">
      <w:pPr>
        <w:spacing w:after="240" w:line="259" w:lineRule="auto"/>
        <w:rPr>
          <w:rFonts w:ascii="Aptos" w:eastAsia="Calibri" w:hAnsi="Aptos" w:cs="Arial"/>
        </w:rPr>
      </w:pPr>
      <w:r w:rsidRPr="00C27154">
        <w:rPr>
          <w:rFonts w:ascii="Aptos" w:eastAsia="Calibri" w:hAnsi="Aptos" w:cs="Arial"/>
        </w:rPr>
        <w:t xml:space="preserve">Private VET providers </w:t>
      </w:r>
      <w:proofErr w:type="gramStart"/>
      <w:r w:rsidRPr="00C27154">
        <w:rPr>
          <w:rFonts w:ascii="Aptos" w:eastAsia="Calibri" w:hAnsi="Aptos" w:cs="Arial"/>
        </w:rPr>
        <w:t>will</w:t>
      </w:r>
      <w:proofErr w:type="gramEnd"/>
      <w:r w:rsidRPr="00C27154">
        <w:rPr>
          <w:rFonts w:ascii="Aptos" w:eastAsia="Calibri" w:hAnsi="Aptos" w:cs="Arial"/>
        </w:rPr>
        <w:t xml:space="preserve"> have a lower new overseas student commencement limit if they had 80 per cent or more international students in 2023. </w:t>
      </w:r>
    </w:p>
    <w:p w14:paraId="5BF02A37" w14:textId="77777777" w:rsidR="00C27154" w:rsidRPr="00C27154" w:rsidRDefault="00C27154" w:rsidP="00C27154">
      <w:pPr>
        <w:spacing w:after="240" w:line="259" w:lineRule="auto"/>
        <w:rPr>
          <w:rFonts w:ascii="Aptos" w:eastAsia="Calibri" w:hAnsi="Aptos" w:cs="Arial"/>
        </w:rPr>
      </w:pPr>
      <w:r w:rsidRPr="00C27154">
        <w:rPr>
          <w:rFonts w:ascii="Aptos" w:eastAsia="Calibri" w:hAnsi="Aptos" w:cs="Arial"/>
        </w:rPr>
        <w:t xml:space="preserve">To identify providers with at least 80 per cent international student enrolments, the Department has used enrolment data from the National Centre for Vocational Education Research (NCVER) – </w:t>
      </w:r>
      <w:r w:rsidRPr="00C27154">
        <w:rPr>
          <w:rFonts w:ascii="Aptos" w:eastAsia="Calibri" w:hAnsi="Aptos" w:cs="Arial"/>
          <w:i/>
          <w:iCs/>
        </w:rPr>
        <w:t>Total VET students and courses 2023</w:t>
      </w:r>
      <w:r w:rsidRPr="00C27154">
        <w:rPr>
          <w:rFonts w:ascii="Aptos" w:eastAsia="Calibri" w:hAnsi="Aptos" w:cs="Arial"/>
        </w:rPr>
        <w:t xml:space="preserve">. </w:t>
      </w:r>
    </w:p>
    <w:p w14:paraId="27906F67" w14:textId="77777777" w:rsidR="00C27154" w:rsidRPr="00C27154" w:rsidRDefault="00C27154" w:rsidP="00C27154">
      <w:pPr>
        <w:spacing w:after="240" w:line="259" w:lineRule="auto"/>
        <w:rPr>
          <w:rFonts w:ascii="Aptos" w:eastAsia="Calibri" w:hAnsi="Aptos" w:cs="Arial"/>
        </w:rPr>
      </w:pPr>
      <w:r w:rsidRPr="00C27154">
        <w:rPr>
          <w:rFonts w:ascii="Aptos" w:eastAsia="Calibri" w:hAnsi="Aptos" w:cs="Arial"/>
        </w:rPr>
        <w:t>Classifications are based on a count of domestic and international students who were enrolled in a VET program in 2023, including students who were continuing from previous years. A VET program includes Training package qualifications, Accredited qualifications and Accredited courses. International/domestic student status has been determined based on the international status of the program enrolment at the training provider (not as a student characteristic).</w:t>
      </w:r>
    </w:p>
    <w:p w14:paraId="6B0E79B6" w14:textId="77777777" w:rsidR="00C27154" w:rsidRPr="0046238F" w:rsidRDefault="00C27154" w:rsidP="0006061B">
      <w:pPr>
        <w:pStyle w:val="Heading2"/>
        <w:rPr>
          <w:rFonts w:eastAsia="Calibri"/>
          <w:sz w:val="32"/>
          <w:szCs w:val="32"/>
        </w:rPr>
      </w:pPr>
      <w:r w:rsidRPr="0046238F">
        <w:rPr>
          <w:rFonts w:eastAsia="Calibri"/>
          <w:sz w:val="32"/>
          <w:szCs w:val="32"/>
        </w:rPr>
        <w:t>Providers with fewer than 80 per cent international students</w:t>
      </w:r>
    </w:p>
    <w:p w14:paraId="25603D45" w14:textId="77777777" w:rsidR="00C27154" w:rsidRPr="00C27154" w:rsidRDefault="00C27154" w:rsidP="00C27154">
      <w:pPr>
        <w:spacing w:after="240" w:line="259" w:lineRule="auto"/>
        <w:rPr>
          <w:rFonts w:ascii="Aptos" w:eastAsia="Calibri" w:hAnsi="Aptos" w:cs="Arial"/>
        </w:rPr>
      </w:pPr>
      <w:r w:rsidRPr="00C27154">
        <w:rPr>
          <w:rFonts w:ascii="Aptos" w:eastAsia="Calibri" w:hAnsi="Aptos" w:cs="Arial"/>
        </w:rPr>
        <w:t xml:space="preserve">New overseas student commencement limits for private VET providers that had fewer than 80 per cent international student enrolments in 2023 will equal to their 2023 new overseas student commencements minus 31 per cent. </w:t>
      </w:r>
    </w:p>
    <w:p w14:paraId="781B472C" w14:textId="77777777" w:rsidR="00C27154" w:rsidRPr="00C27154" w:rsidRDefault="00C27154" w:rsidP="00C27154">
      <w:pPr>
        <w:spacing w:after="240" w:line="259" w:lineRule="auto"/>
        <w:rPr>
          <w:rFonts w:ascii="Aptos" w:eastAsia="Calibri" w:hAnsi="Aptos" w:cs="Arial"/>
        </w:rPr>
      </w:pPr>
      <w:r w:rsidRPr="00C27154">
        <w:rPr>
          <w:rFonts w:ascii="Aptos" w:eastAsia="Calibri" w:hAnsi="Aptos" w:cs="Arial"/>
        </w:rPr>
        <w:t>The 31 per cent reduction on 2023 new overseas student commencements applied to individual providers in this cohort was determined as follows:</w:t>
      </w:r>
    </w:p>
    <w:p w14:paraId="49864B49" w14:textId="77777777" w:rsidR="00C27154" w:rsidRPr="00C27154" w:rsidRDefault="00C27154" w:rsidP="00C27154">
      <w:pPr>
        <w:numPr>
          <w:ilvl w:val="0"/>
          <w:numId w:val="18"/>
        </w:numPr>
        <w:spacing w:after="160" w:line="259" w:lineRule="auto"/>
        <w:contextualSpacing/>
        <w:rPr>
          <w:rFonts w:ascii="Aptos" w:eastAsia="Calibri" w:hAnsi="Aptos" w:cs="Arial"/>
          <w:kern w:val="2"/>
          <w14:ligatures w14:val="standardContextual"/>
        </w:rPr>
      </w:pPr>
      <w:r w:rsidRPr="00C27154">
        <w:rPr>
          <w:rFonts w:ascii="Aptos" w:eastAsia="Calibri" w:hAnsi="Aptos" w:cs="Arial"/>
          <w:kern w:val="2"/>
          <w14:ligatures w14:val="standardContextual"/>
        </w:rPr>
        <w:lastRenderedPageBreak/>
        <w:t>The Department forecast the total 2024 new overseas student commencements for all private VET providers with an international student concentration of less than 80 per cent.</w:t>
      </w:r>
    </w:p>
    <w:p w14:paraId="4003035D" w14:textId="77777777" w:rsidR="00C27154" w:rsidRPr="00C27154" w:rsidRDefault="00C27154" w:rsidP="00C27154">
      <w:pPr>
        <w:numPr>
          <w:ilvl w:val="1"/>
          <w:numId w:val="18"/>
        </w:numPr>
        <w:spacing w:after="160" w:line="259" w:lineRule="auto"/>
        <w:contextualSpacing/>
        <w:rPr>
          <w:rFonts w:ascii="Aptos" w:eastAsia="Calibri" w:hAnsi="Aptos" w:cs="Arial"/>
          <w:kern w:val="2"/>
          <w14:ligatures w14:val="standardContextual"/>
        </w:rPr>
      </w:pPr>
      <w:r w:rsidRPr="00C27154">
        <w:rPr>
          <w:rFonts w:ascii="Aptos" w:eastAsia="Calibri" w:hAnsi="Aptos" w:cs="Arial"/>
          <w:kern w:val="2"/>
          <w14:ligatures w14:val="standardContextual"/>
        </w:rPr>
        <w:t xml:space="preserve">The forecast was based on a count of 2024 year to date new overseas student commencements in PRISMS, and YTD 2024 Home Affairs visa grant data, factoring in month-to-month trends in both sets of data. </w:t>
      </w:r>
    </w:p>
    <w:p w14:paraId="4EA4EA70" w14:textId="77777777" w:rsidR="00C27154" w:rsidRPr="00C27154" w:rsidRDefault="00C27154" w:rsidP="00C27154">
      <w:pPr>
        <w:numPr>
          <w:ilvl w:val="1"/>
          <w:numId w:val="18"/>
        </w:numPr>
        <w:spacing w:after="160" w:line="259" w:lineRule="auto"/>
        <w:contextualSpacing/>
        <w:rPr>
          <w:rFonts w:ascii="Aptos" w:eastAsia="Calibri" w:hAnsi="Aptos" w:cs="Arial"/>
          <w:kern w:val="2"/>
          <w14:ligatures w14:val="standardContextual"/>
        </w:rPr>
      </w:pPr>
      <w:r w:rsidRPr="00C27154">
        <w:rPr>
          <w:rFonts w:ascii="Aptos" w:eastAsia="Calibri" w:hAnsi="Aptos" w:cs="Arial"/>
          <w:kern w:val="2"/>
          <w14:ligatures w14:val="standardContextual"/>
        </w:rPr>
        <w:t xml:space="preserve">The forecast includes providers that did not have a 2023 baseline. </w:t>
      </w:r>
    </w:p>
    <w:p w14:paraId="27C2BADB" w14:textId="77777777" w:rsidR="00C27154" w:rsidRPr="00C27154" w:rsidRDefault="00C27154" w:rsidP="00C27154">
      <w:pPr>
        <w:numPr>
          <w:ilvl w:val="0"/>
          <w:numId w:val="18"/>
        </w:numPr>
        <w:spacing w:after="160" w:line="259" w:lineRule="auto"/>
        <w:contextualSpacing/>
        <w:rPr>
          <w:rFonts w:ascii="Aptos" w:eastAsia="Calibri" w:hAnsi="Aptos" w:cs="Arial"/>
          <w:kern w:val="2"/>
          <w14:ligatures w14:val="standardContextual"/>
        </w:rPr>
      </w:pPr>
      <w:r w:rsidRPr="00C27154">
        <w:rPr>
          <w:rFonts w:ascii="Aptos" w:eastAsia="Calibri" w:hAnsi="Aptos" w:cs="Arial"/>
          <w:kern w:val="2"/>
          <w14:ligatures w14:val="standardContextual"/>
        </w:rPr>
        <w:t>The forecast 2024 total was 31 per cent lower than the total for this cohort in 2023.</w:t>
      </w:r>
    </w:p>
    <w:p w14:paraId="74873A2C" w14:textId="77777777" w:rsidR="00C27154" w:rsidRPr="00C27154" w:rsidRDefault="00C27154" w:rsidP="00C27154">
      <w:pPr>
        <w:spacing w:after="240" w:line="259" w:lineRule="auto"/>
        <w:rPr>
          <w:rFonts w:ascii="Aptos" w:eastAsia="Calibri" w:hAnsi="Aptos" w:cs="Arial"/>
        </w:rPr>
      </w:pPr>
      <w:r w:rsidRPr="00C27154">
        <w:rPr>
          <w:rFonts w:ascii="Aptos" w:eastAsia="Calibri" w:hAnsi="Aptos" w:cs="Arial"/>
        </w:rPr>
        <w:t xml:space="preserve">This 31 per cent reduction was applied to each provider’s 2023 new overseas student commencements, and then rounded. For providers with a small number of new overseas student commencements in 2023, rounding will mean actual allocations are smaller or greater than a 31 per cent reduction. </w:t>
      </w:r>
    </w:p>
    <w:p w14:paraId="02CFA94B" w14:textId="77777777" w:rsidR="00C27154" w:rsidRPr="0017194E" w:rsidRDefault="00C27154" w:rsidP="0006061B">
      <w:pPr>
        <w:pStyle w:val="Heading2"/>
        <w:rPr>
          <w:rFonts w:eastAsia="Calibri"/>
          <w:sz w:val="32"/>
          <w:szCs w:val="32"/>
        </w:rPr>
      </w:pPr>
      <w:r w:rsidRPr="0017194E">
        <w:rPr>
          <w:rFonts w:eastAsia="Calibri"/>
          <w:sz w:val="32"/>
          <w:szCs w:val="32"/>
        </w:rPr>
        <w:t>Providers with 80 per cent or more international students</w:t>
      </w:r>
    </w:p>
    <w:p w14:paraId="739E46BC" w14:textId="77777777" w:rsidR="00C27154" w:rsidRPr="00C27154" w:rsidRDefault="00C27154" w:rsidP="00C27154">
      <w:pPr>
        <w:spacing w:after="240" w:line="259" w:lineRule="auto"/>
        <w:rPr>
          <w:rFonts w:ascii="Aptos" w:eastAsia="Calibri" w:hAnsi="Aptos" w:cs="Arial"/>
        </w:rPr>
      </w:pPr>
      <w:r w:rsidRPr="00C27154">
        <w:rPr>
          <w:rFonts w:ascii="Aptos" w:eastAsia="Calibri" w:hAnsi="Aptos" w:cs="Arial"/>
        </w:rPr>
        <w:t xml:space="preserve">New overseas student commencement limits for private VET providers that had 80 per cent or more international student enrolments in 2023 will be equal to their 2023 new overseas student commencements minus 40.8 per cent. </w:t>
      </w:r>
    </w:p>
    <w:p w14:paraId="1A0C85C0" w14:textId="77777777" w:rsidR="00C27154" w:rsidRPr="00C27154" w:rsidRDefault="00C27154" w:rsidP="00C27154">
      <w:pPr>
        <w:spacing w:after="240" w:line="259" w:lineRule="auto"/>
        <w:rPr>
          <w:rFonts w:ascii="Aptos" w:eastAsia="Calibri" w:hAnsi="Aptos" w:cs="Arial"/>
        </w:rPr>
      </w:pPr>
      <w:r w:rsidRPr="00C27154">
        <w:rPr>
          <w:rFonts w:ascii="Aptos" w:eastAsia="Calibri" w:hAnsi="Aptos" w:cs="Arial"/>
        </w:rPr>
        <w:t xml:space="preserve">This 40.8 per cent reduction was determined by the remaining new overseas student commencements left after distribution to the other classes of providers. For providers with a small number of new overseas student commencements in 2023, rounding will mean actual allocations are smaller or greater than a 40.8 per cent reduction. </w:t>
      </w:r>
    </w:p>
    <w:p w14:paraId="6D73CD12" w14:textId="77777777" w:rsidR="00C27154" w:rsidRPr="0046238F" w:rsidRDefault="00C27154" w:rsidP="0006061B">
      <w:pPr>
        <w:pStyle w:val="Heading2"/>
        <w:rPr>
          <w:rFonts w:eastAsia="Calibri"/>
          <w:szCs w:val="44"/>
        </w:rPr>
      </w:pPr>
      <w:r w:rsidRPr="0046238F">
        <w:rPr>
          <w:rFonts w:eastAsia="Calibri"/>
          <w:szCs w:val="44"/>
        </w:rPr>
        <w:t>Recent market entrants</w:t>
      </w:r>
    </w:p>
    <w:p w14:paraId="0E8F1FD5" w14:textId="77777777" w:rsidR="00C27154" w:rsidRPr="00C27154" w:rsidRDefault="00C27154" w:rsidP="00C27154">
      <w:pPr>
        <w:spacing w:after="240" w:line="259" w:lineRule="auto"/>
        <w:rPr>
          <w:rFonts w:ascii="Aptos" w:eastAsia="Calibri" w:hAnsi="Aptos" w:cs="Arial"/>
        </w:rPr>
      </w:pPr>
      <w:r w:rsidRPr="00C27154">
        <w:rPr>
          <w:rFonts w:ascii="Aptos" w:eastAsia="Calibri" w:hAnsi="Aptos" w:cs="Arial"/>
        </w:rPr>
        <w:t>Limits for providers with new overseas student commencements recorded in 2024 but not 2023, will have an indicative limit determined as follows:</w:t>
      </w:r>
    </w:p>
    <w:p w14:paraId="23C4DE43" w14:textId="77777777" w:rsidR="00C27154" w:rsidRPr="00C27154" w:rsidRDefault="00C27154" w:rsidP="00C27154">
      <w:pPr>
        <w:numPr>
          <w:ilvl w:val="0"/>
          <w:numId w:val="19"/>
        </w:numPr>
        <w:spacing w:after="160" w:line="259" w:lineRule="auto"/>
        <w:contextualSpacing/>
        <w:rPr>
          <w:rFonts w:ascii="Aptos" w:eastAsia="Calibri" w:hAnsi="Aptos" w:cs="Arial"/>
          <w:kern w:val="2"/>
          <w14:ligatures w14:val="standardContextual"/>
        </w:rPr>
      </w:pPr>
      <w:r w:rsidRPr="00C27154">
        <w:rPr>
          <w:rFonts w:ascii="Aptos" w:eastAsia="Calibri" w:hAnsi="Aptos" w:cs="Arial"/>
          <w:kern w:val="2"/>
          <w14:ligatures w14:val="standardContextual"/>
        </w:rPr>
        <w:t>A sector wide forecast of 2024 full year new overseas student commencements was undertaken.</w:t>
      </w:r>
    </w:p>
    <w:p w14:paraId="528F6670" w14:textId="77777777" w:rsidR="00C27154" w:rsidRPr="00C27154" w:rsidRDefault="00C27154" w:rsidP="00C27154">
      <w:pPr>
        <w:numPr>
          <w:ilvl w:val="0"/>
          <w:numId w:val="19"/>
        </w:numPr>
        <w:spacing w:after="160" w:line="259" w:lineRule="auto"/>
        <w:contextualSpacing/>
        <w:rPr>
          <w:rFonts w:ascii="Aptos" w:eastAsia="Calibri" w:hAnsi="Aptos" w:cs="Arial"/>
          <w:kern w:val="2"/>
          <w14:ligatures w14:val="standardContextual"/>
        </w:rPr>
      </w:pPr>
      <w:r w:rsidRPr="00C27154">
        <w:rPr>
          <w:rFonts w:ascii="Aptos" w:eastAsia="Calibri" w:hAnsi="Aptos" w:cs="Arial"/>
          <w:kern w:val="2"/>
          <w14:ligatures w14:val="standardContextual"/>
        </w:rPr>
        <w:t xml:space="preserve">This forecast and the provider’s individual year to date 2024 new overseas student commencements are used to project the individual provider’s new overseas student commencements for full year 2024. </w:t>
      </w:r>
    </w:p>
    <w:p w14:paraId="6259B612" w14:textId="77777777" w:rsidR="00C27154" w:rsidRPr="00C27154" w:rsidRDefault="00C27154" w:rsidP="00C27154">
      <w:pPr>
        <w:spacing w:after="240" w:line="259" w:lineRule="auto"/>
        <w:rPr>
          <w:rFonts w:ascii="Aptos" w:eastAsia="Calibri" w:hAnsi="Aptos" w:cs="Arial"/>
        </w:rPr>
      </w:pPr>
      <w:r w:rsidRPr="00C27154">
        <w:rPr>
          <w:rFonts w:ascii="Aptos" w:eastAsia="Calibri" w:hAnsi="Aptos" w:cs="Arial"/>
        </w:rPr>
        <w:t>Providers with no new overseas student commencements recorded in both 2023 and 2024 will have an indicative limit of 30.</w:t>
      </w:r>
    </w:p>
    <w:p w14:paraId="26AAB326" w14:textId="77777777" w:rsidR="00C27154" w:rsidRPr="0046238F" w:rsidRDefault="00C27154" w:rsidP="0006061B">
      <w:pPr>
        <w:pStyle w:val="Heading2"/>
        <w:rPr>
          <w:rFonts w:eastAsia="Calibri"/>
          <w:szCs w:val="44"/>
        </w:rPr>
      </w:pPr>
      <w:r w:rsidRPr="0046238F">
        <w:rPr>
          <w:rFonts w:eastAsia="Calibri"/>
          <w:szCs w:val="44"/>
        </w:rPr>
        <w:t>Future market entrants</w:t>
      </w:r>
    </w:p>
    <w:p w14:paraId="7DA76DC7" w14:textId="77777777" w:rsidR="00C27154" w:rsidRPr="00C27154" w:rsidRDefault="00C27154" w:rsidP="00C27154">
      <w:pPr>
        <w:spacing w:after="240" w:line="259" w:lineRule="auto"/>
        <w:rPr>
          <w:rFonts w:ascii="Aptos" w:eastAsia="Calibri" w:hAnsi="Aptos" w:cs="Arial"/>
          <w:b/>
          <w:bCs/>
          <w:u w:val="single"/>
        </w:rPr>
      </w:pPr>
      <w:r w:rsidRPr="00C27154">
        <w:rPr>
          <w:rFonts w:ascii="Aptos" w:eastAsia="Calibri" w:hAnsi="Aptos" w:cs="Arial"/>
        </w:rPr>
        <w:t>The Department of Employment and Workplace Relations will provide information on arrangements for future market entrants in due course.</w:t>
      </w:r>
    </w:p>
    <w:p w14:paraId="285934B3" w14:textId="77777777" w:rsidR="00C27154" w:rsidRPr="00C27154" w:rsidRDefault="00C27154" w:rsidP="00C27154"/>
    <w:sectPr w:rsidR="00C27154" w:rsidRPr="00C27154" w:rsidSect="00122E94">
      <w:type w:val="continuous"/>
      <w:pgSz w:w="11906" w:h="1683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548F6" w14:textId="77777777" w:rsidR="006B0B39" w:rsidRDefault="006B0B39" w:rsidP="0051352E">
      <w:pPr>
        <w:spacing w:after="0" w:line="240" w:lineRule="auto"/>
      </w:pPr>
      <w:r>
        <w:separator/>
      </w:r>
    </w:p>
  </w:endnote>
  <w:endnote w:type="continuationSeparator" w:id="0">
    <w:p w14:paraId="76406165" w14:textId="77777777" w:rsidR="006B0B39" w:rsidRDefault="006B0B39"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C0874" w14:textId="1381267D" w:rsidR="00662A42" w:rsidRDefault="00662A42">
    <w:pPr>
      <w:pStyle w:val="Footer"/>
    </w:pPr>
    <w:r>
      <w:rPr>
        <w:noProof/>
      </w:rPr>
      <mc:AlternateContent>
        <mc:Choice Requires="wps">
          <w:drawing>
            <wp:anchor distT="0" distB="0" distL="114300" distR="114300" simplePos="0" relativeHeight="251661312" behindDoc="0" locked="0" layoutInCell="1" allowOverlap="1" wp14:anchorId="5CAE4294" wp14:editId="27059DC9">
              <wp:simplePos x="0" y="0"/>
              <wp:positionH relativeFrom="page">
                <wp:posOffset>0</wp:posOffset>
              </wp:positionH>
              <wp:positionV relativeFrom="paragraph">
                <wp:posOffset>419784</wp:posOffset>
              </wp:positionV>
              <wp:extent cx="7560000" cy="198000"/>
              <wp:effectExtent l="0" t="0" r="0" b="571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13C20" id="Rectangle 5" o:spid="_x0000_s1026" alt="&quot;&quot;" style="position:absolute;margin-left:0;margin-top:33.0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cS97WN0A&#10;AAAHAQAADwAAAGRycy9kb3ducmV2LnhtbEyPwU7DMBBE70j8g7VI3KiTIgUSsqlCqwrEiRYOHN14&#10;G0fE6yh2m/D3uCc4jmY086ZczbYXZxp95xghXSQgiBunO24RPj+2d48gfFCsVe+YEH7Iw6q6vipV&#10;od3EOzrvQytiCftCIZgQhkJK3xiyyi/cQBy9oxutClGOrdSjmmK57eUySTJpVcdxwaiB1oaa7/3J&#10;Ihyp3ixfv55rOdV5+vYymN32fUa8vZnrJxCB5vAXhgt+RIcqMh3cibUXPUI8EhCyLAVxcdM8yUAc&#10;EPKHe5BVKf/zV78AAAD//wMAUEsBAi0AFAAGAAgAAAAhALaDOJL+AAAA4QEAABMAAAAAAAAAAAAA&#10;AAAAAAAAAFtDb250ZW50X1R5cGVzXS54bWxQSwECLQAUAAYACAAAACEAOP0h/9YAAACUAQAACwAA&#10;AAAAAAAAAAAAAAAvAQAAX3JlbHMvLnJlbHNQSwECLQAUAAYACAAAACEAssmFwngCAABfBQAADgAA&#10;AAAAAAAAAAAAAAAuAgAAZHJzL2Uyb0RvYy54bWxQSwECLQAUAAYACAAAACEAcS97WN0AAAAHAQAA&#10;DwAAAAAAAAAAAAAAAADSBAAAZHJzL2Rvd25yZXYueG1sUEsFBgAAAAAEAAQA8wAAANwFAAAAAA==&#10;" fillcolor="#404246"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A6251" w14:textId="724AA478" w:rsidR="00662A42" w:rsidRDefault="00662A42">
    <w:pPr>
      <w:pStyle w:val="Footer"/>
    </w:pPr>
    <w:r>
      <w:rPr>
        <w:noProof/>
      </w:rPr>
      <mc:AlternateContent>
        <mc:Choice Requires="wps">
          <w:drawing>
            <wp:anchor distT="0" distB="0" distL="114300" distR="114300" simplePos="0" relativeHeight="251659264" behindDoc="0" locked="0" layoutInCell="1" allowOverlap="1" wp14:anchorId="3494854F" wp14:editId="5A637210">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1EEAF" id="Rectangle 4"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DU/P990A&#10;AAAHAQAADwAAAGRycy9kb3ducmV2LnhtbEyPwU7DMBBE70j8g7VI3KiTSg0kZFMFUAXi1BYOHN14&#10;G0fE6yh2m/D3uCc4jmY086Zcz7YXZxp95xghXSQgiBunO24RPj82dw8gfFCsVe+YEH7Iw7q6vipV&#10;od3EOzrvQytiCftCIZgQhkJK3xiyyi/cQBy9oxutClGOrdSjmmK57eUySTJpVcdxwaiBng013/uT&#10;RThS/bJ8+3qq5VTn6fvrYHab7Yx4ezPXjyACzeEvDBf8iA5VZDq4E2sveoR4JCBkqxWIi5vmSQbi&#10;gJBn9yCrUv7nr34BAAD//wMAUEsBAi0AFAAGAAgAAAAhALaDOJL+AAAA4QEAABMAAAAAAAAAAAAA&#10;AAAAAAAAAFtDb250ZW50X1R5cGVzXS54bWxQSwECLQAUAAYACAAAACEAOP0h/9YAAACUAQAACwAA&#10;AAAAAAAAAAAAAAAvAQAAX3JlbHMvLnJlbHNQSwECLQAUAAYACAAAACEAssmFwngCAABfBQAADgAA&#10;AAAAAAAAAAAAAAAuAgAAZHJzL2Uyb0RvYy54bWxQSwECLQAUAAYACAAAACEADU/P990AAAAHAQAA&#10;DwAAAAAAAAAAAAAAAADSBAAAZHJzL2Rvd25yZXYueG1sUEsFBgAAAAAEAAQA8wAAANwFA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786B6" w14:textId="77777777" w:rsidR="006B0B39" w:rsidRDefault="006B0B39" w:rsidP="0051352E">
      <w:pPr>
        <w:spacing w:after="0" w:line="240" w:lineRule="auto"/>
      </w:pPr>
      <w:r>
        <w:separator/>
      </w:r>
    </w:p>
  </w:footnote>
  <w:footnote w:type="continuationSeparator" w:id="0">
    <w:p w14:paraId="0ECC2C28" w14:textId="77777777" w:rsidR="006B0B39" w:rsidRDefault="006B0B39"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6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2DBF3D6D"/>
    <w:multiLevelType w:val="hybridMultilevel"/>
    <w:tmpl w:val="8E0CFF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2CB269C"/>
    <w:multiLevelType w:val="hybridMultilevel"/>
    <w:tmpl w:val="CD0CBF02"/>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num w:numId="1" w16cid:durableId="1057360396">
    <w:abstractNumId w:val="9"/>
  </w:num>
  <w:num w:numId="2" w16cid:durableId="342510552">
    <w:abstractNumId w:val="7"/>
  </w:num>
  <w:num w:numId="3" w16cid:durableId="1594895232">
    <w:abstractNumId w:val="6"/>
  </w:num>
  <w:num w:numId="4" w16cid:durableId="1820461966">
    <w:abstractNumId w:val="5"/>
  </w:num>
  <w:num w:numId="5" w16cid:durableId="1501845443">
    <w:abstractNumId w:val="4"/>
  </w:num>
  <w:num w:numId="6" w16cid:durableId="729040880">
    <w:abstractNumId w:val="8"/>
  </w:num>
  <w:num w:numId="7" w16cid:durableId="278419321">
    <w:abstractNumId w:val="3"/>
  </w:num>
  <w:num w:numId="8" w16cid:durableId="574701396">
    <w:abstractNumId w:val="2"/>
  </w:num>
  <w:num w:numId="9" w16cid:durableId="2082634113">
    <w:abstractNumId w:val="1"/>
  </w:num>
  <w:num w:numId="10" w16cid:durableId="806321090">
    <w:abstractNumId w:val="0"/>
  </w:num>
  <w:num w:numId="11" w16cid:durableId="63377158">
    <w:abstractNumId w:val="10"/>
  </w:num>
  <w:num w:numId="12" w16cid:durableId="1523323380">
    <w:abstractNumId w:val="13"/>
  </w:num>
  <w:num w:numId="13" w16cid:durableId="933829800">
    <w:abstractNumId w:val="14"/>
  </w:num>
  <w:num w:numId="14" w16cid:durableId="1181817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5928808">
    <w:abstractNumId w:val="13"/>
  </w:num>
  <w:num w:numId="16" w16cid:durableId="1166021225">
    <w:abstractNumId w:val="14"/>
  </w:num>
  <w:num w:numId="17" w16cid:durableId="1814981661">
    <w:abstractNumId w:val="10"/>
  </w:num>
  <w:num w:numId="18" w16cid:durableId="1530295047">
    <w:abstractNumId w:val="12"/>
  </w:num>
  <w:num w:numId="19" w16cid:durableId="14199060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34167"/>
    <w:rsid w:val="00052BBC"/>
    <w:rsid w:val="0006061B"/>
    <w:rsid w:val="00067075"/>
    <w:rsid w:val="00085EBA"/>
    <w:rsid w:val="000A453D"/>
    <w:rsid w:val="00111085"/>
    <w:rsid w:val="00122E94"/>
    <w:rsid w:val="00130867"/>
    <w:rsid w:val="00140A92"/>
    <w:rsid w:val="00157F35"/>
    <w:rsid w:val="0017194E"/>
    <w:rsid w:val="00217EAB"/>
    <w:rsid w:val="0022498C"/>
    <w:rsid w:val="0022626C"/>
    <w:rsid w:val="002724D0"/>
    <w:rsid w:val="0027470A"/>
    <w:rsid w:val="00296C7D"/>
    <w:rsid w:val="002A7840"/>
    <w:rsid w:val="002B1CE5"/>
    <w:rsid w:val="002F4DB3"/>
    <w:rsid w:val="00350FFA"/>
    <w:rsid w:val="00382F07"/>
    <w:rsid w:val="003A2EFF"/>
    <w:rsid w:val="00414677"/>
    <w:rsid w:val="00453C04"/>
    <w:rsid w:val="0046238F"/>
    <w:rsid w:val="00495658"/>
    <w:rsid w:val="00497764"/>
    <w:rsid w:val="004F7E91"/>
    <w:rsid w:val="0051352E"/>
    <w:rsid w:val="00516000"/>
    <w:rsid w:val="00517DA7"/>
    <w:rsid w:val="00520A33"/>
    <w:rsid w:val="00527AE4"/>
    <w:rsid w:val="0055569D"/>
    <w:rsid w:val="00557548"/>
    <w:rsid w:val="00596A88"/>
    <w:rsid w:val="005D7CE7"/>
    <w:rsid w:val="00610A38"/>
    <w:rsid w:val="00630DDF"/>
    <w:rsid w:val="00662A42"/>
    <w:rsid w:val="006B0B39"/>
    <w:rsid w:val="006D154E"/>
    <w:rsid w:val="006E5D6E"/>
    <w:rsid w:val="00704585"/>
    <w:rsid w:val="00721B03"/>
    <w:rsid w:val="0073379E"/>
    <w:rsid w:val="007570DC"/>
    <w:rsid w:val="007B1ABA"/>
    <w:rsid w:val="007B74C5"/>
    <w:rsid w:val="00842C50"/>
    <w:rsid w:val="008507C1"/>
    <w:rsid w:val="00861934"/>
    <w:rsid w:val="008B00B6"/>
    <w:rsid w:val="008B796D"/>
    <w:rsid w:val="008E22BA"/>
    <w:rsid w:val="008F0AC9"/>
    <w:rsid w:val="00900F7F"/>
    <w:rsid w:val="0093473D"/>
    <w:rsid w:val="00944ECC"/>
    <w:rsid w:val="00972F57"/>
    <w:rsid w:val="00995280"/>
    <w:rsid w:val="009C2572"/>
    <w:rsid w:val="00A14B02"/>
    <w:rsid w:val="00A24E6E"/>
    <w:rsid w:val="00A43694"/>
    <w:rsid w:val="00A56FC7"/>
    <w:rsid w:val="00A668BF"/>
    <w:rsid w:val="00A72575"/>
    <w:rsid w:val="00A74071"/>
    <w:rsid w:val="00A754E4"/>
    <w:rsid w:val="00AA124A"/>
    <w:rsid w:val="00AA2A96"/>
    <w:rsid w:val="00AC7134"/>
    <w:rsid w:val="00B100CC"/>
    <w:rsid w:val="00B456C5"/>
    <w:rsid w:val="00B6689D"/>
    <w:rsid w:val="00B72368"/>
    <w:rsid w:val="00BA04E1"/>
    <w:rsid w:val="00C27154"/>
    <w:rsid w:val="00C40DF7"/>
    <w:rsid w:val="00C54D58"/>
    <w:rsid w:val="00C573E1"/>
    <w:rsid w:val="00C60222"/>
    <w:rsid w:val="00C736D3"/>
    <w:rsid w:val="00C93CC8"/>
    <w:rsid w:val="00C95DF6"/>
    <w:rsid w:val="00CC3BA4"/>
    <w:rsid w:val="00CF683D"/>
    <w:rsid w:val="00DA1B7B"/>
    <w:rsid w:val="00DB79DF"/>
    <w:rsid w:val="00DE0402"/>
    <w:rsid w:val="00DE1D12"/>
    <w:rsid w:val="00E02099"/>
    <w:rsid w:val="00E118C4"/>
    <w:rsid w:val="00E14881"/>
    <w:rsid w:val="00E36EF8"/>
    <w:rsid w:val="00E67289"/>
    <w:rsid w:val="00E9345D"/>
    <w:rsid w:val="00E93617"/>
    <w:rsid w:val="00EA32F7"/>
    <w:rsid w:val="00EC6A53"/>
    <w:rsid w:val="00EE5EEB"/>
    <w:rsid w:val="00F230CD"/>
    <w:rsid w:val="00F51C18"/>
    <w:rsid w:val="00F95CAD"/>
    <w:rsid w:val="00FA31E2"/>
    <w:rsid w:val="00FB6477"/>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B02"/>
    <w:pPr>
      <w:spacing w:after="200" w:line="276" w:lineRule="auto"/>
    </w:pPr>
    <w:rPr>
      <w:rFonts w:ascii="Aptos Display" w:hAnsi="Aptos Display"/>
    </w:rPr>
  </w:style>
  <w:style w:type="paragraph" w:styleId="Heading1">
    <w:name w:val="heading 1"/>
    <w:basedOn w:val="Normal"/>
    <w:next w:val="Normal"/>
    <w:link w:val="Heading1Char"/>
    <w:uiPriority w:val="9"/>
    <w:qFormat/>
    <w:rsid w:val="00A14B02"/>
    <w:pPr>
      <w:keepNext/>
      <w:keepLines/>
      <w:spacing w:before="600" w:after="0"/>
      <w:outlineLvl w:val="0"/>
    </w:pPr>
    <w:rPr>
      <w:rFonts w:eastAsiaTheme="majorEastAsia" w:cstheme="majorBidi"/>
      <w:b/>
      <w:color w:val="5D7A38" w:themeColor="accent1"/>
      <w:sz w:val="50"/>
      <w:szCs w:val="32"/>
    </w:rPr>
  </w:style>
  <w:style w:type="paragraph" w:styleId="Heading2">
    <w:name w:val="heading 2"/>
    <w:basedOn w:val="Normal"/>
    <w:next w:val="Normal"/>
    <w:link w:val="Heading2Char"/>
    <w:uiPriority w:val="9"/>
    <w:unhideWhenUsed/>
    <w:qFormat/>
    <w:rsid w:val="00A14B02"/>
    <w:pPr>
      <w:keepNext/>
      <w:keepLines/>
      <w:spacing w:before="240" w:after="0"/>
      <w:outlineLvl w:val="1"/>
    </w:pPr>
    <w:rPr>
      <w:rFonts w:eastAsiaTheme="majorEastAsia" w:cstheme="majorBidi"/>
      <w:b/>
      <w:color w:val="404246" w:themeColor="text2"/>
      <w:sz w:val="44"/>
      <w:szCs w:val="26"/>
    </w:rPr>
  </w:style>
  <w:style w:type="paragraph" w:styleId="Heading3">
    <w:name w:val="heading 3"/>
    <w:basedOn w:val="Normal"/>
    <w:next w:val="Normal"/>
    <w:link w:val="Heading3Char"/>
    <w:uiPriority w:val="9"/>
    <w:unhideWhenUsed/>
    <w:qFormat/>
    <w:rsid w:val="00A14B02"/>
    <w:pPr>
      <w:keepNext/>
      <w:keepLines/>
      <w:spacing w:before="240" w:after="0"/>
      <w:outlineLvl w:val="2"/>
    </w:pPr>
    <w:rPr>
      <w:rFonts w:ascii="Aptos SemiBold" w:eastAsiaTheme="majorEastAsia" w:hAnsi="Aptos SemiBold" w:cstheme="majorBidi"/>
      <w:color w:val="62165C" w:themeColor="accent2"/>
      <w:sz w:val="36"/>
      <w:szCs w:val="24"/>
    </w:rPr>
  </w:style>
  <w:style w:type="paragraph" w:styleId="Heading4">
    <w:name w:val="heading 4"/>
    <w:basedOn w:val="Normal"/>
    <w:next w:val="Normal"/>
    <w:link w:val="Heading4Char"/>
    <w:uiPriority w:val="9"/>
    <w:unhideWhenUsed/>
    <w:qFormat/>
    <w:rsid w:val="00A14B02"/>
    <w:pPr>
      <w:keepNext/>
      <w:keepLines/>
      <w:spacing w:before="240" w:after="0"/>
      <w:outlineLvl w:val="3"/>
    </w:pPr>
    <w:rPr>
      <w:rFonts w:ascii="Aptos SemiBold" w:eastAsiaTheme="majorEastAsia" w:hAnsi="Aptos SemiBold" w:cstheme="majorBidi"/>
      <w:iCs/>
      <w:color w:val="0D2C6C" w:themeColor="accent5"/>
      <w:sz w:val="28"/>
    </w:rPr>
  </w:style>
  <w:style w:type="paragraph" w:styleId="Heading5">
    <w:name w:val="heading 5"/>
    <w:basedOn w:val="Normal"/>
    <w:next w:val="Normal"/>
    <w:link w:val="Heading5Char"/>
    <w:uiPriority w:val="9"/>
    <w:unhideWhenUsed/>
    <w:qFormat/>
    <w:rsid w:val="00A14B02"/>
    <w:pPr>
      <w:keepNext/>
      <w:keepLines/>
      <w:spacing w:before="240" w:after="0"/>
      <w:outlineLvl w:val="4"/>
    </w:pPr>
    <w:rPr>
      <w:rFonts w:eastAsiaTheme="majorEastAsia" w:cstheme="majorBidi"/>
      <w:b/>
      <w:color w:val="404246" w:themeColor="text2"/>
      <w:sz w:val="24"/>
    </w:rPr>
  </w:style>
  <w:style w:type="paragraph" w:styleId="Heading6">
    <w:name w:val="heading 6"/>
    <w:basedOn w:val="Normal"/>
    <w:next w:val="Normal"/>
    <w:link w:val="Heading6Char"/>
    <w:uiPriority w:val="9"/>
    <w:unhideWhenUsed/>
    <w:qFormat/>
    <w:rsid w:val="00A14B02"/>
    <w:pPr>
      <w:keepNext/>
      <w:keepLines/>
      <w:spacing w:before="240" w:after="0"/>
      <w:outlineLvl w:val="5"/>
    </w:pPr>
    <w:rPr>
      <w:rFonts w:ascii="Aptos SemiBold" w:eastAsiaTheme="majorEastAsia" w:hAnsi="Aptos SemiBold" w:cstheme="majorBidi"/>
      <w:color w:val="5D7A38" w:themeColor="accent1"/>
    </w:rPr>
  </w:style>
  <w:style w:type="paragraph" w:styleId="Heading7">
    <w:name w:val="heading 7"/>
    <w:basedOn w:val="Normal"/>
    <w:next w:val="Normal"/>
    <w:link w:val="Heading7Char"/>
    <w:uiPriority w:val="9"/>
    <w:unhideWhenUsed/>
    <w:qFormat/>
    <w:rsid w:val="00A14B02"/>
    <w:pPr>
      <w:keepNext/>
      <w:keepLines/>
      <w:spacing w:before="40" w:after="60"/>
      <w:outlineLvl w:val="6"/>
    </w:pPr>
    <w:rPr>
      <w:rFonts w:ascii="Aptos SemiBold" w:eastAsiaTheme="majorEastAsia" w:hAnsi="Aptos SemiBold" w:cstheme="majorBidi"/>
      <w:i/>
      <w:iCs/>
      <w:color w:val="0D2C6C"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A14B02"/>
    <w:pPr>
      <w:spacing w:before="720" w:after="0" w:line="240" w:lineRule="auto"/>
    </w:pPr>
    <w:rPr>
      <w:rFonts w:ascii="Aptos SemiBold" w:eastAsiaTheme="majorEastAsia" w:hAnsi="Aptos SemiBold" w:cstheme="majorBidi"/>
      <w:b/>
      <w:color w:val="404246" w:themeColor="text2"/>
      <w:spacing w:val="-10"/>
      <w:kern w:val="28"/>
      <w:sz w:val="66"/>
      <w:szCs w:val="56"/>
    </w:rPr>
  </w:style>
  <w:style w:type="character" w:customStyle="1" w:styleId="TitleChar">
    <w:name w:val="Title Char"/>
    <w:basedOn w:val="DefaultParagraphFont"/>
    <w:link w:val="Title"/>
    <w:uiPriority w:val="7"/>
    <w:rsid w:val="00A14B02"/>
    <w:rPr>
      <w:rFonts w:ascii="Aptos SemiBold" w:eastAsiaTheme="majorEastAsia" w:hAnsi="Aptos SemiBold" w:cstheme="majorBidi"/>
      <w:b/>
      <w:color w:val="404246" w:themeColor="text2"/>
      <w:spacing w:val="-10"/>
      <w:kern w:val="28"/>
      <w:sz w:val="66"/>
      <w:szCs w:val="56"/>
    </w:rPr>
  </w:style>
  <w:style w:type="paragraph" w:styleId="Subtitle">
    <w:name w:val="Subtitle"/>
    <w:basedOn w:val="Normal"/>
    <w:next w:val="Normal"/>
    <w:link w:val="SubtitleChar"/>
    <w:uiPriority w:val="8"/>
    <w:qFormat/>
    <w:rsid w:val="00A14B02"/>
    <w:pPr>
      <w:numPr>
        <w:ilvl w:val="1"/>
      </w:numPr>
      <w:spacing w:after="0"/>
    </w:pPr>
    <w:rPr>
      <w:rFonts w:eastAsiaTheme="minorEastAsia"/>
      <w:color w:val="98AB64"/>
      <w:spacing w:val="15"/>
      <w:sz w:val="40"/>
    </w:rPr>
  </w:style>
  <w:style w:type="character" w:customStyle="1" w:styleId="SubtitleChar">
    <w:name w:val="Subtitle Char"/>
    <w:basedOn w:val="DefaultParagraphFont"/>
    <w:link w:val="Subtitle"/>
    <w:uiPriority w:val="8"/>
    <w:rsid w:val="00A14B02"/>
    <w:rPr>
      <w:rFonts w:ascii="Aptos Display" w:eastAsiaTheme="minorEastAsia" w:hAnsi="Aptos Display"/>
      <w:color w:val="98AB64"/>
      <w:spacing w:val="15"/>
      <w:sz w:val="40"/>
    </w:rPr>
  </w:style>
  <w:style w:type="character" w:customStyle="1" w:styleId="Heading1Char">
    <w:name w:val="Heading 1 Char"/>
    <w:basedOn w:val="DefaultParagraphFont"/>
    <w:link w:val="Heading1"/>
    <w:uiPriority w:val="9"/>
    <w:rsid w:val="00A14B02"/>
    <w:rPr>
      <w:rFonts w:ascii="Aptos Display" w:eastAsiaTheme="majorEastAsia" w:hAnsi="Aptos Display" w:cstheme="majorBidi"/>
      <w:b/>
      <w:color w:val="5D7A38" w:themeColor="accent1"/>
      <w:sz w:val="50"/>
      <w:szCs w:val="32"/>
    </w:rPr>
  </w:style>
  <w:style w:type="character" w:customStyle="1" w:styleId="Heading2Char">
    <w:name w:val="Heading 2 Char"/>
    <w:basedOn w:val="DefaultParagraphFont"/>
    <w:link w:val="Heading2"/>
    <w:uiPriority w:val="9"/>
    <w:rsid w:val="00A14B02"/>
    <w:rPr>
      <w:rFonts w:ascii="Aptos Display" w:eastAsiaTheme="majorEastAsia" w:hAnsi="Aptos Display" w:cstheme="majorBidi"/>
      <w:b/>
      <w:color w:val="404246" w:themeColor="text2"/>
      <w:sz w:val="44"/>
      <w:szCs w:val="26"/>
    </w:rPr>
  </w:style>
  <w:style w:type="character" w:customStyle="1" w:styleId="Heading3Char">
    <w:name w:val="Heading 3 Char"/>
    <w:basedOn w:val="DefaultParagraphFont"/>
    <w:link w:val="Heading3"/>
    <w:uiPriority w:val="9"/>
    <w:rsid w:val="00A14B02"/>
    <w:rPr>
      <w:rFonts w:ascii="Aptos SemiBold" w:eastAsiaTheme="majorEastAsia" w:hAnsi="Aptos SemiBold" w:cstheme="majorBidi"/>
      <w:color w:val="62165C" w:themeColor="accent2"/>
      <w:sz w:val="36"/>
      <w:szCs w:val="24"/>
    </w:rPr>
  </w:style>
  <w:style w:type="character" w:customStyle="1" w:styleId="Heading4Char">
    <w:name w:val="Heading 4 Char"/>
    <w:basedOn w:val="DefaultParagraphFont"/>
    <w:link w:val="Heading4"/>
    <w:uiPriority w:val="9"/>
    <w:rsid w:val="00A14B02"/>
    <w:rPr>
      <w:rFonts w:ascii="Aptos SemiBold" w:eastAsiaTheme="majorEastAsia" w:hAnsi="Aptos SemiBold" w:cstheme="majorBidi"/>
      <w:iCs/>
      <w:color w:val="0D2C6C" w:themeColor="accent5"/>
      <w:sz w:val="28"/>
    </w:rPr>
  </w:style>
  <w:style w:type="character" w:customStyle="1" w:styleId="Heading5Char">
    <w:name w:val="Heading 5 Char"/>
    <w:basedOn w:val="DefaultParagraphFont"/>
    <w:link w:val="Heading5"/>
    <w:uiPriority w:val="9"/>
    <w:rsid w:val="00A14B02"/>
    <w:rPr>
      <w:rFonts w:ascii="Aptos Display" w:eastAsiaTheme="majorEastAsia" w:hAnsi="Aptos Display" w:cstheme="majorBidi"/>
      <w:b/>
      <w:color w:val="404246" w:themeColor="text2"/>
      <w:sz w:val="24"/>
    </w:rPr>
  </w:style>
  <w:style w:type="character" w:customStyle="1" w:styleId="Heading6Char">
    <w:name w:val="Heading 6 Char"/>
    <w:basedOn w:val="DefaultParagraphFont"/>
    <w:link w:val="Heading6"/>
    <w:uiPriority w:val="9"/>
    <w:rsid w:val="00A14B02"/>
    <w:rPr>
      <w:rFonts w:ascii="Aptos SemiBold" w:eastAsiaTheme="majorEastAsia" w:hAnsi="Aptos SemiBold" w:cstheme="majorBidi"/>
      <w:color w:val="5D7A38" w:themeColor="accent1"/>
    </w:rPr>
  </w:style>
  <w:style w:type="character" w:styleId="Hyperlink">
    <w:name w:val="Hyperlink"/>
    <w:basedOn w:val="DefaultParagraphFont"/>
    <w:uiPriority w:val="99"/>
    <w:unhideWhenUsed/>
    <w:qFormat/>
    <w:rsid w:val="00A14B02"/>
    <w:rPr>
      <w:color w:val="287DB2"/>
      <w:u w:val="single"/>
    </w:rPr>
  </w:style>
  <w:style w:type="character" w:customStyle="1" w:styleId="UnresolvedMention1">
    <w:name w:val="Unresolved Mention1"/>
    <w:basedOn w:val="DefaultParagraphFont"/>
    <w:uiPriority w:val="99"/>
    <w:semiHidden/>
    <w:unhideWhenUsed/>
    <w:rsid w:val="00A14B02"/>
    <w:rPr>
      <w:color w:val="605E5C"/>
      <w:shd w:val="clear" w:color="auto" w:fill="E1DFDD"/>
    </w:rPr>
  </w:style>
  <w:style w:type="character" w:styleId="Strong">
    <w:name w:val="Strong"/>
    <w:basedOn w:val="DefaultParagraphFont"/>
    <w:uiPriority w:val="11"/>
    <w:qFormat/>
    <w:rsid w:val="00A14B02"/>
    <w:rPr>
      <w:b/>
      <w:bCs/>
    </w:rPr>
  </w:style>
  <w:style w:type="table" w:styleId="TableGrid">
    <w:name w:val="Table Grid"/>
    <w:basedOn w:val="TableNormal"/>
    <w:uiPriority w:val="39"/>
    <w:rsid w:val="00A14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A14B02"/>
    <w:pPr>
      <w:spacing w:before="240" w:after="40" w:line="240" w:lineRule="auto"/>
    </w:pPr>
    <w:rPr>
      <w:b/>
      <w:iCs/>
      <w:szCs w:val="18"/>
    </w:rPr>
  </w:style>
  <w:style w:type="paragraph" w:styleId="Quote">
    <w:name w:val="Quote"/>
    <w:basedOn w:val="Normal"/>
    <w:next w:val="Normal"/>
    <w:link w:val="QuoteChar"/>
    <w:uiPriority w:val="29"/>
    <w:qFormat/>
    <w:rsid w:val="00A14B02"/>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A14B02"/>
    <w:rPr>
      <w:rFonts w:ascii="Aptos Display" w:hAnsi="Aptos Display"/>
      <w:iCs/>
      <w:color w:val="595959" w:themeColor="text1" w:themeTint="A6"/>
    </w:rPr>
  </w:style>
  <w:style w:type="paragraph" w:customStyle="1" w:styleId="Source">
    <w:name w:val="Source"/>
    <w:basedOn w:val="Normal"/>
    <w:uiPriority w:val="17"/>
    <w:qFormat/>
    <w:rsid w:val="00A14B02"/>
    <w:pPr>
      <w:spacing w:before="80" w:after="320"/>
    </w:pPr>
    <w:rPr>
      <w:sz w:val="18"/>
    </w:rPr>
  </w:style>
  <w:style w:type="table" w:customStyle="1" w:styleId="DESE">
    <w:name w:val="DESE"/>
    <w:basedOn w:val="TableNormal"/>
    <w:uiPriority w:val="99"/>
    <w:rsid w:val="00A14B02"/>
    <w:pPr>
      <w:spacing w:before="100" w:beforeAutospacing="1" w:after="100" w:afterAutospacing="1" w:line="240" w:lineRule="auto"/>
    </w:pPr>
    <w:rPr>
      <w:rFonts w:ascii="Aptos Display" w:hAnsi="Aptos Displa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Aptos Display" w:hAnsi="Aptos Display"/>
        <w:b/>
        <w:color w:val="FFFFFF" w:themeColor="background1"/>
      </w:rPr>
      <w:tblPr/>
      <w:tcPr>
        <w:shd w:val="clear" w:color="auto" w:fill="5D7A38" w:themeFill="accent1"/>
      </w:tcPr>
    </w:tblStylePr>
    <w:tblStylePr w:type="firstCol">
      <w:rPr>
        <w:b w:val="0"/>
      </w:rPr>
    </w:tblStylePr>
    <w:tblStylePr w:type="nwCell">
      <w:rPr>
        <w:b w:val="0"/>
      </w:rPr>
    </w:tblStylePr>
  </w:style>
  <w:style w:type="paragraph" w:styleId="ListParagraph">
    <w:name w:val="List Paragraph"/>
    <w:basedOn w:val="Normal"/>
    <w:uiPriority w:val="34"/>
    <w:qFormat/>
    <w:rsid w:val="00140A92"/>
    <w:pPr>
      <w:spacing w:line="360" w:lineRule="auto"/>
      <w:ind w:left="720"/>
      <w:contextualSpacing/>
    </w:pPr>
  </w:style>
  <w:style w:type="paragraph" w:styleId="ListNumber">
    <w:name w:val="List Number"/>
    <w:basedOn w:val="Normal"/>
    <w:uiPriority w:val="99"/>
    <w:unhideWhenUsed/>
    <w:qFormat/>
    <w:rsid w:val="00A14B02"/>
    <w:pPr>
      <w:numPr>
        <w:numId w:val="17"/>
      </w:numPr>
      <w:spacing w:line="360" w:lineRule="auto"/>
      <w:contextualSpacing/>
    </w:pPr>
  </w:style>
  <w:style w:type="paragraph" w:styleId="ListBullet">
    <w:name w:val="List Bullet"/>
    <w:basedOn w:val="Normal"/>
    <w:uiPriority w:val="99"/>
    <w:unhideWhenUsed/>
    <w:qFormat/>
    <w:rsid w:val="00A14B02"/>
    <w:pPr>
      <w:numPr>
        <w:numId w:val="15"/>
      </w:numPr>
      <w:spacing w:line="360" w:lineRule="auto"/>
      <w:contextualSpacing/>
    </w:pPr>
  </w:style>
  <w:style w:type="paragraph" w:styleId="List">
    <w:name w:val="List"/>
    <w:basedOn w:val="ListBullet"/>
    <w:uiPriority w:val="99"/>
    <w:unhideWhenUsed/>
    <w:qFormat/>
    <w:rsid w:val="00A14B02"/>
    <w:pPr>
      <w:numPr>
        <w:numId w:val="16"/>
      </w:numPr>
    </w:pPr>
  </w:style>
  <w:style w:type="paragraph" w:styleId="Header">
    <w:name w:val="header"/>
    <w:basedOn w:val="Normal"/>
    <w:link w:val="HeaderChar"/>
    <w:uiPriority w:val="99"/>
    <w:unhideWhenUsed/>
    <w:rsid w:val="00A14B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B02"/>
    <w:rPr>
      <w:rFonts w:ascii="Aptos Display" w:hAnsi="Aptos Display"/>
    </w:rPr>
  </w:style>
  <w:style w:type="paragraph" w:styleId="Footer">
    <w:name w:val="footer"/>
    <w:basedOn w:val="Normal"/>
    <w:link w:val="FooterChar"/>
    <w:uiPriority w:val="99"/>
    <w:unhideWhenUsed/>
    <w:rsid w:val="00A14B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B02"/>
    <w:rPr>
      <w:rFonts w:ascii="Aptos Display" w:hAnsi="Aptos Display"/>
    </w:rPr>
  </w:style>
  <w:style w:type="paragraph" w:styleId="TOC1">
    <w:name w:val="toc 1"/>
    <w:basedOn w:val="Normal"/>
    <w:next w:val="Normal"/>
    <w:autoRedefine/>
    <w:uiPriority w:val="39"/>
    <w:unhideWhenUsed/>
    <w:rsid w:val="00A14B02"/>
    <w:pPr>
      <w:spacing w:after="100"/>
    </w:pPr>
    <w:rPr>
      <w:b/>
    </w:rPr>
  </w:style>
  <w:style w:type="paragraph" w:styleId="TOC2">
    <w:name w:val="toc 2"/>
    <w:basedOn w:val="Normal"/>
    <w:next w:val="Normal"/>
    <w:autoRedefine/>
    <w:uiPriority w:val="39"/>
    <w:unhideWhenUsed/>
    <w:rsid w:val="00A14B02"/>
    <w:pPr>
      <w:spacing w:after="100"/>
      <w:ind w:left="220"/>
    </w:pPr>
  </w:style>
  <w:style w:type="paragraph" w:styleId="TOC3">
    <w:name w:val="toc 3"/>
    <w:basedOn w:val="Normal"/>
    <w:next w:val="Normal"/>
    <w:autoRedefine/>
    <w:uiPriority w:val="39"/>
    <w:unhideWhenUsed/>
    <w:rsid w:val="00A14B02"/>
    <w:pPr>
      <w:spacing w:after="100"/>
      <w:ind w:left="440"/>
    </w:pPr>
  </w:style>
  <w:style w:type="paragraph" w:styleId="TOCHeading">
    <w:name w:val="TOC Heading"/>
    <w:basedOn w:val="Heading1"/>
    <w:next w:val="Normal"/>
    <w:uiPriority w:val="39"/>
    <w:unhideWhenUsed/>
    <w:qFormat/>
    <w:rsid w:val="00A14B02"/>
    <w:pPr>
      <w:spacing w:after="240"/>
      <w:outlineLvl w:val="9"/>
    </w:pPr>
  </w:style>
  <w:style w:type="paragraph" w:styleId="BalloonText">
    <w:name w:val="Balloon Text"/>
    <w:basedOn w:val="Normal"/>
    <w:link w:val="BalloonTextChar"/>
    <w:uiPriority w:val="99"/>
    <w:semiHidden/>
    <w:unhideWhenUsed/>
    <w:rsid w:val="00A14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B02"/>
    <w:rPr>
      <w:rFonts w:ascii="Segoe UI" w:hAnsi="Segoe UI" w:cs="Segoe UI"/>
      <w:sz w:val="18"/>
      <w:szCs w:val="18"/>
    </w:rPr>
  </w:style>
  <w:style w:type="character" w:customStyle="1" w:styleId="Heading7Char">
    <w:name w:val="Heading 7 Char"/>
    <w:basedOn w:val="DefaultParagraphFont"/>
    <w:link w:val="Heading7"/>
    <w:uiPriority w:val="9"/>
    <w:rsid w:val="00A14B02"/>
    <w:rPr>
      <w:rFonts w:ascii="Aptos SemiBold" w:eastAsiaTheme="majorEastAsia" w:hAnsi="Aptos SemiBold" w:cstheme="majorBidi"/>
      <w:i/>
      <w:iCs/>
      <w:color w:val="0D2C6C" w:themeColor="accent5"/>
    </w:rPr>
  </w:style>
  <w:style w:type="paragraph" w:customStyle="1" w:styleId="numberedpara">
    <w:name w:val="numbered para"/>
    <w:basedOn w:val="Normal"/>
    <w:rsid w:val="00140A92"/>
    <w:pPr>
      <w:numPr>
        <w:numId w:val="1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A14B02"/>
    <w:rPr>
      <w:color w:val="7055A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sv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DEWR">
      <a:dk1>
        <a:sysClr val="windowText" lastClr="000000"/>
      </a:dk1>
      <a:lt1>
        <a:sysClr val="window" lastClr="FFFFFF"/>
      </a:lt1>
      <a:dk2>
        <a:srgbClr val="404246"/>
      </a:dk2>
      <a:lt2>
        <a:srgbClr val="7A9F4C"/>
      </a:lt2>
      <a:accent1>
        <a:srgbClr val="5D7A38"/>
      </a:accent1>
      <a:accent2>
        <a:srgbClr val="62165C"/>
      </a:accent2>
      <a:accent3>
        <a:srgbClr val="B5C427"/>
      </a:accent3>
      <a:accent4>
        <a:srgbClr val="009B9F"/>
      </a:accent4>
      <a:accent5>
        <a:srgbClr val="0D2C6C"/>
      </a:accent5>
      <a:accent6>
        <a:srgbClr val="91040D"/>
      </a:accent6>
      <a:hlink>
        <a:srgbClr val="287DB2"/>
      </a:hlink>
      <a:folHlink>
        <a:srgbClr val="7055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NPL and VET sector distribution methodology factsheet</dc:title>
  <dc:subject/>
  <dc:creator/>
  <cp:keywords/>
  <dc:description/>
  <cp:lastModifiedBy/>
  <cp:revision>1</cp:revision>
  <dcterms:created xsi:type="dcterms:W3CDTF">2024-09-17T07:32:00Z</dcterms:created>
  <dcterms:modified xsi:type="dcterms:W3CDTF">2024-09-17T07:33:00Z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2024-09-17T07:33:13Z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c6817916-98d8-451c-8566-eef81507ef9b</vt:lpwstr>
  </property>
  <property fmtid="{D5CDD505-2E9C-101B-9397-08002B2CF9AE}" pid="8" name="MSIP_Label_79d889eb-932f-4752-8739-64d25806ef64_ContentBits">
    <vt:lpwstr>0</vt:lpwstr>
  </property>
</Properties>
</file>